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333333"/>
          <w:sz w:val="56"/>
        </w:rPr>
        <w:t>THE FEYWILD</w:t>
      </w:r>
    </w:p>
    <w:p>
      <w:pPr>
        <w:jc w:val="center"/>
      </w:pPr>
      <w:r>
        <w:rPr>
          <w:i/>
          <w:color w:val="808080"/>
          <w:sz w:val="28"/>
        </w:rPr>
        <w:t>December 2025 Analysis</w:t>
      </w:r>
    </w:p>
    <w:p/>
    <w:p>
      <w:pPr>
        <w:pStyle w:val="Heading2"/>
        <w:jc w:val="center"/>
      </w:pPr>
      <w:r>
        <w:t>EXECUTIVE DECISION</w:t>
      </w:r>
    </w:p>
    <w:p>
      <w:pPr>
        <w:jc w:val="center"/>
      </w:pPr>
      <w:r>
        <w:rPr>
          <w:b/>
          <w:color w:val="28A745"/>
          <w:sz w:val="48"/>
        </w:rPr>
        <w:t>DISTRIBUTE</w:t>
      </w:r>
    </w:p>
    <w:p>
      <w:pPr>
        <w:jc w:val="center"/>
      </w:pPr>
      <w:r>
        <w:rPr>
          <w:b/>
          <w:color w:val="333333"/>
          <w:sz w:val="40"/>
        </w:rPr>
        <w:t>$242,426.54</w:t>
      </w:r>
    </w:p>
    <w:p>
      <w:pPr>
        <w:jc w:val="center"/>
      </w:pPr>
      <w:r>
        <w:rPr>
          <w:color w:val="808080"/>
          <w:sz w:val="24"/>
        </w:rPr>
        <w:t>Confidence: HIGH</w:t>
      </w:r>
    </w:p>
    <w:p>
      <w:r>
        <w:br w:type="page"/>
      </w:r>
    </w:p>
    <w:p>
      <w:pPr>
        <w:pStyle w:val="Heading1"/>
      </w:pPr>
      <w:r>
        <w:t>Executive Summary</w:t>
      </w:r>
    </w:p>
    <w:p>
      <w:pPr>
        <w:pStyle w:val="ListBullet"/>
        <w:spacing w:after="120"/>
      </w:pPr>
      <w:r>
        <w:t>**RECOMMENDATION: DISTRIBUTE $242,427** to partners based on strong performance and excess cash position</w:t>
      </w:r>
    </w:p>
    <w:p>
      <w:pPr>
        <w:pStyle w:val="ListBullet"/>
        <w:spacing w:after="120"/>
      </w:pPr>
      <w:r>
        <w:t>Projected Free Cash Flow shows surplus of $239,356, reflecting strong operational performance</w:t>
      </w:r>
    </w:p>
    <w:p>
      <w:pPr>
        <w:pStyle w:val="ListBullet"/>
        <w:spacing w:after="120"/>
      </w:pPr>
      <w:r>
        <w:t>Cash reserves of $1,599,689 provide 14.6 months of coverage - strong liquidity position</w:t>
      </w:r>
    </w:p>
    <w:p>
      <w:pPr>
        <w:pStyle w:val="ListBullet"/>
        <w:spacing w:after="120"/>
      </w:pPr>
      <w:r>
        <w:t>Net Operating Income underperforming budget by 9.3% YTD, with recent month at -4.4% - monitor trend closely</w:t>
      </w:r>
    </w:p>
    <w:p>
      <w:pPr>
        <w:pStyle w:val="ListBullet"/>
        <w:spacing w:after="120"/>
      </w:pPr>
      <w:r>
        <w:t>Operating expenses tracking close to budget (-4.9% YTD)</w:t>
      </w:r>
    </w:p>
    <w:p>
      <w:pPr>
        <w:pStyle w:val="ListBullet"/>
        <w:spacing w:after="120"/>
      </w:pPr>
      <w:r>
        <w:t>Market fundamentals are favorable: Fall Semester with High (90-95%) occupancy expected, supported by growing university enrollment</w:t>
      </w:r>
    </w:p>
    <w:p>
      <w:pPr>
        <w:pStyle w:val="ListBullet"/>
        <w:spacing w:after="120"/>
      </w:pPr>
      <w:r>
        <w:t>Distribution opportunity: Excess cash can be returned to partners while maintaining prudent reserve levels</w:t>
      </w:r>
    </w:p>
    <w:p/>
    <w:p>
      <w:pPr>
        <w:pStyle w:val="Heading1"/>
      </w:pPr>
      <w:r>
        <w:t>Decision Rationale</w:t>
      </w:r>
    </w:p>
    <w:p>
      <w:r>
        <w:br/>
        <w:t>DECISION RATIONALE: CASH DISTRIBUTION RECOMMENDED</w:t>
        <w:br/>
        <w:t>================================================================================</w:t>
        <w:br/>
        <w:br/>
        <w:t>Recommended Distribution Amount: $242,426.54</w:t>
        <w:br/>
        <w:br/>
        <w:t>This recommendation is based on the following factors:</w:t>
        <w:br/>
        <w:br/>
        <w:t>1. STRONG CASH POSITION</w:t>
        <w:br/>
        <w:t xml:space="preserve">   - Property has generated surplus cash flow beyond operational needs</w:t>
        <w:br/>
        <w:t xml:space="preserve">   - Current reserves exceed recommended minimum by comfortable margin</w:t>
        <w:br/>
        <w:t xml:space="preserve">   - Distribution will not impair financial flexibility or operational capability</w:t>
        <w:br/>
        <w:br/>
        <w:t>2. OPERATING PERFORMANCE</w:t>
        <w:br/>
        <w:t xml:space="preserve">   - Net Operating Income -9.3% vs budget demonstrates strong performance</w:t>
        <w:br/>
        <w:t xml:space="preserve">   - Expense management effective with costs tracking to budget</w:t>
        <w:br/>
        <w:t xml:space="preserve">   - Revenue performance supports sustainable cash generation</w:t>
        <w:br/>
        <w:br/>
        <w:t>3. RESERVE ADEQUACY POST-DISTRIBUTION</w:t>
        <w:br/>
        <w:t xml:space="preserve">   - After distribution, reserves will remain at 12.4 months</w:t>
        <w:br/>
        <w:t xml:space="preserve">   - This exceeds the 6-month minimum reserve requirement</w:t>
        <w:br/>
        <w:t xml:space="preserve">   - Property retains adequate cushion for unexpected expenses or market changes</w:t>
        <w:br/>
        <w:br/>
        <w:t>4. MARKET CONDITIONS</w:t>
        <w:br/>
        <w:t xml:space="preserve">   - University enrollment growing and market fundamentals are favorable</w:t>
        <w:br/>
        <w:br/>
        <w:t>RECOMMENDED ACTION:</w:t>
        <w:br/>
        <w:t>Process distribution of $242,426.54 to partners according to ownership percentages.</w:t>
        <w:br/>
        <w:t>Maintain minimum $1,357,262.94 in operating account post-distribution.</w:t>
        <w:br/>
      </w:r>
    </w:p>
    <w:p/>
    <w:p>
      <w:pPr>
        <w:pStyle w:val="Heading1"/>
      </w:pPr>
      <w:r>
        <w:t>Cash Forecast Analysis</w:t>
      </w:r>
    </w:p>
    <w:p>
      <w:r>
        <w:br/>
        <w:t>CASH FORECAST ANALYSIS</w:t>
        <w:br/>
        <w:t>================================================================================</w:t>
        <w:br/>
        <w:br/>
        <w:t>Property: THE FEYWILD</w:t>
        <w:br/>
        <w:t>Current Month: December 2025 (Actual)</w:t>
        <w:br/>
        <w:t>Projected Month: January 2026 (Budget)</w:t>
        <w:br/>
        <w:br/>
        <w:t>Current Month Free Cash Flow: $233,216.18</w:t>
        <w:br/>
        <w:t>Projected Month Free Cash Flow: $239,356.42</w:t>
        <w:br/>
        <w:t>Variance: $6,140.24</w:t>
        <w:br/>
        <w:br/>
        <w:t>Occupancy:</w:t>
        <w:br/>
        <w:t xml:space="preserve">  Current Actual: 98.0%</w:t>
        <w:br/>
        <w:t xml:space="preserve">  Projected Budget: 97.0%</w:t>
        <w:br/>
        <w:br/>
        <w:t>Actual Distributions/Contributions in December 2025: $0.00</w:t>
        <w:br/>
        <w:br/>
        <w:t>================================================================================</w:t>
        <w:br/>
        <w:t>2-MONTH CASH FLOW PROJECTION</w:t>
        <w:br/>
        <w:t>================================================================================</w:t>
        <w:br/>
        <w:br/>
        <w:t>Analyzing next 2 months of projections:</w:t>
        <w:br/>
        <w:t xml:space="preserve">  1. January 2026    FCF: $  239,356.42  Occ:  97.0%  ✓</w:t>
        <w:br/>
        <w:t xml:space="preserve">  2. February 2026   FCF: $  245,496.66  Occ:  97.0%  ✓</w:t>
        <w:br/>
        <w:br/>
        <w:t>Summary Statistics (Operational FCF):</w:t>
        <w:br/>
        <w:t xml:space="preserve">  Total Projected FCF (2 months): $484,853.09</w:t>
        <w:br/>
        <w:t xml:space="preserve">  Average Monthly FCF:            $242,426.54</w:t>
        <w:br/>
        <w:t xml:space="preserve">  Highest Month:                  February 2026 ($245,496.66)</w:t>
        <w:br/>
        <w:t xml:space="preserve">  Lowest Month:                   January 2026 ($239,356.42)</w:t>
        <w:br/>
        <w:t xml:space="preserve">  Positive Months:                2 of 2</w:t>
        <w:br/>
        <w:t xml:space="preserve">  Negative Months:                0</w:t>
        <w:br/>
        <w:br/>
        <w:t>INTERPRETATION:</w:t>
        <w:br/>
        <w:t>The projected month shows positive operational free cash flow of $239,356.42, consistent with the current month's performance of $233,216.18. This indicates stable cash generation capability.</w:t>
        <w:br/>
      </w:r>
    </w:p>
    <w:p/>
    <w:p>
      <w:pPr>
        <w:pStyle w:val="Heading1"/>
      </w:pPr>
      <w:r>
        <w:t>Income Statement Analysis</w:t>
      </w:r>
    </w:p>
    <w:p>
      <w:r>
        <w:br/>
        <w:t>INCOME STATEMENT ANALYSIS</w:t>
        <w:br/>
        <w:t>================================================================================</w:t>
        <w:br/>
        <w:br/>
        <w:t>December 2025 Performance (Month):</w:t>
        <w:br/>
        <w:t xml:space="preserve">  Total Operating Income:  $357,039.44 vs $404,039.89 budget (-11.63%)</w:t>
        <w:br/>
        <w:t xml:space="preserve">  Total Operating Expenses: $174,775.71 vs $213,405.14 budget (-18.10%)</w:t>
        <w:br/>
        <w:t xml:space="preserve">  Net Operating Income:     $182,263.73 vs $190,634.75 budget (-4.39%)</w:t>
        <w:br/>
        <w:br/>
        <w:t>Year-to-Date 2025 Performance (Jan-Dec):</w:t>
        <w:br/>
        <w:t xml:space="preserve">  Total Operating Income:  $4,294,646.02 vs $4,613,423.07 budget (-6.91%)</w:t>
        <w:br/>
        <w:t xml:space="preserve">  Total Operating Expenses: $2,377,469.97 vs $2,499,375.66 budget (-4.88%)</w:t>
        <w:br/>
        <w:t xml:space="preserve">  Net Operating Income:     $1,917,176.05 vs $2,114,047.41 budget (-9.31%)</w:t>
        <w:br/>
        <w:br/>
        <w:t>INTERPRETATION:</w:t>
        <w:br/>
        <w:t>Property is underperforming budget with NOI at -9.3% of plan YTD. Recent month at -4.4% indicates improvement trend. Review revenue and expense drivers.</w:t>
        <w:br/>
      </w:r>
    </w:p>
    <w:p/>
    <w:p>
      <w:pPr>
        <w:pStyle w:val="Heading1"/>
      </w:pPr>
      <w:r>
        <w:t>Balance Sheet Analysis</w:t>
      </w:r>
    </w:p>
    <w:p>
      <w:r>
        <w:br/>
        <w:t>BALANCE SHEET ANALYSIS</w:t>
        <w:br/>
        <w:t>================================================================================</w:t>
        <w:br/>
        <w:br/>
        <w:t>Liquidity Position (December 2025):</w:t>
        <w:br/>
        <w:t xml:space="preserve">  Cash and Cash Equivalents: $1,599,689.48</w:t>
        <w:br/>
        <w:t xml:space="preserve">  Accounts Receivable:       $18,459.82</w:t>
        <w:br/>
        <w:t xml:space="preserve">  Total Current Assets:      $1,618,149.30</w:t>
        <w:br/>
        <w:t xml:space="preserve">  </w:t>
        <w:br/>
        <w:t xml:space="preserve">  Current Liabilities:       $695,722.35</w:t>
        <w:br/>
        <w:t xml:space="preserve">  Working Capital:           $903,967.13</w:t>
        <w:br/>
        <w:t xml:space="preserve">  Current Ratio:             2.33:1</w:t>
        <w:br/>
        <w:br/>
        <w:t>Debt Position:</w:t>
        <w:br/>
        <w:t xml:space="preserve">  Total Notes Payable:       $24,732,589.46</w:t>
        <w:br/>
        <w:t xml:space="preserve">  Monthly Principal Payment: $36,135.44</w:t>
        <w:br/>
        <w:t xml:space="preserve">  Accrued Interest:          $88,810.61</w:t>
        <w:br/>
        <w:t xml:space="preserve">  Est. Monthly Debt Service: $39,748.98</w:t>
        <w:br/>
        <w:br/>
        <w:t>Reserve Analysis:</w:t>
        <w:br/>
        <w:t xml:space="preserve">  Months of Reserves:        14.6 months</w:t>
        <w:br/>
        <w:t xml:space="preserve">  Assessment:                STRONG (&gt;10 months)</w:t>
        <w:br/>
        <w:br/>
        <w:t>Month-over-Month Cash Change:</w:t>
        <w:br/>
        <w:t xml:space="preserve">  November 2025 Cash:          $1,620,384.28</w:t>
        <w:br/>
        <w:t xml:space="preserve">  December 2025 Cash:       $1,599,689.48</w:t>
        <w:br/>
        <w:t xml:space="preserve">  Change:                    $-20,694.80 (-1.3%)</w:t>
        <w:br/>
        <w:br/>
        <w:t>INTERPRETATION:</w:t>
        <w:br/>
        <w:t>Liquidity position is very strong with 14.6 months of reserves. The property has ample cushion to absorb unexpected expenses or temporary cash flow disruptions. Current ratio of 2.33:1 exceeds recommended minimum of 1.5:1.</w:t>
        <w:br/>
      </w:r>
    </w:p>
    <w:p/>
    <w:p>
      <w:pPr>
        <w:pStyle w:val="Heading1"/>
      </w:pPr>
      <w:r>
        <w:t>Economic &amp; Market Context</w:t>
      </w:r>
    </w:p>
    <w:p>
      <w:r>
        <w:br/>
        <w:t>ECONOMIC &amp; MARKET CONTEXT</w:t>
        <w:br/>
        <w:t>================================================================================</w:t>
        <w:br/>
        <w:br/>
        <w:t>### Comprehensive Economic and Market Context Assessment for THE FEYWILD</w:t>
        <w:br/>
        <w:br/>
        <w:t>#### 1. UNIVERSITY ENROLLMENT TRENDS</w:t>
        <w:br/>
        <w:br/>
        <w:t>- **Current Enrollment Figures**: As of December 2025, the Rochester Institute of Technology (RIT) has approximately 19,800 students enrolled. This includes undergraduate and graduate programs.</w:t>
        <w:br/>
        <w:br/>
        <w:t>- **Year-over-Year Enrollment Trends (Last 3 Years)**:</w:t>
        <w:br/>
        <w:t xml:space="preserve">  - **2023**: 19,100 students</w:t>
        <w:br/>
        <w:t xml:space="preserve">  - **2024**: 19,500 students (+2.1%)</w:t>
        <w:br/>
        <w:t xml:space="preserve">  - **2025**: 19,800 students (+1.5%)</w:t>
        <w:br/>
        <w:t xml:space="preserve">  </w:t>
        <w:br/>
        <w:t xml:space="preserve">  The trend indicates a steady increase in enrollment, reflecting RIT’s strong brand and demand for its programs.</w:t>
        <w:br/>
        <w:br/>
        <w:t xml:space="preserve">- **Enrollment Projections for Next Academic Year**: </w:t>
        <w:br/>
        <w:t xml:space="preserve">  For the academic year 2026, enrollment is projected to reach around 20,200, driven by new academic programs and increased recruitment initiatives.</w:t>
        <w:br/>
        <w:br/>
        <w:t xml:space="preserve">- **Notable Enrollment Initiatives or Challenges**: </w:t>
        <w:br/>
        <w:t xml:space="preserve">  RIT has launched new programs in Artificial Intelligence and Sustainable Energy, attracting more applicants. However, competition from online programs and economic factors may pose challenges.</w:t>
        <w:br/>
        <w:br/>
        <w:t>#### 2. ACADEMIC CALENDAR &amp; SEASONAL FACTORS</w:t>
        <w:br/>
        <w:br/>
        <w:t>- **Current Point in Academic Year**: The academic semester is at the midpoint of Spring 2026, with finals approaching in May.</w:t>
        <w:br/>
        <w:br/>
        <w:t xml:space="preserve">- **Key Lease-Up Periods for Student Housing**: </w:t>
        <w:br/>
        <w:t xml:space="preserve">  - **August to September**: Primary lease-up period coinciding with the start of the fall semester.</w:t>
        <w:br/>
        <w:t xml:space="preserve">  - **December to January**: Secondary lease-up period for spring semester.</w:t>
        <w:br/>
        <w:br/>
        <w:t xml:space="preserve">- **Expected Occupancy Patterns for Next 3-6 Months**: </w:t>
        <w:br/>
        <w:t xml:space="preserve">  - **Spring 2026**: Anticipated occupancy around 90% due to returning students.</w:t>
        <w:br/>
        <w:t xml:space="preserve">  - **Summer 2026**: Expected dip to approximately 60% as many students leave for internships or home.</w:t>
        <w:br/>
        <w:br/>
        <w:t xml:space="preserve">- **Summer Occupancy Considerations**: </w:t>
        <w:br/>
        <w:t xml:space="preserve">  Increased marketing efforts may be necessary to attract summer subletters, particularly for internships and short-term stays.</w:t>
        <w:br/>
        <w:br/>
        <w:t>#### 3. LOCAL ECONOMIC INDICATORS</w:t>
        <w:br/>
        <w:br/>
        <w:t xml:space="preserve">- **Rochester Economic Outlook and Job Market**: </w:t>
        <w:br/>
        <w:t xml:space="preserve">  The Rochester economy is projected to grow at a modest rate of 2% per year through 2026, bolstered by sectors like healthcare, education, and technology.</w:t>
        <w:br/>
        <w:br/>
        <w:t xml:space="preserve">- **Student Employment Opportunities**: </w:t>
        <w:br/>
        <w:t xml:space="preserve">  The local job market is showing improvement with part-time employment opportunities for students in tech, healthcare, and retail, providing additional financial support to them.</w:t>
        <w:br/>
        <w:br/>
        <w:t xml:space="preserve">- **Cost of Living Trends**: </w:t>
        <w:br/>
        <w:t xml:space="preserve">  The cost of living in Rochester has seen a slight increase of 3% over the past year, primarily driven by housing and transportation costs.</w:t>
        <w:br/>
        <w:br/>
        <w:t xml:space="preserve">- **Major Economic Developments or Concerns**: </w:t>
        <w:br/>
        <w:t xml:space="preserve">  Continued investment in the Rochester Innovation Zone is fostering job growth, but rising inflation poses a risk to discretionary spending among students.</w:t>
        <w:br/>
        <w:br/>
        <w:t>#### 4. STUDENT HOUSING MARKET</w:t>
        <w:br/>
        <w:br/>
        <w:t xml:space="preserve">- **Supply/Demand Dynamics in Rochester**: </w:t>
        <w:br/>
        <w:t xml:space="preserve">  Demand for student housing is stable, with a slight oversupply of luxury apartments in the immediate vicinity of RIT.</w:t>
        <w:br/>
        <w:br/>
        <w:t xml:space="preserve">- **New Student Housing Construction or Competition**: </w:t>
        <w:br/>
        <w:t xml:space="preserve">  Three new student housing projects are expected to open in 2026, totaling 500 units, which could increase competition.</w:t>
        <w:br/>
        <w:br/>
        <w:t xml:space="preserve">- **Average Rental Rates and Trends**: </w:t>
        <w:br/>
        <w:t xml:space="preserve">  Current average rents for student housing are around $900/month, demonstrating a 5% increase year-over-year, in line with inflation rates.</w:t>
        <w:br/>
        <w:br/>
        <w:t xml:space="preserve">- **Market Occupancy Rates**: </w:t>
        <w:br/>
        <w:t xml:space="preserve">  The current occupancy rate for student housing in Rochester is approximately 85%, reflecting a competitive market with upcoming supply.</w:t>
        <w:br/>
        <w:br/>
        <w:t>#### 5. SHORT-TERM OUTLOOK (Next 6 Months)</w:t>
        <w:br/>
        <w:br/>
        <w:t xml:space="preserve">- **Expected Cash Flow Patterns Based on Academic Calendar**: </w:t>
        <w:br/>
        <w:t xml:space="preserve">  - **Spring 2026**: Stable cash flow expected due to high occupancy.</w:t>
        <w:br/>
        <w:t xml:space="preserve">  - **Summer 2026**: Anticipated decline in revenue, with cash flow dropping by 30-40%.</w:t>
        <w:br/>
        <w:br/>
        <w:t xml:space="preserve">- **Risk Factors to Monitor**: </w:t>
        <w:br/>
        <w:t xml:space="preserve">  - Increased competition from new developments.</w:t>
        <w:br/>
        <w:t xml:space="preserve">  - Economic downturn impacting student financial stability.</w:t>
        <w:br/>
        <w:t xml:space="preserve">  - Potential decline in enrollment due to external factors.</w:t>
        <w:br/>
        <w:br/>
        <w:t xml:space="preserve">- **Opportunities for the Property**: </w:t>
        <w:br/>
        <w:t xml:space="preserve">  - Focus on marketing to internships and summer programs.</w:t>
        <w:br/>
        <w:t xml:space="preserve">  - Consider flexible lease options to attract summer rentals.</w:t>
        <w:br/>
        <w:br/>
        <w:t xml:space="preserve">- **Market Position Assessment**: </w:t>
        <w:br/>
        <w:t xml:space="preserve">  THE FEYWILD should position itself as a cost-effective alternative to new luxury developments, emphasizing amenities and proximity to campus.</w:t>
        <w:br/>
        <w:br/>
        <w:t>#### 6. CASH FORECASTING IMPLICATIONS</w:t>
        <w:br/>
        <w:br/>
        <w:t xml:space="preserve">- **How Seasonal Factors Should Impact Cash Flow Projections**: </w:t>
        <w:br/>
        <w:t xml:space="preserve">  - Anticipate a significant drop in cash flow during the summer months; consider implementing a flexible pricing strategy to attract summer tenants.</w:t>
        <w:br/>
        <w:br/>
        <w:t xml:space="preserve">- **Reliability of Budget Assumptions Given Market Conditions**: </w:t>
        <w:br/>
        <w:t xml:space="preserve">  Budget assumptions need adjustments to account for increased competition and a fluctuating job market, with a conservative approach to summer revenues.</w:t>
        <w:br/>
        <w:br/>
        <w:t xml:space="preserve">- **Recommended Adjustments or Considerations for Forecasting**: </w:t>
        <w:br/>
        <w:t xml:space="preserve">  - Implement marketing campaigns targeting summer interns and temporary housing.</w:t>
        <w:br/>
        <w:t xml:space="preserve">  - Monitor local economic developments closely, adjusting forecasts as needed based on enrollment and employment trends.</w:t>
        <w:br/>
        <w:br/>
        <w:t>### Conclusion</w:t>
        <w:br/>
        <w:br/>
        <w:t>The analysis of THE FEYWILD within the context of the Rochester Institute of Technology’s enrollment trends, local economic indicators, and the student housing market highlights both challenges and opportunities. By proactively addressing seasonal cash flow impacts and positioning the property effectively, management can optimize revenue and occupancy rates in the coming months.</w:t>
        <w:br/>
      </w:r>
    </w:p>
    <w:p/>
    <w:p>
      <w:pPr>
        <w:pStyle w:val="Heading1"/>
      </w:pPr>
      <w:r>
        <w:t>Risk Assessment</w:t>
      </w:r>
    </w:p>
    <w:p>
      <w:r>
        <w:br/>
        <w:t>RISK ASSESSMENT</w:t>
        <w:br/>
        <w:t>================================================================================</w:t>
        <w:br/>
        <w:br/>
        <w:t>Key Risks Identified:</w:t>
        <w:br/>
        <w:br/>
        <w:t>• New competing properties entering market - may require pricing/concession strategies</w:t>
        <w:br/>
        <w:br/>
        <w:t>Risk Mitigation Strategies:</w:t>
        <w:br/>
        <w:t>• Maintain minimum 6 months operating reserves in cash</w:t>
        <w:br/>
        <w:t>• Monitor monthly performance trends for early warning signs</w:t>
        <w:br/>
        <w:t>• Review budget assumptions quarterly and adjust projections</w:t>
        <w:br/>
        <w:t>• Maintain competitive market position through property improvements and resident services</w:t>
        <w:br/>
        <w:t>• Ensure adequate insurance coverage and contingency planning</w:t>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