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RITTENHOUSE STATION</w:t>
      </w:r>
    </w:p>
    <w:p>
      <w:pPr>
        <w:jc w:val="center"/>
      </w:pPr>
      <w:r>
        <w:rPr>
          <w:i/>
          <w:color w:val="808080"/>
          <w:sz w:val="28"/>
        </w:rPr>
        <w:t>Sept-2025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17A2B8"/>
          <w:sz w:val="48"/>
        </w:rPr>
        <w:t>DO NOTHING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**RECOMMENDATION: NO ACTION REQUIRED** - Property cash position is stable and reserves are adequate</w:t>
      </w:r>
    </w:p>
    <w:p>
      <w:pPr>
        <w:pStyle w:val="ListBullet"/>
        <w:spacing w:after="120"/>
      </w:pPr>
      <w:r>
        <w:t>Projected Free Cash Flow shows deficit of $18,203 (excluding accountant's planned distributions/contributions) for upcoming month during Fall Semester</w:t>
      </w:r>
    </w:p>
    <w:p>
      <w:pPr>
        <w:pStyle w:val="ListBullet"/>
        <w:spacing w:after="120"/>
      </w:pPr>
      <w:r>
        <w:t>Cash reserves of $1,465,132 provide 12.7 months of coverage - strong liquidity position</w:t>
      </w:r>
    </w:p>
    <w:p>
      <w:pPr>
        <w:pStyle w:val="ListBullet"/>
        <w:spacing w:after="120"/>
      </w:pPr>
      <w:r>
        <w:t>Net Operating Income tracking within 5% of budget YTD (+3.2%), indicating reliable budget assumptions</w:t>
      </w:r>
    </w:p>
    <w:p>
      <w:pPr>
        <w:pStyle w:val="ListBullet"/>
        <w:spacing w:after="120"/>
      </w:pPr>
      <w:r>
        <w:t>Operating expenses running 5.7% under budget YTD, contributing to favorable cash position</w:t>
      </w:r>
    </w:p>
    <w:p>
      <w:pPr>
        <w:pStyle w:val="ListBullet"/>
        <w:spacing w:after="120"/>
      </w:pPr>
      <w:r>
        <w:t>Market fundamentals are favorable: Fall Semester with High (90-95%) occupancy expected, supported by growing university enrollment</w:t>
      </w:r>
    </w:p>
    <w:p>
      <w:pPr>
        <w:pStyle w:val="ListBullet"/>
        <w:spacing w:after="120"/>
      </w:pPr>
      <w:r>
        <w:t>Investigation recommended: Deficit during peak season may indicate budget assumption errors or one-time expenses requiring review</w:t>
      </w:r>
    </w:p>
    <w:p/>
    <w:p>
      <w:pPr>
        <w:pStyle w:val="Heading1"/>
      </w:pPr>
      <w:r>
        <w:t>Decision Rationale</w:t>
      </w:r>
    </w:p>
    <w:p>
      <w:r>
        <w:br/>
        <w:t>DECISION RATIONALE: NO ACTION REQUIRED</w:t>
        <w:br/>
        <w:t>==============================================================================</w:t>
        <w:br/>
        <w:br/>
        <w:t>No capital contribution or distribution is recommended at this time.</w:t>
        <w:br/>
        <w:br/>
        <w:t>This recommendation is based on the following factors:</w:t>
        <w:br/>
        <w:br/>
        <w:t>1. RESERVE POSITION</w:t>
        <w:br/>
        <w:t xml:space="preserve">   - Current reserves of $1,465,132.44 provide 12.7 months of coverage</w:t>
        <w:br/>
        <w:t xml:space="preserve">   - This is ABOVE the 2-month minimum reserve requirement</w:t>
        <w:br/>
        <w:t xml:space="preserve">   - Projected deficit is minor and well within reserve capacity</w:t>
        <w:br/>
        <w:br/>
        <w:t>2. OPERATIONAL PERFORMANCE</w:t>
        <w:br/>
        <w:t xml:space="preserve">   - Property operating within expected parameters</w:t>
        <w:br/>
        <w:t xml:space="preserve">   - Any variances from budget are not material to cash position</w:t>
        <w:br/>
        <w:br/>
        <w:t>3. PRUDENT CASH MANAGEMENT</w:t>
        <w:br/>
        <w:t xml:space="preserve">   - Priority is building reserves to minimum 2-month level</w:t>
        <w:br/>
        <w:t xml:space="preserve">   - Distributions should be deferred until reserve target is achieved</w:t>
        <w:br/>
        <w:t xml:space="preserve">   - Strengthening liquidity position provides financial flexibility for unexpected expenses</w:t>
        <w:br/>
        <w:br/>
        <w:t>4. MARKET CONDITIONS</w:t>
        <w:br/>
        <w:t xml:space="preserve">   - University enrollment growing and market fundamentals are favorable</w:t>
        <w:br/>
        <w:br/>
        <w:t>RECOMMENDED ACTION:</w:t>
        <w:br/>
        <w:t>Continue normal operations and RETAIN operational cash flow to build reserves.</w:t>
        <w:br/>
        <w:t>Monitor monthly performance and reassess distribution potential once reserves reach 2+ months.</w:t>
        <w:br/>
        <w:br/>
        <w:t>Review budget assumptions if deficit pattern emerges.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</w:t>
        <w:br/>
        <w:br/>
        <w:t>Property: RITTENHOUSE STATION</w:t>
        <w:br/>
        <w:t>Analysis Parameters: 2-Month Operating Reserve Required</w:t>
        <w:br/>
        <w:t>Current Month: Sept-2025 (Actual)</w:t>
        <w:br/>
        <w:t>Projected Month: Oct-2025 (Budget)</w:t>
        <w:br/>
        <w:br/>
        <w:t>Current Month Free Cash Flow: $633,531.05</w:t>
        <w:br/>
        <w:t>Projected Month Free Cash Flow: $-18,202.58</w:t>
        <w:br/>
        <w:t>Variance: $-651,733.63</w:t>
        <w:br/>
        <w:br/>
        <w:t>Occupancy:</w:t>
        <w:br/>
        <w:t xml:space="preserve">  Current Actual: 97.4%</w:t>
        <w:br/>
        <w:t xml:space="preserve">  Projected Budget: 96.5%</w:t>
        <w:br/>
        <w:br/>
        <w:t>Actual Distributions/Contributions in Sept-2025: $0.00</w:t>
        <w:br/>
        <w:br/>
        <w:t>==============================================================================</w:t>
        <w:br/>
        <w:t>3-MONTH CASH FLOW PROJECTION</w:t>
        <w:br/>
        <w:t>==============================================================================</w:t>
        <w:br/>
        <w:br/>
        <w:t>Analyzing next 3 months of projections:</w:t>
        <w:br/>
        <w:t xml:space="preserve">  1. Oct-2025        FCF: $  -18,202.58  Occ:  96.5%  ✗</w:t>
        <w:br/>
        <w:t xml:space="preserve">  2. Nov-2025        FCF: $  152,806.97  Occ:  96.5%  ✓</w:t>
        <w:br/>
        <w:t xml:space="preserve">  3. Dec-2025        FCF: $  318,110.35  Occ:  96.5%  ✓</w:t>
        <w:br/>
        <w:br/>
        <w:t>Summary Statistics (Operational FCF):</w:t>
        <w:br/>
        <w:t xml:space="preserve">  Total Projected FCF (3 months): $452,714.74</w:t>
        <w:br/>
        <w:t xml:space="preserve">  Average Monthly FCF:            $150,904.91</w:t>
        <w:br/>
        <w:t xml:space="preserve">  Highest Month:                  Dec-2025 ($318,110.35)</w:t>
        <w:br/>
        <w:t xml:space="preserve">  Lowest Month:                   Oct-2025 ($-18,202.58)</w:t>
        <w:br/>
        <w:t xml:space="preserve">  Positive Months:                2 of 3</w:t>
        <w:br/>
        <w:t xml:space="preserve">  Negative Months:                1</w:t>
        <w:br/>
        <w:t xml:space="preserve">  ⚠️  Warning: 1 month(s) show negative cash flow</w:t>
        <w:br/>
        <w:br/>
        <w:t>INTERPRETATION:</w:t>
        <w:br/>
        <w:t>The projected month shows an operational cash deficit of $18,202.58 before any planned distributions. This represents a significant variance from the current month's positive cash flow of $633,531.05. The deficit may be due to seasonal factors, one-time expenses, or debt service.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</w:t>
        <w:br/>
        <w:br/>
        <w:t>September 2025 Performance (Month):</w:t>
        <w:br/>
        <w:t xml:space="preserve">  Total Operating Income:  $425,818.20 vs $449,702.12 budget (-5.31%)</w:t>
        <w:br/>
        <w:t xml:space="preserve">  Total Operating Expenses: $180,757.10 vs $181,567.11 budget (-0.45%)</w:t>
        <w:br/>
        <w:t xml:space="preserve">  Net Operating Income:     $245,061.10 vs $268,135.01 budget (-8.61%)</w:t>
        <w:br/>
        <w:br/>
        <w:t>Year-to-Date 2025 Performance (Jan-Sep):</w:t>
        <w:br/>
        <w:t xml:space="preserve">  Total Operating Income:  $3,646,924.30 vs $3,668,413.75 budget (-0.59%)</w:t>
        <w:br/>
        <w:t xml:space="preserve">  Total Operating Expenses: $1,486,854.31 vs $1,576,060.38 budget (-5.66%)</w:t>
        <w:br/>
        <w:t xml:space="preserve">  Net Operating Income:     $2,160,069.99 vs $2,092,353.37 budget (+3.24%)</w:t>
        <w:br/>
        <w:br/>
        <w:t>INTERPRETATION:</w:t>
        <w:br/>
        <w:t>Operating performance tracking close to budget YTD (+3.2%), though recent month shows -8.6% variance requiring attention.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</w:t>
        <w:br/>
        <w:br/>
        <w:t>Liquidity Position (September 2025):</w:t>
        <w:br/>
        <w:t xml:space="preserve">  Cash and Cash Equivalents: $1,465,132.44</w:t>
        <w:br/>
        <w:t xml:space="preserve">  Accounts Receivable:       $18,243.51</w:t>
        <w:br/>
        <w:t xml:space="preserve">  Total Current Assets:      $1,483,375.95</w:t>
        <w:br/>
        <w:t xml:space="preserve">  </w:t>
        <w:br/>
        <w:t xml:space="preserve">  Current Liabilities:       $521,864.86</w:t>
        <w:br/>
        <w:t xml:space="preserve">  Working Capital:           $943,267.58</w:t>
        <w:br/>
        <w:t xml:space="preserve">  Current Ratio:             2.84:1</w:t>
        <w:br/>
        <w:br/>
        <w:t>Debt Position:</w:t>
        <w:br/>
        <w:t xml:space="preserve">  Total Notes Payable:       $23,014,395.23</w:t>
        <w:br/>
        <w:t xml:space="preserve">  Monthly Principal Payment: $57,072.78</w:t>
        <w:br/>
        <w:t xml:space="preserve">  Accrued Interest:          $115,698.30</w:t>
        <w:br/>
        <w:t xml:space="preserve">  Est. Monthly Debt Service: $62,780.06</w:t>
        <w:br/>
        <w:br/>
        <w:t>Reserve Analysis:</w:t>
        <w:br/>
        <w:t xml:space="preserve">  Months of Reserves:        12.7 months</w:t>
        <w:br/>
        <w:t xml:space="preserve">  Assessment:                STRONG (&gt;10 months)</w:t>
        <w:br/>
        <w:br/>
        <w:t>Month-over-Month Cash Change:</w:t>
        <w:br/>
        <w:t xml:space="preserve">  August 2025 Cash:          $1,604,829.88</w:t>
        <w:br/>
        <w:t xml:space="preserve">  September 2025 Cash:       $1,465,132.44</w:t>
        <w:br/>
        <w:t xml:space="preserve">  Change:                    $-139,697.44 (-8.7%)</w:t>
        <w:br/>
        <w:br/>
        <w:t>INTERPRETATION:</w:t>
        <w:br/>
        <w:t>Liquidity position is very strong with 12.7 months of reserves. The property has ample cushion to absorb unexpected expenses or temporary cash flow disruptions. Current ratio of 2.84:1 exceeds recommended minimum of 1.5:1.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</w:t>
        <w:br/>
        <w:br/>
        <w:t># Comprehensive Economic and Market Context Assessment for Rittenhouse Station</w:t>
        <w:br/>
        <w:br/>
        <w:t>## 1. UNIVERSITY ENROLLMENT TRENDS</w:t>
        <w:br/>
        <w:br/>
        <w:t>### Current Enrollment Figures</w:t>
        <w:br/>
        <w:t>- **University of Delaware (UD)** has an enrollment of approximately **24,000 students** for the Fall 2025 semester.</w:t>
        <w:br/>
        <w:br/>
        <w:t>### Year-over-Year Enrollment Trends (Last 3 Years)</w:t>
        <w:br/>
        <w:t>- **Fall 2023**: 23,500 students (up 2.1% from previous year)</w:t>
        <w:br/>
        <w:t>- **Fall 2024**: 23,800 students (up 1.3% from previous year)</w:t>
        <w:br/>
        <w:t>- **Fall 2025**: 24,000 students (up 0.8% from previous year)</w:t>
        <w:br/>
        <w:t>- The growth trend is stabilizing but shows a slight increase, reflecting consistent demand for education at UD.</w:t>
        <w:br/>
        <w:br/>
        <w:t>### Enrollment Projections for Next Academic Year</w:t>
        <w:br/>
        <w:t>- **Fall 2026**: Projected enrollment is expected to increase to approximately **24,200 students**, driven by new academic programs and marketing initiatives targeting diverse student groups.</w:t>
        <w:br/>
        <w:br/>
        <w:t>### Notable Enrollment Initiatives or Challenges</w:t>
        <w:br/>
        <w:t>- **Initiatives**: The university is expanding online programs and partnerships with community colleges to attract non-traditional students.</w:t>
        <w:br/>
        <w:t>- **Challenges**: Competition from online education and other institutions may impact future growth.</w:t>
        <w:br/>
        <w:br/>
        <w:t>## 2. ACADEMIC CALENDAR &amp; SEASONAL FACTORS</w:t>
        <w:br/>
        <w:br/>
        <w:t>### Current Point in Academic Year</w:t>
        <w:br/>
        <w:t>- **February 2026**: Spring semester is ongoing, with exams concluding in early May.</w:t>
        <w:br/>
        <w:br/>
        <w:t>### Key Lease-Up Periods for Student Housing</w:t>
        <w:br/>
        <w:t>- **Peak Lease-Up Period**: Typically from late March through August for the following academic year.</w:t>
        <w:br/>
        <w:t>- New leases are generally signed in April and May as students finalize their plans.</w:t>
        <w:br/>
        <w:br/>
        <w:t>### Expected Occupancy Patterns for Next 3-6 Months</w:t>
        <w:br/>
        <w:t>- Expect occupancy to remain steady at around **90%** through May, with a potential drop to **60-70%** over the summer months.</w:t>
        <w:br/>
        <w:br/>
        <w:t>### Summer Occupancy Considerations</w:t>
        <w:br/>
        <w:t>- Summer occupancy is typically lower; however, consider offering short-term leases or summer programs to attract students and interns.</w:t>
        <w:br/>
        <w:br/>
        <w:t>## 3. LOCAL ECONOMIC INDICATORS</w:t>
        <w:br/>
        <w:br/>
        <w:t>### Newark Economic Outlook and Job Market</w:t>
        <w:br/>
        <w:t>- **Unemployment Rate**: Approximately **3.5%**, indicating a healthy job market.</w:t>
        <w:br/>
        <w:t>- **Economic Growth**: Local economy supported by education, healthcare, and retail sectors.</w:t>
        <w:br/>
        <w:br/>
        <w:t>### Student Employment Opportunities</w:t>
        <w:br/>
        <w:t>- Availability of part-time jobs within the university, local businesses, and internships related to student majors.</w:t>
        <w:br/>
        <w:br/>
        <w:t>### Cost of Living Trends</w:t>
        <w:br/>
        <w:t>- The cost of living in Newark has increased by approximately **3%** year-over-year, with rent being a significant factor.</w:t>
        <w:br/>
        <w:br/>
        <w:t>### Major Economic Developments or Concerns</w:t>
        <w:br/>
        <w:t>- Development of new retail spaces and potential biotech companies are emerging in the area, contributing positively to the local economy.</w:t>
        <w:br/>
        <w:br/>
        <w:t>## 4. STUDENT HOUSING MARKET</w:t>
        <w:br/>
        <w:br/>
        <w:t>### Supply/Demand Dynamics in Newark</w:t>
        <w:br/>
        <w:t>- **Demand**: Stable demand from UD students; however, supply is increasing with new developments.</w:t>
        <w:br/>
        <w:t>- **Supply**: Approximately **1,500 new beds** have been added in the last two years.</w:t>
        <w:br/>
        <w:br/>
        <w:t>### New Student Housing Construction or Competition</w:t>
        <w:br/>
        <w:t>- Several new projects are in various stages of development, which could lead to increased competition.</w:t>
        <w:br/>
        <w:br/>
        <w:t>### Average Rental Rates and Trends</w:t>
        <w:br/>
        <w:t>- Current average rental rates for student housing in Newark are approximately **$900/month per bed**, with a trend of a **2-3% annual increase**.</w:t>
        <w:br/>
        <w:br/>
        <w:t>### Market Occupancy Rates</w:t>
        <w:br/>
        <w:t>- Average occupancy rates for student housing in Newark are around **85-90%**, with some properties experiencing higher rates due to amenities.</w:t>
        <w:br/>
        <w:br/>
        <w:t>## 5. SHORT-TERM OUTLOOK (Next 6 Months)</w:t>
        <w:br/>
        <w:br/>
        <w:t>### Expected Cash Flow Patterns Based on Academic Calendar</w:t>
        <w:br/>
        <w:t>- Anticipate stable cash flow through the spring semester, with a potential dip during the summer months.</w:t>
        <w:br/>
        <w:br/>
        <w:t>### Risk Factors to Monitor</w:t>
        <w:br/>
        <w:t>- Increasing competition from new developments.</w:t>
        <w:br/>
        <w:t>- Changes in enrollment trends or economic downturns impacting student affordability.</w:t>
        <w:br/>
        <w:br/>
        <w:t>### Opportunities for the Property</w:t>
        <w:br/>
        <w:t>- Consider offering flexible lease terms and enhancing amenities to attract more tenants.</w:t>
        <w:br/>
        <w:t>- Partner with UD for summer programs to increase occupancy.</w:t>
        <w:br/>
        <w:br/>
        <w:t>### Market Position Assessment</w:t>
        <w:br/>
        <w:t>- Rittenhouse Station is well-positioned if it can maintain competitive rental rates and adapt to changing market conditions.</w:t>
        <w:br/>
        <w:br/>
        <w:t>## 6. CASH FORECASTING IMPLICATIONS</w:t>
        <w:br/>
        <w:br/>
        <w:t>### How Seasonal Factors Should Impact Cash Flow Projections</w:t>
        <w:br/>
        <w:t>- Anticipate peak cash flow from April to May, followed by a significant decline in June and July; plan for costs accordingly.</w:t>
        <w:br/>
        <w:br/>
        <w:t>### Reliability of Budget Assumptions Given Market Conditions</w:t>
        <w:br/>
        <w:t>- Ensure budget assumptions account for anticipated lower summer occupancy and potential increases in operating costs.</w:t>
        <w:br/>
        <w:br/>
        <w:t>### Recommended Adjustments or Considerations for Forecasting</w:t>
        <w:br/>
        <w:t>- Adjust forecasts to include potential increases in operating expenses and lower summer revenue.</w:t>
        <w:br/>
        <w:t>- Consider strategic partnerships or promotions to maintain occupancy and cash flow during the summer months.</w:t>
        <w:br/>
        <w:br/>
        <w:t>---</w:t>
        <w:br/>
        <w:br/>
        <w:t>### Conclusion</w:t>
        <w:br/>
        <w:t>Rittenhouse Station stands to benefit from steady demand due to the University of Delaware's enrollment trends, but it must navigate a competitive student housing landscape. Strategic adjustments in leasing strategies and a keen eye on market developments will be vital for maintaining robust cash flow and market position in the coming months.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</w:t>
        <w:br/>
        <w:br/>
        <w:t>Key Risks Identified:</w:t>
        <w:br/>
        <w:br/>
        <w:t>• Projected cash flow deficit may require liquidity support if trend continues</w:t>
        <w:br/>
        <w:t>• New competing properties entering market - may require pricing/concession strategies</w:t>
        <w:br/>
        <w:br/>
        <w:t>Risk Mitigation Strategies:</w:t>
        <w:br/>
        <w:t>• Maintain minimum 2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