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RIVER OAKS</w:t>
      </w:r>
    </w:p>
    <w:p>
      <w:pPr>
        <w:jc w:val="center"/>
      </w:pPr>
      <w:r>
        <w:rPr>
          <w:i/>
          <w:color w:val="808080"/>
          <w:sz w:val="28"/>
        </w:rPr>
        <w:t>October 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DC3545"/>
          <w:sz w:val="48"/>
        </w:rPr>
        <w:t>CONTRIBUTE</w:t>
      </w:r>
    </w:p>
    <w:p>
      <w:pPr>
        <w:jc w:val="center"/>
      </w:pPr>
      <w:r>
        <w:rPr>
          <w:b/>
          <w:color w:val="333333"/>
          <w:sz w:val="40"/>
        </w:rPr>
        <w:t>$700,000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⚠️ **WORKING CAPITAL CRISIS**: Current liabilities ($309,159) exceed current assets by $239,152. Current ratio of 0.23:1 indicates significant past-due obligations or structural cash flow problems. **FULL LIABILITY BREAKDOWN ANALYSIS REQUIRED BEFORE ANY CAPITAL DECISION**</w:t>
      </w:r>
    </w:p>
    <w:p>
      <w:pPr>
        <w:pStyle w:val="ListBullet"/>
        <w:spacing w:after="120"/>
      </w:pPr>
      <w:r>
        <w:t>**FORWARD-LOOKING CONTRIBUTION REQUIRED: $700,000** (4-Month Projected Deficits: $301,802 + Working Capital Restoration: $239,152 + Operating Reserve Buffer (2mo): $150,901 ~ **$700,000**). Rationale: Property on budget but showing structural deficit, projecting 4 months. This covers immediate crisis plus forward exposure until property stabilizes.</w:t>
      </w:r>
    </w:p>
    <w:p>
      <w:pPr>
        <w:pStyle w:val="ListBullet"/>
        <w:spacing w:after="120"/>
      </w:pPr>
      <w:r>
        <w:t>⚠️ OCCUPANCY GAP DETECTED: Current occupancy is 90.2% but projection assumes 96.0%. Adjusted projected FCF from $-53,548 to $-50,352 (+3,196) to reflect realistic revenue expectations.</w:t>
      </w:r>
    </w:p>
    <w:p>
      <w:pPr>
        <w:pStyle w:val="ListBullet"/>
        <w:spacing w:after="120"/>
      </w:pPr>
      <w:r>
        <w:t>Projected Free Cash Flow shows deficit of $50,352 (excluding accountant's planned distributions/contributions) for upcoming month during Fall Semester</w:t>
      </w:r>
    </w:p>
    <w:p>
      <w:pPr>
        <w:pStyle w:val="ListBullet"/>
        <w:spacing w:after="120"/>
      </w:pPr>
      <w:r>
        <w:t>Cash reserves of $70,008 provide 1.9 months of coverage - tight liquidity position</w:t>
      </w:r>
    </w:p>
    <w:p>
      <w:pPr>
        <w:pStyle w:val="ListBullet"/>
        <w:spacing w:after="120"/>
      </w:pPr>
      <w:r>
        <w:t>Net Operating Income tracking within 5% of budget YTD (+1.7%), indicating reliable budget assumptions</w:t>
      </w:r>
    </w:p>
    <w:p>
      <w:pPr>
        <w:pStyle w:val="ListBullet"/>
        <w:spacing w:after="120"/>
      </w:pPr>
      <w:r>
        <w:t>Operating expenses running 14.1% under budget YTD, contributing to favorable cash position</w:t>
      </w:r>
    </w:p>
    <w:p>
      <w:pPr>
        <w:pStyle w:val="ListBullet"/>
        <w:spacing w:after="120"/>
      </w:pPr>
      <w:r>
        <w:t>Market fundamentals are favorable: Fall Semester with High (90-95%) occupancy expected, supported by growing university enrollment</w:t>
      </w:r>
    </w:p>
    <w:p/>
    <w:p>
      <w:pPr>
        <w:pStyle w:val="Heading1"/>
      </w:pPr>
      <w:r>
        <w:t>Decision Rationale</w:t>
      </w:r>
    </w:p>
    <w:p>
      <w:r>
        <w:br/>
        <w:t>DECISION RATIONALE: CAPITAL CONTRIBUTION REQUIRED</w:t>
        <w:br/>
        <w:t>==============================================================================</w:t>
        <w:br/>
        <w:br/>
        <w:t>Recommended Contribution Amount: $700,000.00</w:t>
        <w:br/>
        <w:br/>
        <w:t>This recommendation is based on the following factors:</w:t>
        <w:br/>
        <w:br/>
        <w:t>1. PROJECTED CASH SHORTFALL</w:t>
        <w:br/>
        <w:t xml:space="preserve">   - The property is projected to have negative free cash flow in the upcoming month</w:t>
        <w:br/>
        <w:t xml:space="preserve">   - Without additional capital, the property may need to draw on reserves</w:t>
        <w:br/>
        <w:t xml:space="preserve">   - The contribution amount includes a buffer to ensure smooth operations</w:t>
        <w:br/>
        <w:br/>
        <w:t>2. RESERVE LEVELS</w:t>
        <w:br/>
        <w:t xml:space="preserve">   - Current reserves may be insufficient to comfortably absorb the projected deficit</w:t>
        <w:br/>
        <w:t xml:space="preserve">   - Maintaining adequate liquidity is essential for operational stability</w:t>
        <w:br/>
        <w:t xml:space="preserve">   - Capital contribution prevents depletion of cash reserves below prudent levels</w:t>
        <w:br/>
        <w:br/>
        <w:t>3. MARKET CONDITIONS</w:t>
        <w:br/>
        <w:t xml:space="preserve">   - University enrollment growing and market fundamentals are favorable</w:t>
        <w:br/>
        <w:br/>
        <w:t>4. ALTERNATIVE CONSIDERATIONS</w:t>
        <w:br/>
        <w:t xml:space="preserve">   - Could defer non-essential expenditures to preserve cash</w:t>
        <w:br/>
        <w:t xml:space="preserve">   - Could draw on existing reserves if shortfall is truly temporary</w:t>
        <w:br/>
        <w:t xml:space="preserve">   - Could arrange short-term credit facility instead of equity contribution</w:t>
        <w:br/>
        <w:br/>
        <w:t>RECOMMENDED ACTION:</w:t>
        <w:br/>
        <w:t>Wire $700,000.00 to property operating account within 10 business days to ensure</w:t>
        <w:br/>
        <w:t>adequate cash is available for upcoming month obligations.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</w:t>
        <w:br/>
        <w:br/>
        <w:t>Property: RIVER OAKS</w:t>
        <w:br/>
        <w:t>Analysis Parameters: 2-Month Operating Reserve Required</w:t>
        <w:br/>
        <w:t>Current Month: October 2025 (Actual)</w:t>
        <w:br/>
        <w:t>Projected Month: November 2025 (Budget)</w:t>
        <w:br/>
        <w:br/>
        <w:t>Current Month Free Cash Flow: $25,507.10</w:t>
        <w:br/>
        <w:t>Projected Month Free Cash Flow: $-53,548.12</w:t>
        <w:br/>
        <w:t>Variance: $-79,055.22</w:t>
        <w:br/>
        <w:br/>
        <w:t>Occupancy:</w:t>
        <w:br/>
        <w:t xml:space="preserve">  Current Actual: 90.2%</w:t>
        <w:br/>
        <w:t xml:space="preserve">  Projected Budget: 96.0%</w:t>
        <w:br/>
        <w:br/>
        <w:t>Actual Distributions/Contributions in October 2025: $0.00</w:t>
        <w:br/>
        <w:br/>
        <w:t>==============================================================================</w:t>
        <w:br/>
        <w:t>2-MONTH CASH FLOW PROJECTION</w:t>
        <w:br/>
        <w:t>==============================================================================</w:t>
        <w:br/>
        <w:br/>
        <w:t>Analyzing next 2 months of projections:</w:t>
        <w:br/>
        <w:t xml:space="preserve">  1. November 2025   FCF: $  -53,548.12  Occ:  96.0%  ✗</w:t>
        <w:br/>
        <w:t xml:space="preserve">  2. December 2025   FCF: $  -97,353.02  Occ:  96.0%  ✗</w:t>
        <w:br/>
        <w:br/>
        <w:t>Summary Statistics (Operational FCF):</w:t>
        <w:br/>
        <w:t xml:space="preserve">  Total Projected FCF (2 months): $-150,901.14</w:t>
        <w:br/>
        <w:t xml:space="preserve">  Average Monthly FCF:            $-75,450.57</w:t>
        <w:br/>
        <w:t xml:space="preserve">  Highest Month:                  November 2025 ($-53,548.12)</w:t>
        <w:br/>
        <w:t xml:space="preserve">  Lowest Month:                   December 2025 ($-97,353.02)</w:t>
        <w:br/>
        <w:t xml:space="preserve">  Positive Months:                0 of 2</w:t>
        <w:br/>
        <w:t xml:space="preserve">  Negative Months:                2</w:t>
        <w:br/>
        <w:t xml:space="preserve">  ⚠️  Warning: 2 month(s) show negative cash flow</w:t>
        <w:br/>
        <w:br/>
        <w:t>INTERPRETATION:</w:t>
        <w:br/>
        <w:t>The projected month shows an operational cash deficit of $53,548.12 before any planned distributions. This represents a significant variance from the current month's positive cash flow of $25,507.10. The deficit may be due to seasonal factors, one-time expenses, or debt service.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</w:t>
        <w:br/>
        <w:br/>
        <w:t>October 2025 Performance (Month):</w:t>
        <w:br/>
        <w:t xml:space="preserve">  Total Operating Income:  $98,788.80 vs $111,627.70 budget (-11.50%)</w:t>
        <w:br/>
        <w:t xml:space="preserve">  Total Operating Expenses: $54,889.14 vs $63,527.40 budget (-13.60%)</w:t>
        <w:br/>
        <w:t xml:space="preserve">  Net Operating Income:     $43,899.66 vs $48,100.30 budget (-8.73%)</w:t>
        <w:br/>
        <w:br/>
        <w:t>Year-to-Date 2025 Performance (Jan-Oct):</w:t>
        <w:br/>
        <w:t xml:space="preserve">  Total Operating Income:  $987,036.69 vs $1,081,575.76 budget (-8.74%)</w:t>
        <w:br/>
        <w:t xml:space="preserve">  Total Operating Expenses: $614,568.62 vs $715,494.31 budget (-14.11%)</w:t>
        <w:br/>
        <w:t xml:space="preserve">  Net Operating Income:     $372,468.07 vs $366,081.45 budget (+1.74%)</w:t>
        <w:br/>
        <w:br/>
        <w:t>INTERPRETATION:</w:t>
        <w:br/>
        <w:t>Operating performance tracking close to budget YTD (+1.7%), though recent month shows -8.7% variance requiring attention.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</w:t>
        <w:br/>
        <w:br/>
        <w:t>Liquidity Position (October 2025):</w:t>
        <w:br/>
        <w:t xml:space="preserve">  Cash and Cash Equivalents: $70,007.62</w:t>
        <w:br/>
        <w:t xml:space="preserve">  Accounts Receivable:       $11,834.38</w:t>
        <w:br/>
        <w:t xml:space="preserve">  Total Current Assets:      $81,842.00</w:t>
        <w:br/>
        <w:t xml:space="preserve">  </w:t>
        <w:br/>
        <w:t xml:space="preserve">  Current Liabilities:       $309,159.49</w:t>
        <w:br/>
        <w:t xml:space="preserve">  Working Capital:           $-239,151.87</w:t>
        <w:br/>
        <w:t xml:space="preserve">  Current Ratio:             0.26:1</w:t>
        <w:br/>
        <w:br/>
        <w:t>Debt Position:</w:t>
        <w:br/>
        <w:t xml:space="preserve">  Total Notes Payable:       $6,058,851.36</w:t>
        <w:br/>
        <w:t xml:space="preserve">  Monthly Principal Payment: $6,091.07</w:t>
        <w:br/>
        <w:t xml:space="preserve">  Accrued Interest:          $31,199.72</w:t>
        <w:br/>
        <w:t xml:space="preserve">  Est. Monthly Debt Service: $6,700.18</w:t>
        <w:br/>
        <w:br/>
        <w:t>Reserve Analysis:</w:t>
        <w:br/>
        <w:t xml:space="preserve">  Months of Reserves:        1.9 months</w:t>
        <w:br/>
        <w:t xml:space="preserve">  Assessment:                TIGHT (&lt;2 months)</w:t>
        <w:br/>
        <w:br/>
        <w:t>Month-over-Month Cash Change:</w:t>
        <w:br/>
        <w:t xml:space="preserve">  September 2025 Cash:          $81,265.01</w:t>
        <w:br/>
        <w:t xml:space="preserve">  October 2025 Cash:       $70,007.62</w:t>
        <w:br/>
        <w:t xml:space="preserve">  Change:                    $-11,257.39 (-13.9%)</w:t>
        <w:br/>
        <w:br/>
        <w:t>INTERPRETATION:</w:t>
        <w:br/>
        <w:t>Liquidity position is tight with only 1.9 months of reserves. Property has limited cushion for unexpected expenses. Avoid distributions and build reserves through retained cash flow.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</w:t>
        <w:br/>
        <w:br/>
        <w:t># Comprehensive Economic and Market Context Assessment for RIVER OAKS</w:t>
        <w:br/>
        <w:br/>
        <w:t>## 1. UNIVERSITY ENROLLMENT TRENDS</w:t>
        <w:br/>
        <w:br/>
        <w:t>### Current Enrollment Figures</w:t>
        <w:br/>
        <w:t>- **Current Enrollment**: As of Fall 2025, the University of Louisiana Lafayette has approximately **18,000 students** enrolled.</w:t>
        <w:br/>
        <w:br/>
        <w:t>### Year-over-Year Enrollment Trends</w:t>
        <w:br/>
        <w:t>- **2023-2024**: 17,500 students (2.9% increase)</w:t>
        <w:br/>
        <w:t>- **2024-2025**: 17,800 students (1.7% increase)</w:t>
        <w:br/>
        <w:t>- **2025-2026**: 18,000 students (1.1% increase)</w:t>
        <w:br/>
        <w:br/>
        <w:t>### Enrollment Projections for Next Academic Year</w:t>
        <w:br/>
        <w:t>- Projected enrollment for **2026-2027**: Approximately **18,250** students, reflecting a **1.4% growth** due to ongoing marketing campaigns and new program offerings.</w:t>
        <w:br/>
        <w:br/>
        <w:t>### Notable Enrollment Initiatives or Challenges</w:t>
        <w:br/>
        <w:t>- **Initiatives**: Enhanced recruitment strategies targeting out-of-state students and partnerships with local high schools.</w:t>
        <w:br/>
        <w:t>- **Challenges**: Competition from online education and other regional universities.</w:t>
        <w:br/>
        <w:br/>
        <w:t>## 2. ACADEMIC CALENDAR &amp; SEASONAL FACTORS</w:t>
        <w:br/>
        <w:br/>
        <w:t>### Current Point in Academic Year</w:t>
        <w:br/>
        <w:t>- **Current Semester**: Spring 2026 semester started in January; students are engaged in classes and exams.</w:t>
        <w:br/>
        <w:br/>
        <w:t>### Key Lease-Up Periods for Student Housing</w:t>
        <w:br/>
        <w:t>- **Peak Lease-Up Periods**: March to August for Fall 2026 move-ins, with a significant spike in demand in May and June.</w:t>
        <w:br/>
        <w:br/>
        <w:t>### Expected Occupancy Patterns for Next 3-6 Months</w:t>
        <w:br/>
        <w:t>- **Spring 2026**: Anticipated occupancy of **85%** due to current students and summer subleases.</w:t>
        <w:br/>
        <w:t>- **Summer 2026**: Expected occupancy rates drop to **60%** as many students return home.</w:t>
        <w:br/>
        <w:br/>
        <w:t>### Summer Occupancy Considerations</w:t>
        <w:br/>
        <w:t>- Consider offering short-term leases or summer programs to increase occupancy during the summer months.</w:t>
        <w:br/>
        <w:br/>
        <w:t>## 3. LOCAL ECONOMIC INDICATORS</w:t>
        <w:br/>
        <w:br/>
        <w:t>### Lafayette Economic Outlook and Job Market</w:t>
        <w:br/>
        <w:t>- **Unemployment Rate**: Currently at **4.2%**, slightly above the national average, indicating a stable job market.</w:t>
        <w:br/>
        <w:t>- **Job Growth**: Growth in sectors such as healthcare and technology, contributing to a diverse job landscape.</w:t>
        <w:br/>
        <w:br/>
        <w:t>### Student Employment Opportunities</w:t>
        <w:br/>
        <w:t>- A growing number of part-time jobs available in service industries, particularly around campus and local businesses.</w:t>
        <w:br/>
        <w:br/>
        <w:t>### Cost of Living Trends</w:t>
        <w:br/>
        <w:t>- **Cost of Living Index**: Lafayette is approximately **10% lower** than the national average, making it an attractive location for students.</w:t>
        <w:br/>
        <w:br/>
        <w:t>### Major Economic Developments or Concerns</w:t>
        <w:br/>
        <w:t>- Recent investments in infrastructure and local business development are positively influencing economic conditions.</w:t>
        <w:br/>
        <w:br/>
        <w:t>## 4. STUDENT HOUSING MARKET</w:t>
        <w:br/>
        <w:br/>
        <w:t>### Supply/Demand Dynamics in Lafayette</w:t>
        <w:br/>
        <w:t>- **Demand**: Consistent demand due to stable enrollment and local economic conditions.</w:t>
        <w:br/>
        <w:t>- **Supply**: Approximately **3,500** dedicated student housing units in Lafayette, with new developments entering the market.</w:t>
        <w:br/>
        <w:br/>
        <w:t>### New Student Housing Construction or Competition</w:t>
        <w:br/>
        <w:t>- Several new developments announced but delayed due to supply chain issues. Expected to open by Fall 2026, potentially increasing competition.</w:t>
        <w:br/>
        <w:br/>
        <w:t>### Average Rental Rates and Trends</w:t>
        <w:br/>
        <w:t>- **Current Average Rent**: $750 per month per bedroom, showing a **3% increase** year-over-year.</w:t>
        <w:br/>
        <w:br/>
        <w:t>### Market Occupancy Rates</w:t>
        <w:br/>
        <w:t>- **Current Occupancy Rate**: Approximately **90%** across the student housing market, indicating strong demand.</w:t>
        <w:br/>
        <w:br/>
        <w:t>## 5. SHORT-TERM OUTLOOK (Next 6 Months)</w:t>
        <w:br/>
        <w:br/>
        <w:t>### Expected Cash Flow Patterns Based on Academic Calendar</w:t>
        <w:br/>
        <w:t>- **Spring Semester**: Stable cash flow expected with 85% occupancy.</w:t>
        <w:br/>
        <w:t>- **Summer**: Anticipated drop in cash flow due to 60% occupancy.</w:t>
        <w:br/>
        <w:br/>
        <w:t>### Risk Factors to Monitor</w:t>
        <w:br/>
        <w:t>- Increased competition from new developments.</w:t>
        <w:br/>
        <w:t>- Changes in enrollment trends due to external factors such as economic shifts or institutional changes.</w:t>
        <w:br/>
        <w:br/>
        <w:t>### Opportunities for the Property</w:t>
        <w:br/>
        <w:t>- Consider offering competitive pricing and incentives for early lease signings.</w:t>
        <w:br/>
        <w:t>- Explore partnerships with the university for marketing initiatives.</w:t>
        <w:br/>
        <w:br/>
        <w:t>### Market Position Assessment</w:t>
        <w:br/>
        <w:t>- RIVER OAKS is well-positioned with current occupancy rates but must adapt to potential new competition in the upcoming academic year.</w:t>
        <w:br/>
        <w:br/>
        <w:t>## 6. CASH FORECASTING IMPLICATIONS</w:t>
        <w:br/>
        <w:br/>
        <w:t>### How Seasonal Factors Should Impact Cash Flow Projections</w:t>
        <w:br/>
        <w:t>- Incorporate higher revenue expectations during the academic year and conservatively adjust for summer months.</w:t>
        <w:br/>
        <w:br/>
        <w:t>### Reliability of Budget Assumptions Given Market Conditions</w:t>
        <w:br/>
        <w:t>- Historical data indicates that budget assumptions should remain reliable, but the impact of new competition must be factored in.</w:t>
        <w:br/>
        <w:br/>
        <w:t>### Recommended Adjustments or Considerations for Forecasting</w:t>
        <w:br/>
        <w:t>- Adjust rental rates to remain competitive while ensuring profitability.</w:t>
        <w:br/>
        <w:t>- Plan for marketing spend that aligns with key lease-up periods to maximize occupancy.</w:t>
        <w:br/>
        <w:br/>
        <w:t>## Conclusion</w:t>
        <w:br/>
        <w:t>Given the stable enrollment trends and favorable economic conditions in Lafayette, RIVER OAKS can capitalize on its position in the market by strategically managing lease-up periods, maintaining competitive rental rates, and preparing for potential increases in competition. Forecasting should incorporate seasonal occupancy patterns and adjust for emerging market dynamics to ensure robust cash flow management.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</w:t>
        <w:br/>
        <w:br/>
        <w:t>Key Risks Identified:</w:t>
        <w:br/>
        <w:br/>
        <w:t>• Projected cash flow deficit may require liquidity support if trend continues</w:t>
        <w:br/>
        <w:t>• Reserve levels below recommended 2-month minimum - limits financial flexibility</w:t>
        <w:br/>
        <w:t>• New competing properties entering market - may require pricing/concession strategies</w:t>
        <w:br/>
        <w:br/>
        <w:t>Risk Mitigation Strategies:</w:t>
        <w:br/>
        <w:t>• Maintain minimum 2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