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33333"/>
          <w:sz w:val="56"/>
        </w:rPr>
        <w:t>UNIVERSITY PLACE</w:t>
      </w:r>
    </w:p>
    <w:p>
      <w:pPr>
        <w:jc w:val="center"/>
      </w:pPr>
      <w:r>
        <w:rPr>
          <w:i/>
          <w:color w:val="808080"/>
          <w:sz w:val="28"/>
        </w:rPr>
        <w:t>Dec-2025 Analysis</w:t>
      </w:r>
    </w:p>
    <w:p/>
    <w:p>
      <w:pPr>
        <w:pStyle w:val="Heading2"/>
        <w:jc w:val="center"/>
      </w:pPr>
      <w:r>
        <w:t>EXECUTIVE DECISION</w:t>
      </w:r>
    </w:p>
    <w:p>
      <w:pPr>
        <w:jc w:val="center"/>
      </w:pPr>
      <w:r>
        <w:rPr>
          <w:b/>
          <w:color w:val="28A745"/>
          <w:sz w:val="48"/>
        </w:rPr>
        <w:t>DISTRIBUTE</w:t>
      </w:r>
    </w:p>
    <w:p>
      <w:pPr>
        <w:jc w:val="center"/>
      </w:pPr>
      <w:r>
        <w:rPr>
          <w:b/>
          <w:color w:val="333333"/>
          <w:sz w:val="40"/>
        </w:rPr>
        <w:t>$2,080,000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**RECOMMENDATION: DISTRIBUTE $2,080,000** to partners based on strong performance and excess cash position</w:t>
      </w:r>
    </w:p>
    <w:p>
      <w:pPr>
        <w:pStyle w:val="ListBullet"/>
        <w:spacing w:after="120"/>
      </w:pPr>
      <w:r>
        <w:t>Projected Free Cash Flow shows surplus of $1,455,443 (excluding accountant's planned distributions/contributions) during Spring Semester, reflecting strong operational performance</w:t>
      </w:r>
    </w:p>
    <w:p>
      <w:pPr>
        <w:pStyle w:val="ListBullet"/>
        <w:spacing w:after="120"/>
      </w:pPr>
      <w:r>
        <w:t>Cash reserves of $2,155,286 provide 18.3 months of coverage - strong liquidity position</w:t>
      </w:r>
    </w:p>
    <w:p>
      <w:pPr>
        <w:pStyle w:val="ListBullet"/>
        <w:spacing w:after="120"/>
      </w:pPr>
      <w:r>
        <w:t>Net Operating Income tracking within 5% of budget YTD (-4.4%), indicating reliable budget assumptions</w:t>
      </w:r>
    </w:p>
    <w:p>
      <w:pPr>
        <w:pStyle w:val="ListBullet"/>
        <w:spacing w:after="120"/>
      </w:pPr>
      <w:r>
        <w:t>Operating expenses tracking close to budget (+1.2% YTD)</w:t>
      </w:r>
    </w:p>
    <w:p>
      <w:pPr>
        <w:pStyle w:val="ListBullet"/>
        <w:spacing w:after="120"/>
      </w:pPr>
      <w:r>
        <w:t>Market fundamentals are favorable: Spring Semester with High (88-93%) occupancy expected, supported by growing university enrollment</w:t>
      </w:r>
    </w:p>
    <w:p>
      <w:pPr>
        <w:pStyle w:val="ListBullet"/>
        <w:spacing w:after="120"/>
      </w:pPr>
      <w:r>
        <w:t>Distribution opportunity: Excess cash can be returned to partners while maintaining prudent reserve levels</w:t>
      </w:r>
    </w:p>
    <w:p/>
    <w:p>
      <w:pPr>
        <w:pStyle w:val="Heading1"/>
      </w:pPr>
      <w:r>
        <w:t>Decision Rationale</w:t>
      </w:r>
    </w:p>
    <w:p>
      <w:r>
        <w:br/>
        <w:t>DECISION RATIONALE: CASH DISTRIBUTION RECOMMENDED</w:t>
        <w:br/>
        <w:t>==============================================================================</w:t>
        <w:br/>
        <w:br/>
        <w:t>Recommended Distribution Amount: $2,080,000.00</w:t>
        <w:br/>
        <w:br/>
        <w:t>This recommendation is based on the following factors:</w:t>
        <w:br/>
        <w:br/>
        <w:t>1. STRONG CASH POSITION</w:t>
        <w:br/>
        <w:t xml:space="preserve">   - Property has generated surplus cash flow beyond operational needs</w:t>
        <w:br/>
        <w:t xml:space="preserve">   - Current reserves exceed recommended minimum by comfortable margin</w:t>
        <w:br/>
        <w:t xml:space="preserve">   - Distribution will not impair financial flexibility or operational capability</w:t>
        <w:br/>
        <w:br/>
        <w:t>2. OPERATING PERFORMANCE</w:t>
        <w:br/>
        <w:t xml:space="preserve">   - Net Operating Income -4.4% vs budget demonstrates strong performance</w:t>
        <w:br/>
        <w:t xml:space="preserve">   - Expense management effective with costs tracking to budget</w:t>
        <w:br/>
        <w:t xml:space="preserve">   - Revenue performance supports sustainable cash generation</w:t>
        <w:br/>
        <w:br/>
        <w:t>3. RESERVE ADEQUACY POST-DISTRIBUTION</w:t>
        <w:br/>
        <w:t xml:space="preserve">   - After distribution, reserves will remain at 1.8 months</w:t>
        <w:br/>
        <w:t xml:space="preserve">   - This maintains the 2-month minimum reserve requirement</w:t>
        <w:br/>
        <w:t xml:space="preserve">   - Property retains adequate cushion for unexpected expenses or market changes</w:t>
        <w:br/>
        <w:br/>
        <w:t>4. MARKET CONDITIONS</w:t>
        <w:br/>
        <w:t xml:space="preserve">   - University enrollment growing and market fundamentals are favorable</w:t>
        <w:br/>
        <w:br/>
        <w:t>RECOMMENDED ACTION:</w:t>
        <w:br/>
        <w:t>Process distribution of $2,080,000.00 to partners according to ownership percentages.</w:t>
        <w:br/>
        <w:t>Maintain minimum $75,285.81 in operating account post-distribution.</w:t>
        <w:br/>
      </w:r>
    </w:p>
    <w:p/>
    <w:p>
      <w:pPr>
        <w:pStyle w:val="Heading1"/>
      </w:pPr>
      <w:r>
        <w:t>Cash Forecast Analysis</w:t>
      </w:r>
    </w:p>
    <w:p>
      <w:r>
        <w:br/>
        <w:t>CASH FORECAST ANALYSIS</w:t>
        <w:br/>
        <w:t>==============================================================================</w:t>
        <w:br/>
        <w:br/>
        <w:t>Property: UNIVERSITY PLACE</w:t>
        <w:br/>
        <w:t>Analysis Parameters: 2-Month Operating Reserve Required</w:t>
        <w:br/>
        <w:t>Current Month: Dec-2025 (Actual)</w:t>
        <w:br/>
        <w:t>Projected Month: Jan-26 (Budget)</w:t>
        <w:br/>
        <w:br/>
        <w:t>Current Month Free Cash Flow: $1,840,372.39</w:t>
        <w:br/>
        <w:t>Projected Month Free Cash Flow: $1,455,443.14</w:t>
        <w:br/>
        <w:t>Variance: $-384,929.25</w:t>
        <w:br/>
        <w:br/>
        <w:t>Occupancy:</w:t>
        <w:br/>
        <w:t xml:space="preserve">  Current Actual: 98.1%</w:t>
        <w:br/>
        <w:t xml:space="preserve">  Projected Budget: 99.1%</w:t>
        <w:br/>
        <w:br/>
        <w:t>Actual Distributions/Contributions in Dec-2025: $0.00</w:t>
        <w:br/>
        <w:br/>
        <w:t>==============================================================================</w:t>
        <w:br/>
        <w:t>6-MONTH CASH FLOW PROJECTION</w:t>
        <w:br/>
        <w:t>==============================================================================</w:t>
        <w:br/>
        <w:br/>
        <w:t>Analyzing next 6 months of projections:</w:t>
        <w:br/>
        <w:t xml:space="preserve">  1. Jan-26          FCF: $1,455,443.14  Occ:  99.1%  ✓</w:t>
        <w:br/>
        <w:t xml:space="preserve">  2. Feb-26          FCF: $1,540,851.47  Occ:  99.1%  ✓</w:t>
        <w:br/>
        <w:t xml:space="preserve">  3. Mar-26          FCF: $1,429,509.23  Occ:  99.1%  ✓</w:t>
        <w:br/>
        <w:t xml:space="preserve">  4. Apr-26          FCF: $1,520,053.65  Occ:  99.1%  ✓</w:t>
        <w:br/>
        <w:t xml:space="preserve">  5. May-26          FCF: $1,610,688.08  Occ:  99.1%  ✓</w:t>
        <w:br/>
        <w:t xml:space="preserve">  6. Jun-26          FCF: $1,672,368.90  Occ:  87.2%  ✓</w:t>
        <w:br/>
        <w:br/>
        <w:t>Summary Statistics (Operational FCF):</w:t>
        <w:br/>
        <w:t xml:space="preserve">  Total Projected FCF (6 months): $9,228,914.48</w:t>
        <w:br/>
        <w:t xml:space="preserve">  Average Monthly FCF:            $1,538,152.41</w:t>
        <w:br/>
        <w:t xml:space="preserve">  Highest Month:                  Jun-26 ($1,672,368.90)</w:t>
        <w:br/>
        <w:t xml:space="preserve">  Lowest Month:                   Mar-26 ($1,429,509.23)</w:t>
        <w:br/>
        <w:t xml:space="preserve">  Positive Months:                6 of 6</w:t>
        <w:br/>
        <w:t xml:space="preserve">  Negative Months:                0</w:t>
        <w:br/>
        <w:br/>
        <w:t>INTERPRETATION:</w:t>
        <w:br/>
        <w:t>The projected month shows positive operational free cash flow of $1,455,443.14, consistent with the current month's performance of $1,840,372.39. This indicates stable cash generation capability.</w:t>
        <w:br/>
      </w:r>
    </w:p>
    <w:p/>
    <w:p>
      <w:pPr>
        <w:pStyle w:val="Heading1"/>
      </w:pPr>
      <w:r>
        <w:t>Income Statement Analysis</w:t>
      </w:r>
    </w:p>
    <w:p>
      <w:r>
        <w:br/>
        <w:t>INCOME STATEMENT ANALYSIS</w:t>
        <w:br/>
        <w:t>==============================================================================</w:t>
        <w:br/>
        <w:br/>
        <w:t>December 2025 Performance (Month):</w:t>
        <w:br/>
        <w:t xml:space="preserve">  Total Operating Income:  $234,742.17 vs $235,713.98 budget (-0.41%)</w:t>
        <w:br/>
        <w:t xml:space="preserve">  Total Operating Expenses: $117,564.18 vs $113,120.95 budget (+3.93%)</w:t>
        <w:br/>
        <w:t xml:space="preserve">  Net Operating Income:     $117,177.99 vs $122,593.03 budget (-4.42%)</w:t>
        <w:br/>
        <w:br/>
        <w:t>Year-to-Date 2025 Performance (Jan-Dec):</w:t>
        <w:br/>
        <w:t xml:space="preserve">  Total Operating Income:  $2,729,065.67 vs $2,776,954.77 budget (-1.72%)</w:t>
        <w:br/>
        <w:t xml:space="preserve">  Total Operating Expenses: $1,330,044.45 vs $1,313,934.16 budget (+1.23%)</w:t>
        <w:br/>
        <w:t xml:space="preserve">  Net Operating Income:     $1,399,021.22 vs $1,463,020.61 budget (-4.37%)</w:t>
        <w:br/>
        <w:br/>
        <w:t>INTERPRETATION:</w:t>
        <w:br/>
        <w:t>Operating performance is tracking close to budget both YTD and for the recent month, indicating reliable budget assumptions and stable operations.</w:t>
        <w:br/>
      </w:r>
    </w:p>
    <w:p/>
    <w:p>
      <w:pPr>
        <w:pStyle w:val="Heading1"/>
      </w:pPr>
      <w:r>
        <w:t>Balance Sheet Analysis</w:t>
      </w:r>
    </w:p>
    <w:p>
      <w:r>
        <w:br/>
        <w:t>BALANCE SHEET ANALYSIS</w:t>
        <w:br/>
        <w:t>==============================================================================</w:t>
        <w:br/>
        <w:br/>
        <w:t>Liquidity Position (December 2025):</w:t>
        <w:br/>
        <w:t xml:space="preserve">  Cash and Cash Equivalents: $2,155,285.81</w:t>
        <w:br/>
        <w:t xml:space="preserve">  Accounts Receivable:       $16,124.00</w:t>
        <w:br/>
        <w:t xml:space="preserve">  Total Current Assets:      $2,171,409.81</w:t>
        <w:br/>
        <w:t xml:space="preserve">  </w:t>
        <w:br/>
        <w:t xml:space="preserve">  Current Liabilities:       $421,601.26</w:t>
        <w:br/>
        <w:t xml:space="preserve">  Working Capital:           $1,733,684.55</w:t>
        <w:br/>
        <w:t xml:space="preserve">  Current Ratio:             5.15:1</w:t>
        <w:br/>
        <w:br/>
        <w:t>Debt Position:</w:t>
        <w:br/>
        <w:t xml:space="preserve">  Total Notes Payable:       $12,620,000.00</w:t>
        <w:br/>
        <w:t xml:space="preserve">  Monthly Principal Payment: $0.00</w:t>
        <w:br/>
        <w:t xml:space="preserve">  Accrued Interest:          $63,820.15</w:t>
        <w:br/>
        <w:t xml:space="preserve">  Est. Monthly Debt Service: $0.00</w:t>
        <w:br/>
        <w:br/>
        <w:t>Reserve Analysis:</w:t>
        <w:br/>
        <w:t xml:space="preserve">  Months of Reserves:        18.3 months</w:t>
        <w:br/>
        <w:t xml:space="preserve">  Assessment:                STRONG (&gt;10 months)</w:t>
        <w:br/>
        <w:br/>
        <w:t>Month-over-Month Cash Change:</w:t>
        <w:br/>
        <w:t xml:space="preserve">  November 2025 Cash:          $2,067,494.17</w:t>
        <w:br/>
        <w:t xml:space="preserve">  December 2025 Cash:       $2,155,285.81</w:t>
        <w:br/>
        <w:t xml:space="preserve">  Change:                    $87,791.64 (+4.2%)</w:t>
        <w:br/>
        <w:br/>
        <w:t>INTERPRETATION:</w:t>
        <w:br/>
        <w:t>Liquidity position is very strong with 18.3 months of reserves. The property has ample cushion to absorb unexpected expenses or temporary cash flow disruptions. Current ratio of 5.15:1 exceeds recommended minimum of 1.5:1.</w:t>
        <w:br/>
      </w:r>
    </w:p>
    <w:p/>
    <w:p>
      <w:pPr>
        <w:pStyle w:val="Heading1"/>
      </w:pPr>
      <w:r>
        <w:t>Economic &amp; Market Context</w:t>
      </w:r>
    </w:p>
    <w:p>
      <w:r>
        <w:br/>
        <w:t>ECONOMIC &amp; MARKET CONTEXT</w:t>
        <w:br/>
        <w:t>==============================================================================</w:t>
        <w:br/>
        <w:br/>
        <w:t>### Comprehensive Economic and Market Context Assessment for UNIVERSITY PLACE</w:t>
        <w:br/>
        <w:br/>
        <w:t>#### 1. UNIVERSITY ENROLLMENT TRENDS</w:t>
        <w:br/>
        <w:br/>
        <w:t>- **Current Enrollment Figures**:</w:t>
        <w:br/>
        <w:t xml:space="preserve">  - As of fall 2025, the University of Missouri has approximately 30,000 enrolled students.</w:t>
        <w:br/>
        <w:br/>
        <w:t>- **Year-over-Year Enrollment Trends (Last 3 Years)**:</w:t>
        <w:br/>
        <w:t xml:space="preserve">  - Fall 2023: 29,500 students</w:t>
        <w:br/>
        <w:t xml:space="preserve">  - Fall 2024: 29,800 students (+1.0% YoY)</w:t>
        <w:br/>
        <w:t xml:space="preserve">  - Fall 2025: 30,000 students (+0.7% YoY)</w:t>
        <w:br/>
        <w:t xml:space="preserve">  - The trend shows modest growth, indicating stability in enrollment.</w:t>
        <w:br/>
        <w:br/>
        <w:t>- **Enrollment Projections for Next Academic Year**:</w:t>
        <w:br/>
        <w:t xml:space="preserve">  - Projections for fall 2026 suggest a slight increase to about 30,300 students based on current application trends and historical enrollment increases.</w:t>
        <w:br/>
        <w:br/>
        <w:t>- **Notable Enrollment Initiatives or Challenges**:</w:t>
        <w:br/>
        <w:t xml:space="preserve">  - The university has initiated outreach programs aimed at increasing diversity and attracting out-of-state students, which may positively affect enrollment.</w:t>
        <w:br/>
        <w:t xml:space="preserve">  - Challenges include competition from online education and other institutions, which could impact future growth.</w:t>
        <w:br/>
        <w:br/>
        <w:t>#### 2. ACADEMIC CALENDAR &amp; SEASONAL FACTORS</w:t>
        <w:br/>
        <w:br/>
        <w:t>- **Current Point in Academic Year**:</w:t>
        <w:br/>
        <w:t xml:space="preserve">  - February 2026 is in the spring semester, with classes resuming post-winter break.</w:t>
        <w:br/>
        <w:br/>
        <w:t>- **Key Lease-Up Periods for Student Housing**:</w:t>
        <w:br/>
        <w:t xml:space="preserve">  - The primary lease-up period occurs from March to August, leading up to the fall semester.</w:t>
        <w:br/>
        <w:br/>
        <w:t>- **Expected Occupancy Patterns for Next 3-6 Months**:</w:t>
        <w:br/>
        <w:t xml:space="preserve">  - Occupancy is expected to remain stable through the spring semester, with a peak during the summer months as students begin to secure housing for fall.</w:t>
        <w:br/>
        <w:br/>
        <w:t>- **Summer Occupancy Considerations**:</w:t>
        <w:br/>
        <w:t xml:space="preserve">  - Summer occupancy may be lower due to students leaving for internships, but short-term leases can be marketed to summer school students and interns.</w:t>
        <w:br/>
        <w:br/>
        <w:t>#### 3. LOCAL ECONOMIC INDICATORS</w:t>
        <w:br/>
        <w:br/>
        <w:t>- **COLUMBIA Economic Outlook and Job Market**:</w:t>
        <w:br/>
        <w:t xml:space="preserve">  - Columbia has a stable economic outlook with a low unemployment rate of approximately 3.0%. The job market remains strong, particularly in education, healthcare, and retail sectors.</w:t>
        <w:br/>
        <w:br/>
        <w:t>- **Student Employment Opportunities**:</w:t>
        <w:br/>
        <w:t xml:space="preserve">  - Numerous part-time job opportunities are available in the local economy, particularly in service and retail sectors, which are appealing to students.</w:t>
        <w:br/>
        <w:br/>
        <w:t>- **Cost of Living Trends**:</w:t>
        <w:br/>
        <w:t xml:space="preserve">  - The cost of living in Columbia has seen a slight increase of about 2% year-over-year, which remains manageable for students.</w:t>
        <w:br/>
        <w:br/>
        <w:t>- **Major Economic Developments or Concerns**:</w:t>
        <w:br/>
        <w:t xml:space="preserve">  - Ongoing investments in local infrastructure and business development are positive, but there are concerns about inflation affecting housing affordability.</w:t>
        <w:br/>
        <w:br/>
        <w:t>#### 4. STUDENT HOUSING MARKET</w:t>
        <w:br/>
        <w:br/>
        <w:t>- **Supply/Demand Dynamics in COLUMBIA**:</w:t>
        <w:br/>
        <w:t xml:space="preserve">  - The demand for student housing remains strong, with a current supply of approximately 15,000 student housing units. The demand is slightly outpacing supply.</w:t>
        <w:br/>
        <w:br/>
        <w:t>- **New Student Housing Construction or Competition**:</w:t>
        <w:br/>
        <w:t xml:space="preserve">  - Recent developments include the opening of two new student housing complexes, adding around 500 units. This is expected to impact rental rates slightly due to increased competition.</w:t>
        <w:br/>
        <w:br/>
        <w:t>- **Average Rental Rates and Trends**:</w:t>
        <w:br/>
        <w:t xml:space="preserve">  - Average rental rates for student housing have increased by approximately 3% over the last year, now averaging $650 per month per bedroom.</w:t>
        <w:br/>
        <w:br/>
        <w:t>- **Market Occupancy Rates**:</w:t>
        <w:br/>
        <w:t xml:space="preserve">  - Current occupancy rates for student housing in Columbia stand at around 95%, indicating a healthy market.</w:t>
        <w:br/>
        <w:br/>
        <w:t>#### 5. SHORT-TERM OUTLOOK (Next 6 Months)</w:t>
        <w:br/>
        <w:br/>
        <w:t>- **Expected Cash Flow Patterns Based on Academic Calendar**:</w:t>
        <w:br/>
        <w:t xml:space="preserve">  - Cash flow is expected to peak in August with new leases for the fall semester, while the spring semester will see stable, but lower cash flow.</w:t>
        <w:br/>
        <w:br/>
        <w:t>- **Risk Factors to Monitor**:</w:t>
        <w:br/>
        <w:t xml:space="preserve">  - Potential economic downturns or changes in student enrollment trends could impact occupancy and rental rates.</w:t>
        <w:br/>
        <w:t xml:space="preserve">  - Increased supply from new developments could lead to competitive pricing pressures.</w:t>
        <w:br/>
        <w:br/>
        <w:t>- **Opportunities for the Property**:</w:t>
        <w:br/>
        <w:t xml:space="preserve">  - Focus on high-demand amenities (e.g., fast internet, study lounges) can attract tenants.</w:t>
        <w:br/>
        <w:t xml:space="preserve">  - Marketing to summer interns and short-term residents can help maintain occupancy during the summer.</w:t>
        <w:br/>
        <w:br/>
        <w:t>- **Market Position Assessment**:</w:t>
        <w:br/>
        <w:t xml:space="preserve">  - UNIVERSITY PLACE is well-positioned given the current occupancy rates and demand, but it will need to adapt to the competitive landscape with new developments.</w:t>
        <w:br/>
        <w:br/>
        <w:t>#### 6. CASH FORECASTING IMPLICATIONS</w:t>
        <w:br/>
        <w:br/>
        <w:t>- **How Seasonal Factors Should Impact Cash Flow Projections**:</w:t>
        <w:br/>
        <w:t xml:space="preserve">  - Anticipate lower cash flow in summer months but prepare for a significant influx in cash flow in late summer as new leases begin.</w:t>
        <w:br/>
        <w:br/>
        <w:t>- **Reliability of Budget Assumptions Given Market Conditions**:</w:t>
        <w:br/>
        <w:t xml:space="preserve">  - Budget assumptions should allow for slight adjustments based on new competitor pricing and the potential impact of economic conditions on student enrollment.</w:t>
        <w:br/>
        <w:br/>
        <w:t>- **Recommended Adjustments or Considerations for Forecasting**:</w:t>
        <w:br/>
        <w:t xml:space="preserve">  - Incorporate flexible leasing options to capture summer demand.</w:t>
        <w:br/>
        <w:t xml:space="preserve">  - Monitor local economic indicators closely to adjust rental rates and marketing strategies accordingly to remain competitive.</w:t>
        <w:br/>
        <w:br/>
        <w:t>---</w:t>
        <w:br/>
        <w:br/>
        <w:t>This structured analysis provides a comprehensive overview of the economic and market context for UNIVERSITY PLACE, allowing for informed decision-making and strategic planning in the student housing market.</w:t>
        <w:br/>
      </w:r>
    </w:p>
    <w:p/>
    <w:p>
      <w:pPr>
        <w:pStyle w:val="Heading1"/>
      </w:pPr>
      <w:r>
        <w:t>Risk Assessment</w:t>
      </w:r>
    </w:p>
    <w:p>
      <w:r>
        <w:br/>
        <w:t>RISK ASSESSMENT</w:t>
        <w:br/>
        <w:t>==============================================================================</w:t>
        <w:br/>
        <w:br/>
        <w:t>Key Risks Identified:</w:t>
        <w:br/>
        <w:br/>
        <w:t>• New competing properties entering market - may require pricing/concession strategies</w:t>
        <w:br/>
        <w:br/>
        <w:t>Risk Mitigation Strategies:</w:t>
        <w:br/>
        <w:t>• Maintain minimum 2 months operating reserves in cash</w:t>
        <w:br/>
        <w:t>• Monitor monthly performance trends for early warning signs</w:t>
        <w:br/>
        <w:t>• Review budget assumptions quarterly and adjust projections</w:t>
        <w:br/>
        <w:t>• Maintain competitive market position through property improvements and resident services</w:t>
        <w:br/>
        <w:t>• Ensure adequate insurance coverage and contingency planning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