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FB7C" w14:textId="77777777" w:rsidR="002E1343" w:rsidRDefault="00000000">
      <w:pPr>
        <w:pStyle w:val="Heading1"/>
        <w:jc w:val="center"/>
      </w:pPr>
      <w:r>
        <w:rPr>
          <w:color w:val="333333"/>
          <w:sz w:val="56"/>
        </w:rPr>
        <w:t>UNIVERSITY PLACE</w:t>
      </w:r>
    </w:p>
    <w:p w14:paraId="61697C77" w14:textId="77777777" w:rsidR="002E1343" w:rsidRDefault="00000000">
      <w:pPr>
        <w:jc w:val="center"/>
      </w:pPr>
      <w:r>
        <w:rPr>
          <w:i/>
          <w:color w:val="808080"/>
          <w:sz w:val="28"/>
        </w:rPr>
        <w:t>Dec-2025 Analysis</w:t>
      </w:r>
    </w:p>
    <w:p w14:paraId="26D8D8D1" w14:textId="77777777" w:rsidR="002E1343" w:rsidRDefault="002E1343"/>
    <w:p w14:paraId="68029FDE" w14:textId="77777777" w:rsidR="002E1343" w:rsidRDefault="00000000">
      <w:pPr>
        <w:pStyle w:val="Heading2"/>
        <w:jc w:val="center"/>
      </w:pPr>
      <w:r>
        <w:t>EXECUTIVE DECISION</w:t>
      </w:r>
    </w:p>
    <w:p w14:paraId="47BBEE9A" w14:textId="77777777" w:rsidR="002E1343" w:rsidRDefault="00000000">
      <w:pPr>
        <w:jc w:val="center"/>
      </w:pPr>
      <w:r>
        <w:rPr>
          <w:b/>
          <w:color w:val="28A745"/>
          <w:sz w:val="48"/>
        </w:rPr>
        <w:t>DISTRIBUTE</w:t>
      </w:r>
    </w:p>
    <w:p w14:paraId="0FBD5374" w14:textId="77777777" w:rsidR="002E1343" w:rsidRDefault="00000000">
      <w:pPr>
        <w:jc w:val="center"/>
      </w:pPr>
      <w:r>
        <w:rPr>
          <w:b/>
          <w:color w:val="333333"/>
          <w:sz w:val="40"/>
        </w:rPr>
        <w:t>$1,910,000</w:t>
      </w:r>
    </w:p>
    <w:p w14:paraId="6D3743E2" w14:textId="77777777" w:rsidR="002E1343" w:rsidRDefault="00000000">
      <w:r>
        <w:br w:type="page"/>
      </w:r>
    </w:p>
    <w:p w14:paraId="7C341E86" w14:textId="77777777" w:rsidR="002E1343" w:rsidRDefault="00000000">
      <w:pPr>
        <w:pStyle w:val="Heading1"/>
      </w:pPr>
      <w:r>
        <w:lastRenderedPageBreak/>
        <w:t>Executive Summary</w:t>
      </w:r>
    </w:p>
    <w:p w14:paraId="7683EA65" w14:textId="77777777" w:rsidR="002E1343" w:rsidRDefault="00000000">
      <w:pPr>
        <w:pStyle w:val="ListBullet"/>
        <w:spacing w:after="120"/>
      </w:pPr>
      <w:r>
        <w:t>**RECOMMENDATION: DISTRIBUTE $1,910,000** to partners based on strong performance and excess cash position</w:t>
      </w:r>
    </w:p>
    <w:p w14:paraId="3DC41E4D" w14:textId="77777777" w:rsidR="002E1343" w:rsidRDefault="00000000">
      <w:pPr>
        <w:pStyle w:val="ListBullet"/>
        <w:spacing w:after="120"/>
      </w:pPr>
      <w:r>
        <w:t>Projected Free Cash Flow shows surplus of $1,455,443 (excluding accountant's planned distributions/contributions) during Spring Semester, reflecting strong operational performance</w:t>
      </w:r>
    </w:p>
    <w:p w14:paraId="27CB4252" w14:textId="77777777" w:rsidR="002E1343" w:rsidRDefault="00000000">
      <w:pPr>
        <w:pStyle w:val="ListBullet"/>
        <w:spacing w:after="120"/>
      </w:pPr>
      <w:r>
        <w:t>Cash reserves of $2,155,286 provide 18.3 months of coverage - strong liquidity position</w:t>
      </w:r>
    </w:p>
    <w:p w14:paraId="3BBC0F2B" w14:textId="77777777" w:rsidR="002E1343" w:rsidRDefault="00000000">
      <w:pPr>
        <w:pStyle w:val="ListBullet"/>
        <w:spacing w:after="120"/>
      </w:pPr>
      <w:r>
        <w:t>Net Operating Income tracking within 5% of budget YTD (-4.4%), indicating reliable budget assumptions</w:t>
      </w:r>
    </w:p>
    <w:p w14:paraId="389EB41F" w14:textId="77777777" w:rsidR="002E1343" w:rsidRDefault="00000000">
      <w:pPr>
        <w:pStyle w:val="ListBullet"/>
        <w:spacing w:after="120"/>
      </w:pPr>
      <w:r>
        <w:t>Operating expenses tracking close to budget (+1.2% YTD)</w:t>
      </w:r>
    </w:p>
    <w:p w14:paraId="3B70D863" w14:textId="77777777" w:rsidR="002E1343" w:rsidRDefault="00000000">
      <w:pPr>
        <w:pStyle w:val="ListBullet"/>
        <w:spacing w:after="120"/>
      </w:pPr>
      <w:r>
        <w:t>Market fundamentals are favorable: Spring Semester with High (88-93%) occupancy expected, supported by growing university enrollment</w:t>
      </w:r>
    </w:p>
    <w:p w14:paraId="732A209C" w14:textId="77777777" w:rsidR="002E1343" w:rsidRDefault="00000000">
      <w:pPr>
        <w:pStyle w:val="ListBullet"/>
        <w:spacing w:after="120"/>
      </w:pPr>
      <w:r>
        <w:t>Distribution opportunity: Excess cash can be returned to partners while maintaining prudent reserve levels</w:t>
      </w:r>
    </w:p>
    <w:p w14:paraId="3231E7ED" w14:textId="77777777" w:rsidR="002E1343" w:rsidRDefault="002E1343"/>
    <w:p w14:paraId="3F9B2E43" w14:textId="77777777" w:rsidR="002E1343" w:rsidRDefault="00000000">
      <w:pPr>
        <w:pStyle w:val="Heading1"/>
      </w:pPr>
      <w:r>
        <w:t>Decision Rationale</w:t>
      </w:r>
    </w:p>
    <w:p w14:paraId="3F4A9EE6" w14:textId="77777777" w:rsidR="002E1343" w:rsidRDefault="00000000">
      <w:r>
        <w:br/>
        <w:t>DECISION RATIONALE: CASH DISTRIBUTION RECOMMENDED</w:t>
      </w:r>
      <w:r>
        <w:br/>
        <w:t>==============================================================================</w:t>
      </w:r>
      <w:r>
        <w:br/>
      </w:r>
      <w:r>
        <w:br/>
        <w:t>Recommended Distribution Amount: $1,910,000.00</w:t>
      </w:r>
      <w:r>
        <w:br/>
      </w:r>
      <w:r>
        <w:br/>
        <w:t>This recommendation is based on the following factors:</w:t>
      </w:r>
      <w:r>
        <w:br/>
      </w:r>
      <w:r>
        <w:br/>
        <w:t>1. STRONG CASH POSITION</w:t>
      </w:r>
      <w:r>
        <w:br/>
        <w:t xml:space="preserve">   - Property has generated surplus cash flow beyond operational needs</w:t>
      </w:r>
      <w:r>
        <w:br/>
        <w:t xml:space="preserve">   - Current reserves exceed recommended minimum by comfortable margin</w:t>
      </w:r>
      <w:r>
        <w:br/>
        <w:t xml:space="preserve">   - Distribution will not impair financial flexibility or operational capability</w:t>
      </w:r>
      <w:r>
        <w:br/>
      </w:r>
      <w:r>
        <w:br/>
        <w:t>2. OPERATING PERFORMANCE</w:t>
      </w:r>
      <w:r>
        <w:br/>
        <w:t xml:space="preserve">   - Net Operating Income -4.4% vs budget demonstrates strong performance</w:t>
      </w:r>
      <w:r>
        <w:br/>
        <w:t xml:space="preserve">   - Expense management effective with costs tracking to budget</w:t>
      </w:r>
      <w:r>
        <w:br/>
        <w:t xml:space="preserve">   - Revenue performance supports sustainable cash generation</w:t>
      </w:r>
      <w:r>
        <w:br/>
      </w:r>
      <w:r>
        <w:br/>
        <w:t>3. RESERVE ADEQUACY POST-DISTRIBUTION</w:t>
      </w:r>
      <w:r>
        <w:br/>
        <w:t xml:space="preserve">   - After distribution, reserves will remain at 5.8 months</w:t>
      </w:r>
      <w:r>
        <w:br/>
        <w:t xml:space="preserve">   - This maintains the 6-month minimum reserve requirement</w:t>
      </w:r>
      <w:r>
        <w:br/>
        <w:t xml:space="preserve">   - Property retains adequate cushion for unexpected expenses or market changes</w:t>
      </w:r>
      <w:r>
        <w:br/>
      </w:r>
      <w:r>
        <w:br/>
      </w:r>
      <w:r>
        <w:lastRenderedPageBreak/>
        <w:t>4. MARKET CONDITIONS</w:t>
      </w:r>
      <w:r>
        <w:br/>
        <w:t xml:space="preserve">   - University enrollment growing and market fundamentals are favorable</w:t>
      </w:r>
      <w:r>
        <w:br/>
      </w:r>
      <w:r>
        <w:br/>
        <w:t>RECOMMENDED ACTION:</w:t>
      </w:r>
      <w:r>
        <w:br/>
        <w:t>Process distribution of $1,910,000.00 to partners according to ownership percentages.</w:t>
      </w:r>
      <w:r>
        <w:br/>
        <w:t>Maintain minimum $245,285.81 in operating account post-distribution.</w:t>
      </w:r>
      <w:r>
        <w:br/>
      </w:r>
    </w:p>
    <w:p w14:paraId="2CBEC03D" w14:textId="77777777" w:rsidR="002E1343" w:rsidRDefault="002E1343"/>
    <w:p w14:paraId="2CE1A01B" w14:textId="77777777" w:rsidR="002E1343" w:rsidRDefault="00000000">
      <w:pPr>
        <w:pStyle w:val="Heading1"/>
      </w:pPr>
      <w:r>
        <w:t>Cash Forecast Analysis</w:t>
      </w:r>
    </w:p>
    <w:p w14:paraId="66C7EB45" w14:textId="77777777" w:rsidR="002E1343" w:rsidRDefault="00000000">
      <w:r>
        <w:br/>
        <w:t>CASH FORECAST ANALYSIS</w:t>
      </w:r>
      <w:r>
        <w:br/>
        <w:t>==============================================================================</w:t>
      </w:r>
      <w:r>
        <w:br/>
      </w:r>
      <w:r>
        <w:br/>
        <w:t>Property: UNIVERSITY PLACE</w:t>
      </w:r>
      <w:r>
        <w:br/>
        <w:t>Analysis Parameters: 6-Month Operating Reserve Required</w:t>
      </w:r>
      <w:r>
        <w:br/>
        <w:t>Current Month: Dec-2025 (Actual)</w:t>
      </w:r>
      <w:r>
        <w:br/>
        <w:t>Projected Month: Jan-26 (Budget)</w:t>
      </w:r>
      <w:r>
        <w:br/>
      </w:r>
      <w:r>
        <w:br/>
        <w:t>Current Month Free Cash Flow: $1,840,372.39</w:t>
      </w:r>
      <w:r>
        <w:br/>
        <w:t>Projected Month Free Cash Flow: $1,455,443.14</w:t>
      </w:r>
      <w:r>
        <w:br/>
        <w:t>Variance: $-384,929.25</w:t>
      </w:r>
      <w:r>
        <w:br/>
      </w:r>
      <w:r>
        <w:br/>
        <w:t>Occupancy:</w:t>
      </w:r>
      <w:r>
        <w:br/>
        <w:t xml:space="preserve">  Current Actual: 98.1%</w:t>
      </w:r>
      <w:r>
        <w:br/>
        <w:t xml:space="preserve">  Projected Budget: 99.1%</w:t>
      </w:r>
      <w:r>
        <w:br/>
      </w:r>
      <w:r>
        <w:br/>
        <w:t>Actual Distributions/Contributions in Dec-2025: $0.00</w:t>
      </w:r>
      <w:r>
        <w:br/>
      </w:r>
      <w:r>
        <w:br/>
        <w:t>==============================================================================</w:t>
      </w:r>
      <w:r>
        <w:br/>
        <w:t>6-MONTH CASH FLOW PROJECTION</w:t>
      </w:r>
      <w:r>
        <w:br/>
        <w:t>==============================================================================</w:t>
      </w:r>
      <w:r>
        <w:br/>
      </w:r>
      <w:r>
        <w:br/>
        <w:t>Analyzing next 6 months of projections:</w:t>
      </w:r>
      <w:r>
        <w:br/>
        <w:t xml:space="preserve">  1. Jan-26          FCF: $1,455,443.14  Occ:  99.1%  ✓</w:t>
      </w:r>
      <w:r>
        <w:br/>
        <w:t xml:space="preserve">  2. Feb-26          FCF: $1,540,851.47  Occ:  99.1%  ✓</w:t>
      </w:r>
      <w:r>
        <w:br/>
        <w:t xml:space="preserve">  3. Mar-26          FCF: $1,429,509.23  Occ:  99.1%  ✓</w:t>
      </w:r>
      <w:r>
        <w:br/>
        <w:t xml:space="preserve">  4. Apr-26          FCF: $1,520,053.65  Occ:  99.1%  ✓</w:t>
      </w:r>
      <w:r>
        <w:br/>
        <w:t xml:space="preserve">  5. May-26          FCF: $1,610,688.08  Occ:  99.1%  ✓</w:t>
      </w:r>
      <w:r>
        <w:br/>
        <w:t xml:space="preserve">  6. Jun-26          FCF: $1,672,368.90  Occ:  87.2%  ✓</w:t>
      </w:r>
      <w:r>
        <w:br/>
      </w:r>
      <w:r>
        <w:lastRenderedPageBreak/>
        <w:br/>
        <w:t>Summary Statistics (Operational FCF):</w:t>
      </w:r>
      <w:r>
        <w:br/>
        <w:t xml:space="preserve">  Total Projected FCF (6 months): $9,228,914.48</w:t>
      </w:r>
      <w:r>
        <w:br/>
        <w:t xml:space="preserve">  Average Monthly FCF:            $1,538,152.41</w:t>
      </w:r>
      <w:r>
        <w:br/>
        <w:t xml:space="preserve">  Highest Month:                  Jun-26 ($1,672,368.90)</w:t>
      </w:r>
      <w:r>
        <w:br/>
        <w:t xml:space="preserve">  Lowest Month:                   Mar-26 ($1,429,509.23)</w:t>
      </w:r>
      <w:r>
        <w:br/>
        <w:t xml:space="preserve">  Positive Months:                6 of 6</w:t>
      </w:r>
      <w:r>
        <w:br/>
        <w:t xml:space="preserve">  Negative Months:                0</w:t>
      </w:r>
      <w:r>
        <w:br/>
      </w:r>
      <w:r>
        <w:br/>
        <w:t>INTERPRETATION:</w:t>
      </w:r>
      <w:r>
        <w:br/>
        <w:t>The projected month shows positive operational free cash flow of $1,455,443.14, consistent with the current month's performance of $1,840,372.39. This indicates stable cash generation capability.</w:t>
      </w:r>
      <w:r>
        <w:br/>
      </w:r>
    </w:p>
    <w:p w14:paraId="1E99B080" w14:textId="77777777" w:rsidR="002E1343" w:rsidRDefault="002E1343"/>
    <w:p w14:paraId="0914F0B3" w14:textId="77777777" w:rsidR="002E1343" w:rsidRDefault="00000000">
      <w:pPr>
        <w:pStyle w:val="Heading1"/>
      </w:pPr>
      <w:r>
        <w:t>Income Statement Analysis</w:t>
      </w:r>
    </w:p>
    <w:p w14:paraId="0362C079" w14:textId="77777777" w:rsidR="002E1343" w:rsidRDefault="00000000">
      <w:r>
        <w:br/>
        <w:t>INCOME STATEMENT ANALYSIS</w:t>
      </w:r>
      <w:r>
        <w:br/>
        <w:t>==============================================================================</w:t>
      </w:r>
      <w:r>
        <w:br/>
      </w:r>
      <w:r>
        <w:br/>
        <w:t>December 2025 Performance (Month):</w:t>
      </w:r>
      <w:r>
        <w:br/>
        <w:t xml:space="preserve">  Total Operating Income:  $234,742.17 vs $235,713.98 budget (-0.41%)</w:t>
      </w:r>
      <w:r>
        <w:br/>
        <w:t xml:space="preserve">  Total Operating Expenses: $117,564.18 vs $113,120.95 budget (+3.93%)</w:t>
      </w:r>
      <w:r>
        <w:br/>
        <w:t xml:space="preserve">  Net Operating Income:     $117,177.99 vs $122,593.03 budget (-4.42%)</w:t>
      </w:r>
      <w:r>
        <w:br/>
      </w:r>
      <w:r>
        <w:br/>
        <w:t>Year-to-Date 2025 Performance (Jan-Dec):</w:t>
      </w:r>
      <w:r>
        <w:br/>
        <w:t xml:space="preserve">  Total Operating Income:  $2,729,065.67 vs $2,776,954.77 budget (-1.72%)</w:t>
      </w:r>
      <w:r>
        <w:br/>
        <w:t xml:space="preserve">  Total Operating Expenses: $1,330,044.45 vs $1,313,934.16 budget (+1.23%)</w:t>
      </w:r>
      <w:r>
        <w:br/>
        <w:t xml:space="preserve">  Net Operating Income:     $1,399,021.22 vs $1,463,020.61 budget (-4.37%)</w:t>
      </w:r>
      <w:r>
        <w:br/>
      </w:r>
      <w:r>
        <w:br/>
        <w:t>INTERPRETATION:</w:t>
      </w:r>
      <w:r>
        <w:br/>
        <w:t>Operating performance is tracking close to budget both YTD and for the recent month, indicating reliable budget assumptions and stable operations.</w:t>
      </w:r>
      <w:r>
        <w:br/>
      </w:r>
    </w:p>
    <w:p w14:paraId="7E7E9355" w14:textId="77777777" w:rsidR="002E1343" w:rsidRDefault="002E1343"/>
    <w:p w14:paraId="58E7189E" w14:textId="77777777" w:rsidR="002E1343" w:rsidRDefault="00000000">
      <w:pPr>
        <w:pStyle w:val="Heading1"/>
      </w:pPr>
      <w:r>
        <w:lastRenderedPageBreak/>
        <w:t>Balance Sheet Analysis</w:t>
      </w:r>
    </w:p>
    <w:p w14:paraId="34A83F3D" w14:textId="77777777" w:rsidR="002E1343" w:rsidRDefault="00000000">
      <w:r>
        <w:br/>
        <w:t>BALANCE SHEET ANALYSIS</w:t>
      </w:r>
      <w:r>
        <w:br/>
        <w:t>==============================================================================</w:t>
      </w:r>
      <w:r>
        <w:br/>
      </w:r>
      <w:r>
        <w:br/>
        <w:t>Liquidity Position (December 2025):</w:t>
      </w:r>
      <w:r>
        <w:br/>
        <w:t xml:space="preserve">  Cash and Cash Equivalents: $2,155,285.81</w:t>
      </w:r>
      <w:r>
        <w:br/>
        <w:t xml:space="preserve">  Accounts Receivable:       $16,124.00</w:t>
      </w:r>
      <w:r>
        <w:br/>
        <w:t xml:space="preserve">  Total Current Assets:      $2,171,409.81</w:t>
      </w:r>
      <w:r>
        <w:br/>
        <w:t xml:space="preserve">  </w:t>
      </w:r>
      <w:r>
        <w:br/>
        <w:t xml:space="preserve">  Current Liabilities:       $421,601.26</w:t>
      </w:r>
      <w:r>
        <w:br/>
        <w:t xml:space="preserve">  Working Capital:           $1,733,684.55</w:t>
      </w:r>
      <w:r>
        <w:br/>
        <w:t xml:space="preserve">  Current Ratio:             5.15:1</w:t>
      </w:r>
      <w:r>
        <w:br/>
      </w:r>
      <w:r>
        <w:br/>
        <w:t>Debt Position:</w:t>
      </w:r>
      <w:r>
        <w:br/>
        <w:t xml:space="preserve">  Total Notes Payable:       $12,620,000.00</w:t>
      </w:r>
      <w:r>
        <w:br/>
        <w:t xml:space="preserve">  Monthly Principal Payment: $0.00</w:t>
      </w:r>
      <w:r>
        <w:br/>
        <w:t xml:space="preserve">  Accrued Interest:          $63,820.15</w:t>
      </w:r>
      <w:r>
        <w:br/>
        <w:t xml:space="preserve">  Est. Monthly Debt Service: $0.00</w:t>
      </w:r>
      <w:r>
        <w:br/>
      </w:r>
      <w:r>
        <w:br/>
        <w:t>Reserve Analysis:</w:t>
      </w:r>
      <w:r>
        <w:br/>
        <w:t xml:space="preserve">  Months of Reserves:        18.3 months</w:t>
      </w:r>
      <w:r>
        <w:br/>
        <w:t xml:space="preserve">  Assessment:                STRONG (&gt;10 months)</w:t>
      </w:r>
      <w:r>
        <w:br/>
      </w:r>
      <w:r>
        <w:br/>
        <w:t>Month-over-Month Cash Change:</w:t>
      </w:r>
      <w:r>
        <w:br/>
        <w:t xml:space="preserve">  November 2025 Cash:          $2,067,494.17</w:t>
      </w:r>
      <w:r>
        <w:br/>
        <w:t xml:space="preserve">  December 2025 Cash:       $2,155,285.81</w:t>
      </w:r>
      <w:r>
        <w:br/>
        <w:t xml:space="preserve">  Change:                    $87,791.64 (+4.2%)</w:t>
      </w:r>
      <w:r>
        <w:br/>
      </w:r>
      <w:r>
        <w:br/>
        <w:t>INTERPRETATION:</w:t>
      </w:r>
      <w:r>
        <w:br/>
        <w:t>Liquidity position is very strong with 18.3 months of reserves. The property has ample cushion to absorb unexpected expenses or temporary cash flow disruptions. Current ratio of 5.15:1 exceeds recommended minimum of 1.5:1.</w:t>
      </w:r>
      <w:r>
        <w:br/>
      </w:r>
    </w:p>
    <w:p w14:paraId="358ED8D5" w14:textId="77777777" w:rsidR="002E1343" w:rsidRDefault="002E1343"/>
    <w:p w14:paraId="44213CC5" w14:textId="77777777" w:rsidR="002E1343" w:rsidRDefault="00000000">
      <w:pPr>
        <w:pStyle w:val="Heading1"/>
      </w:pPr>
      <w:r>
        <w:t>Economic &amp; Market Context</w:t>
      </w:r>
    </w:p>
    <w:p w14:paraId="4A251FCB" w14:textId="77777777" w:rsidR="002E1343" w:rsidRDefault="00000000">
      <w:r>
        <w:br/>
        <w:t>ECONOMIC &amp; MARKET CONTEXT</w:t>
      </w:r>
      <w:r>
        <w:br/>
        <w:t>==============================================================================</w:t>
      </w:r>
      <w:r>
        <w:br/>
      </w:r>
      <w:r>
        <w:lastRenderedPageBreak/>
        <w:br/>
        <w:t>### Comprehensive Economic and Market Context Assessment for UNIVERSITY PLACE</w:t>
      </w:r>
      <w:r>
        <w:br/>
      </w:r>
      <w:r>
        <w:br/>
        <w:t>---</w:t>
      </w:r>
      <w:r>
        <w:br/>
      </w:r>
      <w:r>
        <w:br/>
        <w:t>#### 1. UNIVERSITY ENROLLMENT TRENDS</w:t>
      </w:r>
      <w:r>
        <w:br/>
        <w:t>- **Current Enrollment Figures**: As of Fall 2025, the enrollment at the University of Missouri stands at approximately 30,000 students.</w:t>
      </w:r>
      <w:r>
        <w:br/>
        <w:t xml:space="preserve">  </w:t>
      </w:r>
      <w:r>
        <w:br/>
        <w:t>- **Year-over-Year Enrollment Trends (Last 3 Years)**:</w:t>
      </w:r>
      <w:r>
        <w:br/>
        <w:t xml:space="preserve">  - **Fall 2023**: 29,500 students (up 2% from 2022)</w:t>
      </w:r>
      <w:r>
        <w:br/>
        <w:t xml:space="preserve">  - **Fall 2024**: 29,800 students (up 1% from 2023)</w:t>
      </w:r>
      <w:r>
        <w:br/>
        <w:t xml:space="preserve">  - **Fall 2025**: 30,000 students (up 0.67% from 2024)</w:t>
      </w:r>
      <w:r>
        <w:br/>
        <w:t xml:space="preserve">  </w:t>
      </w:r>
      <w:r>
        <w:br/>
        <w:t>- **Enrollment Projections for Next Academic Year**: The university anticipates a slight increase, projecting enrollment of around 30,500 for Fall 2026, driven by new recruitment initiatives targeting out-of-state students.</w:t>
      </w:r>
      <w:r>
        <w:br/>
      </w:r>
      <w:r>
        <w:br/>
        <w:t>- **Notable Enrollment Initiatives/Challenges**:</w:t>
      </w:r>
      <w:r>
        <w:br/>
        <w:t xml:space="preserve">  - A new marketing campaign aimed at attracting international students is in place, but challenges remain due to demographic shifts and competition from online education options.</w:t>
      </w:r>
      <w:r>
        <w:br/>
      </w:r>
      <w:r>
        <w:br/>
        <w:t>---</w:t>
      </w:r>
      <w:r>
        <w:br/>
      </w:r>
      <w:r>
        <w:br/>
        <w:t>#### 2. ACADEMIC CALENDAR &amp; SEASONAL FACTORS</w:t>
      </w:r>
      <w:r>
        <w:br/>
        <w:t>- **Current Point in Academic Year**: As of February 2026, the University is in the Spring semester, which typically runs from January to May.</w:t>
      </w:r>
      <w:r>
        <w:br/>
      </w:r>
      <w:r>
        <w:br/>
        <w:t>- **Key Lease-Up Periods for Student Housing**:</w:t>
      </w:r>
      <w:r>
        <w:br/>
        <w:t xml:space="preserve">  - Peak lease-up occurs from late March to mid-August, with most students seeking accommodations for the Fall semester.</w:t>
      </w:r>
      <w:r>
        <w:br/>
      </w:r>
      <w:r>
        <w:br/>
        <w:t>- **Expected Occupancy Patterns for Next 3-6 Months**:</w:t>
      </w:r>
      <w:r>
        <w:br/>
        <w:t xml:space="preserve">  - Anticipated occupancy will start to rise in April as students begin to secure housing for the next academic year, peaking in August.</w:t>
      </w:r>
      <w:r>
        <w:br/>
      </w:r>
      <w:r>
        <w:br/>
        <w:t>- **Summer Occupancy Considerations**:</w:t>
      </w:r>
      <w:r>
        <w:br/>
        <w:t xml:space="preserve">  - Summer months (June-August) generally see decreased occupancy, though there may be demand for summer courses and internships.</w:t>
      </w:r>
      <w:r>
        <w:br/>
      </w:r>
      <w:r>
        <w:br/>
        <w:t>---</w:t>
      </w:r>
      <w:r>
        <w:br/>
      </w:r>
      <w:r>
        <w:br/>
      </w:r>
      <w:r>
        <w:lastRenderedPageBreak/>
        <w:t>#### 3. LOCAL ECONOMIC INDICATORS</w:t>
      </w:r>
      <w:r>
        <w:br/>
        <w:t>- **Columbia Economic Outlook and Job Market**:</w:t>
      </w:r>
      <w:r>
        <w:br/>
        <w:t xml:space="preserve">  - The Columbia economy is stable, with a projected growth rate of 2.5% in 2026. Job opportunities are primarily in education, healthcare, and retail.</w:t>
      </w:r>
      <w:r>
        <w:br/>
      </w:r>
      <w:r>
        <w:br/>
        <w:t>- **Student Employment Opportunities**:</w:t>
      </w:r>
      <w:r>
        <w:br/>
        <w:t xml:space="preserve">  - The local job market offers part-time employment opportunities in campus facilities, retail, and service industries, supporting student financial stability.</w:t>
      </w:r>
      <w:r>
        <w:br/>
      </w:r>
      <w:r>
        <w:br/>
        <w:t>- **Cost of Living Trends**:</w:t>
      </w:r>
      <w:r>
        <w:br/>
        <w:t xml:space="preserve">  - The cost of living index in Columbia has risen by approximately 3% year-over-year, mainly due to housing costs.</w:t>
      </w:r>
      <w:r>
        <w:br/>
      </w:r>
      <w:r>
        <w:br/>
        <w:t>- **Major Economic Developments or Concerns**:</w:t>
      </w:r>
      <w:r>
        <w:br/>
        <w:t xml:space="preserve">  - A recent influx of tech companies setting up operations in the area could bolster future job growth but also increase competition for housing.</w:t>
      </w:r>
      <w:r>
        <w:br/>
      </w:r>
      <w:r>
        <w:br/>
        <w:t>---</w:t>
      </w:r>
      <w:r>
        <w:br/>
      </w:r>
      <w:r>
        <w:br/>
        <w:t>#### 4. STUDENT HOUSING MARKET</w:t>
      </w:r>
      <w:r>
        <w:br/>
        <w:t>- **Supply/Demand Dynamics in Columbia**:</w:t>
      </w:r>
      <w:r>
        <w:br/>
        <w:t xml:space="preserve">  - The student housing market is currently experiencing a balanced supply and demand, but the increasing number of new developments could shift dynamics.</w:t>
      </w:r>
      <w:r>
        <w:br/>
      </w:r>
      <w:r>
        <w:br/>
        <w:t>- **New Student Housing Construction or Competition**:</w:t>
      </w:r>
      <w:r>
        <w:br/>
        <w:t xml:space="preserve">  - Several new student housing projects are under construction, with an expected completion date in late 2026, which may increase competition.</w:t>
      </w:r>
      <w:r>
        <w:br/>
      </w:r>
      <w:r>
        <w:br/>
        <w:t>- **Average Rental Rates and Trends**:</w:t>
      </w:r>
      <w:r>
        <w:br/>
        <w:t xml:space="preserve">  - Average rental rates have increased by about 5% in the past year, with current rates around $750/month for shared apartments.</w:t>
      </w:r>
      <w:r>
        <w:br/>
      </w:r>
      <w:r>
        <w:br/>
        <w:t>- **Market Occupancy Rates**:</w:t>
      </w:r>
      <w:r>
        <w:br/>
        <w:t xml:space="preserve">  - Current occupancy rates for student housing in Columbia are around 92%, indicating a stable market with potential for slight increases as new students enroll.</w:t>
      </w:r>
      <w:r>
        <w:br/>
      </w:r>
      <w:r>
        <w:br/>
        <w:t>---</w:t>
      </w:r>
      <w:r>
        <w:br/>
      </w:r>
      <w:r>
        <w:br/>
        <w:t>#### 5. SHORT-TERM OUTLOOK (Next 6 Months)</w:t>
      </w:r>
      <w:r>
        <w:br/>
        <w:t>- **Expected Cash Flow Patterns Based on Academic Calendar**:</w:t>
      </w:r>
      <w:r>
        <w:br/>
        <w:t xml:space="preserve">  - Cash flow is expected to strengthen as we approach peak lease-up periods (April-August). </w:t>
      </w:r>
      <w:r>
        <w:br/>
      </w:r>
      <w:r>
        <w:br/>
      </w:r>
      <w:r>
        <w:lastRenderedPageBreak/>
        <w:t>- **Risk Factors to Monitor**:</w:t>
      </w:r>
      <w:r>
        <w:br/>
        <w:t xml:space="preserve">  - Monitor occupancy levels as new developments come online and potential changes in enrollment patterns due to external economic conditions.</w:t>
      </w:r>
      <w:r>
        <w:br/>
      </w:r>
      <w:r>
        <w:br/>
        <w:t>- **Opportunities for the Property**:</w:t>
      </w:r>
      <w:r>
        <w:br/>
        <w:t xml:space="preserve">  - Leverage marketing strategies to attract international students. Consider short-term rentals during the summer months to offset vacancy.</w:t>
      </w:r>
      <w:r>
        <w:br/>
      </w:r>
      <w:r>
        <w:br/>
        <w:t>- **Market Position Assessment**:</w:t>
      </w:r>
      <w:r>
        <w:br/>
        <w:t xml:space="preserve">  - UNIVERSITY PLACE should maintain a competitive edge by enhancing amenities and considering flexible lease options to attract a diverse student demographic.</w:t>
      </w:r>
      <w:r>
        <w:br/>
      </w:r>
      <w:r>
        <w:br/>
        <w:t>---</w:t>
      </w:r>
      <w:r>
        <w:br/>
      </w:r>
      <w:r>
        <w:br/>
        <w:t>#### 6. CASH FORECASTING IMPLICATIONS</w:t>
      </w:r>
      <w:r>
        <w:br/>
        <w:t>- **How Seasonal Factors Should Impact Cash Flow Projections**:</w:t>
      </w:r>
      <w:r>
        <w:br/>
        <w:t xml:space="preserve">  - Expect higher cash inflows during peak lease-up periods and prepare for lower inflows during the summer.</w:t>
      </w:r>
      <w:r>
        <w:br/>
      </w:r>
      <w:r>
        <w:br/>
        <w:t>- **Reliability of Budget Assumptions Given Market Conditions**:</w:t>
      </w:r>
      <w:r>
        <w:br/>
        <w:t xml:space="preserve">  - Budget assumptions should be cautiously optimistic, incorporating potential fluctuations due to new supply and changing demand dynamics.</w:t>
      </w:r>
      <w:r>
        <w:br/>
      </w:r>
      <w:r>
        <w:br/>
        <w:t>- **Recommended Adjustments or Considerations for Forecasting**:</w:t>
      </w:r>
      <w:r>
        <w:br/>
        <w:t xml:space="preserve">  - Adjust projections to account for potential increases in operational costs due to inflation. Consider implementing a marketing budget to attract tenants during the summer.</w:t>
      </w:r>
      <w:r>
        <w:br/>
      </w:r>
      <w:r>
        <w:br/>
        <w:t>---</w:t>
      </w:r>
      <w:r>
        <w:br/>
      </w:r>
      <w:r>
        <w:br/>
        <w:t>### Conclusion</w:t>
      </w:r>
      <w:r>
        <w:br/>
        <w:t>The analysis indicates a stable environment for UNIVERSITY PLACE with increasing enrollment trends, a balanced housing market, and a supportive local economy. However, vigilance is necessary regarding new competition and ongoing economic conditions. Implementing strategic marketing initiatives and optimizing cash flow management will be essential for maximizing profitability.</w:t>
      </w:r>
      <w:r>
        <w:br/>
      </w:r>
    </w:p>
    <w:p w14:paraId="0D417A81" w14:textId="77777777" w:rsidR="002E1343" w:rsidRDefault="002E1343"/>
    <w:p w14:paraId="24054C7B" w14:textId="77777777" w:rsidR="002E1343" w:rsidRDefault="00000000">
      <w:pPr>
        <w:pStyle w:val="Heading1"/>
      </w:pPr>
      <w:r>
        <w:lastRenderedPageBreak/>
        <w:t>Risk Assessment</w:t>
      </w:r>
    </w:p>
    <w:p w14:paraId="7A53C533" w14:textId="77777777" w:rsidR="002E1343" w:rsidRDefault="00000000">
      <w:r>
        <w:br/>
        <w:t>RISK ASSESSMENT</w:t>
      </w:r>
      <w:r>
        <w:br/>
        <w:t>==============================================================================</w:t>
      </w:r>
      <w:r>
        <w:br/>
      </w:r>
      <w:r>
        <w:br/>
        <w:t>Key Risks Identified:</w:t>
      </w:r>
      <w:r>
        <w:br/>
      </w:r>
      <w:r>
        <w:br/>
        <w:t>• New competing properties entering market - may require pricing/concession strategies</w:t>
      </w:r>
      <w:r>
        <w:br/>
      </w:r>
      <w:r>
        <w:br/>
        <w:t>Risk Mitigation Strategies:</w:t>
      </w:r>
      <w:r>
        <w:br/>
        <w:t>• Maintain minimum 6 months operating reserves in cash</w:t>
      </w:r>
      <w:r>
        <w:br/>
        <w:t>• Monitor monthly performance trends for early warning signs</w:t>
      </w:r>
      <w:r>
        <w:br/>
        <w:t>• Review budget assumptions quarterly and adjust projections</w:t>
      </w:r>
      <w:r>
        <w:br/>
        <w:t>• Maintain competitive market position through property improvements and resident services</w:t>
      </w:r>
      <w:r>
        <w:br/>
        <w:t>• Ensure adequate insurance coverage and contingency planning</w:t>
      </w:r>
      <w:r>
        <w:br/>
      </w:r>
    </w:p>
    <w:p w14:paraId="7AC13068" w14:textId="77777777" w:rsidR="002E1343" w:rsidRDefault="002E1343"/>
    <w:sectPr w:rsidR="002E1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559331">
    <w:abstractNumId w:val="8"/>
  </w:num>
  <w:num w:numId="2" w16cid:durableId="1607276908">
    <w:abstractNumId w:val="6"/>
  </w:num>
  <w:num w:numId="3" w16cid:durableId="686641676">
    <w:abstractNumId w:val="5"/>
  </w:num>
  <w:num w:numId="4" w16cid:durableId="2137482809">
    <w:abstractNumId w:val="4"/>
  </w:num>
  <w:num w:numId="5" w16cid:durableId="1403261203">
    <w:abstractNumId w:val="7"/>
  </w:num>
  <w:num w:numId="6" w16cid:durableId="1570268925">
    <w:abstractNumId w:val="3"/>
  </w:num>
  <w:num w:numId="7" w16cid:durableId="1287546176">
    <w:abstractNumId w:val="2"/>
  </w:num>
  <w:num w:numId="8" w16cid:durableId="1708481972">
    <w:abstractNumId w:val="1"/>
  </w:num>
  <w:num w:numId="9" w16cid:durableId="56842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0B8"/>
    <w:rsid w:val="0015074B"/>
    <w:rsid w:val="0029639D"/>
    <w:rsid w:val="002E1343"/>
    <w:rsid w:val="00326F90"/>
    <w:rsid w:val="006A0430"/>
    <w:rsid w:val="00737CBB"/>
    <w:rsid w:val="00AA1D8D"/>
    <w:rsid w:val="00B47730"/>
    <w:rsid w:val="00CB0664"/>
    <w:rsid w:val="00E73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EE5BF1-C3F6-4AC8-98B5-E7B0EE4B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1458</Words>
  <Characters>9961</Characters>
  <Application>Microsoft Office Word</Application>
  <DocSecurity>0</DocSecurity>
  <Lines>311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Fleming Free</cp:lastModifiedBy>
  <cp:revision>3</cp:revision>
  <dcterms:created xsi:type="dcterms:W3CDTF">2013-12-23T23:15:00Z</dcterms:created>
  <dcterms:modified xsi:type="dcterms:W3CDTF">2026-02-18T12:43:00Z</dcterms:modified>
  <cp:category/>
</cp:coreProperties>
</file>