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22392" w14:textId="77777777" w:rsidR="00C35078" w:rsidRPr="000E26A9" w:rsidRDefault="00000000" w:rsidP="00793E4D">
      <w:pPr>
        <w:spacing w:after="40"/>
        <w:rPr>
          <w:rFonts w:ascii="Aptos" w:hAnsi="Aptos"/>
        </w:rPr>
      </w:pPr>
      <w:r w:rsidRPr="000E26A9">
        <w:rPr>
          <w:rFonts w:ascii="Aptos" w:hAnsi="Aptos"/>
          <w:b/>
          <w:sz w:val="32"/>
        </w:rPr>
        <w:t>Mechanical Design</w:t>
      </w:r>
    </w:p>
    <w:p w14:paraId="629D9551" w14:textId="77777777" w:rsidR="00C35078" w:rsidRPr="000E26A9" w:rsidRDefault="00000000">
      <w:pPr>
        <w:spacing w:before="80"/>
        <w:rPr>
          <w:rFonts w:ascii="Aptos" w:hAnsi="Aptos"/>
        </w:rPr>
      </w:pPr>
      <w:r w:rsidRPr="000E26A9">
        <w:rPr>
          <w:rFonts w:ascii="Aptos" w:hAnsi="Aptos"/>
          <w:b/>
          <w:sz w:val="24"/>
        </w:rPr>
        <w:t>3.1 3D CAD Model and System Overview</w:t>
      </w:r>
    </w:p>
    <w:p w14:paraId="0BE998BA" w14:textId="77777777" w:rsidR="00BB21BD" w:rsidRDefault="00903166" w:rsidP="00BB21BD">
      <w:pPr>
        <w:spacing w:line="384" w:lineRule="auto"/>
        <w:rPr>
          <w:rFonts w:ascii="Aptos" w:eastAsia="新細明體" w:hAnsi="Aptos"/>
          <w:lang w:eastAsia="zh-TW"/>
        </w:rPr>
      </w:pPr>
      <w:r w:rsidRPr="00903166">
        <w:rPr>
          <w:rFonts w:ascii="Aptos" w:hAnsi="Aptos"/>
        </w:rPr>
        <w:t>The mechanical design integrates a 6</w:t>
      </w:r>
      <w:r w:rsidR="00C20442">
        <w:rPr>
          <w:rFonts w:ascii="Aptos" w:eastAsia="新細明體" w:hAnsi="Aptos" w:hint="eastAsia"/>
          <w:lang w:eastAsia="zh-TW"/>
        </w:rPr>
        <w:t>-</w:t>
      </w:r>
      <w:r w:rsidRPr="00903166">
        <w:rPr>
          <w:rFonts w:ascii="Aptos" w:hAnsi="Aptos"/>
        </w:rPr>
        <w:t>DOF robotic manipulator onto the mobile chassis using</w:t>
      </w:r>
      <w:r w:rsidRPr="000E26A9">
        <w:rPr>
          <w:rFonts w:ascii="Aptos" w:hAnsi="Aptos"/>
        </w:rPr>
        <w:t xml:space="preserve"> an elevated modular mounting structure.</w:t>
      </w:r>
      <w:r w:rsidRPr="00903166">
        <w:rPr>
          <w:rFonts w:ascii="Aptos" w:hAnsi="Aptos"/>
        </w:rPr>
        <w:t xml:space="preserve"> This configuration maximizes the operational workspace while maintaining</w:t>
      </w:r>
      <w:r>
        <w:rPr>
          <w:rFonts w:ascii="Aptos" w:eastAsia="新細明體" w:hAnsi="Aptos" w:hint="eastAsia"/>
          <w:lang w:eastAsia="zh-TW"/>
        </w:rPr>
        <w:t xml:space="preserve"> </w:t>
      </w:r>
      <w:r w:rsidRPr="00903166">
        <w:rPr>
          <w:rFonts w:ascii="Aptos" w:eastAsia="新細明體" w:hAnsi="Aptos"/>
          <w:lang w:eastAsia="zh-TW"/>
        </w:rPr>
        <w:t xml:space="preserve">navigational capabilities. </w:t>
      </w:r>
      <w:r w:rsidR="00BB21BD" w:rsidRPr="00BB21BD">
        <w:rPr>
          <w:rFonts w:ascii="Aptos" w:eastAsia="新細明體" w:hAnsi="Aptos"/>
          <w:lang w:eastAsia="zh-TW"/>
        </w:rPr>
        <w:t>This section presents the 3D CAD model, payload mounting structure, component placement rationale, manufacturability, and structural justification of the mechanical design.</w:t>
      </w:r>
    </w:p>
    <w:p w14:paraId="38E4BD33" w14:textId="64D2F40E" w:rsidR="00C35078" w:rsidRPr="00903166" w:rsidRDefault="00903166" w:rsidP="00BB21BD">
      <w:pPr>
        <w:spacing w:line="384" w:lineRule="auto"/>
        <w:rPr>
          <w:rFonts w:ascii="Aptos" w:eastAsia="新細明體" w:hAnsi="Aptos"/>
          <w:lang w:eastAsia="zh-TW"/>
        </w:rPr>
      </w:pPr>
      <w:r w:rsidRPr="00903166">
        <w:rPr>
          <w:rFonts w:ascii="Aptos" w:eastAsia="新細明體" w:hAnsi="Aptos"/>
          <w:lang w:eastAsia="zh-TW"/>
        </w:rPr>
        <w:t>As illustrated in</w:t>
      </w:r>
      <w:r w:rsidRPr="008D24CC">
        <w:rPr>
          <w:rFonts w:ascii="Aptos" w:eastAsia="新細明體" w:hAnsi="Aptos"/>
          <w:lang w:eastAsia="zh-TW"/>
        </w:rPr>
        <w:t xml:space="preserve"> Fig. 2</w:t>
      </w:r>
      <w:r w:rsidRPr="00903166">
        <w:rPr>
          <w:rFonts w:ascii="Aptos" w:eastAsia="新細明體" w:hAnsi="Aptos"/>
          <w:lang w:eastAsia="zh-TW"/>
        </w:rPr>
        <w:t xml:space="preserve">, the system features a </w:t>
      </w:r>
      <w:proofErr w:type="spellStart"/>
      <w:r w:rsidRPr="00903166">
        <w:rPr>
          <w:rFonts w:ascii="Aptos" w:eastAsia="新細明體" w:hAnsi="Aptos"/>
          <w:lang w:eastAsia="zh-TW"/>
        </w:rPr>
        <w:t>myCobot</w:t>
      </w:r>
      <w:proofErr w:type="spellEnd"/>
      <w:r w:rsidRPr="00903166">
        <w:rPr>
          <w:rFonts w:ascii="Aptos" w:eastAsia="新細明體" w:hAnsi="Aptos"/>
          <w:lang w:eastAsia="zh-TW"/>
        </w:rPr>
        <w:t xml:space="preserve"> 280 PI manipulator mounted on an elevated deck. The </w:t>
      </w:r>
      <w:proofErr w:type="spellStart"/>
      <w:r w:rsidRPr="00903166">
        <w:rPr>
          <w:rFonts w:ascii="Aptos" w:eastAsia="新細明體" w:hAnsi="Aptos"/>
          <w:lang w:eastAsia="zh-TW"/>
        </w:rPr>
        <w:t>RPLidar</w:t>
      </w:r>
      <w:proofErr w:type="spellEnd"/>
      <w:r w:rsidRPr="00903166">
        <w:rPr>
          <w:rFonts w:ascii="Aptos" w:eastAsia="新細明體" w:hAnsi="Aptos"/>
          <w:lang w:eastAsia="zh-TW"/>
        </w:rPr>
        <w:t xml:space="preserve"> A2M12 and RealSense D435i are strategically positioned to ensure unobstructed fields of view for autonomous navigation and obstacle avoidance.</w:t>
      </w: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693"/>
      </w:tblGrid>
      <w:tr w:rsidR="004E62E3" w:rsidRPr="000E26A9" w14:paraId="459DE239" w14:textId="77777777" w:rsidTr="000E26A9">
        <w:trPr>
          <w:jc w:val="center"/>
        </w:trPr>
        <w:tc>
          <w:tcPr>
            <w:tcW w:w="5346" w:type="dxa"/>
          </w:tcPr>
          <w:p w14:paraId="7DA7BE60" w14:textId="1A4BA384" w:rsidR="000E26A9" w:rsidRPr="000E26A9" w:rsidRDefault="000E26A9" w:rsidP="000E26A9">
            <w:pPr>
              <w:spacing w:after="80"/>
              <w:jc w:val="center"/>
              <w:rPr>
                <w:rFonts w:ascii="Aptos" w:eastAsia="新細明體" w:hAnsi="Aptos"/>
                <w:lang w:eastAsia="zh-TW"/>
              </w:rPr>
            </w:pPr>
            <w:r w:rsidRPr="000E26A9">
              <w:rPr>
                <w:rFonts w:ascii="Aptos" w:hAnsi="Aptos"/>
                <w:noProof/>
              </w:rPr>
              <w:drawing>
                <wp:inline distT="0" distB="0" distL="0" distR="0" wp14:anchorId="62CCCF6D" wp14:editId="4C2AA738">
                  <wp:extent cx="3637693" cy="2009775"/>
                  <wp:effectExtent l="0" t="0" r="1270" b="0"/>
                  <wp:docPr id="274" name="圖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4297" cy="2013423"/>
                          </a:xfrm>
                          <a:prstGeom prst="rect">
                            <a:avLst/>
                          </a:prstGeom>
                        </pic:spPr>
                      </pic:pic>
                    </a:graphicData>
                  </a:graphic>
                </wp:inline>
              </w:drawing>
            </w:r>
          </w:p>
        </w:tc>
        <w:tc>
          <w:tcPr>
            <w:tcW w:w="3693" w:type="dxa"/>
          </w:tcPr>
          <w:p w14:paraId="273F61F6" w14:textId="07583083" w:rsidR="000E26A9" w:rsidRPr="000E26A9" w:rsidRDefault="004E62E3" w:rsidP="000E26A9">
            <w:pPr>
              <w:spacing w:after="80"/>
              <w:rPr>
                <w:rFonts w:ascii="Aptos" w:eastAsia="新細明體" w:hAnsi="Aptos"/>
                <w:lang w:eastAsia="zh-TW"/>
              </w:rPr>
            </w:pPr>
            <w:r w:rsidRPr="004E62E3">
              <w:rPr>
                <w:rFonts w:ascii="Aptos" w:eastAsia="新細明體" w:hAnsi="Aptos"/>
                <w:noProof/>
                <w:lang w:eastAsia="zh-TW"/>
              </w:rPr>
              <w:drawing>
                <wp:inline distT="0" distB="0" distL="0" distR="0" wp14:anchorId="5D49C597" wp14:editId="77CF5F18">
                  <wp:extent cx="2029460" cy="1999615"/>
                  <wp:effectExtent l="0" t="0" r="8890" b="63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3135" cy="2013089"/>
                          </a:xfrm>
                          <a:prstGeom prst="rect">
                            <a:avLst/>
                          </a:prstGeom>
                        </pic:spPr>
                      </pic:pic>
                    </a:graphicData>
                  </a:graphic>
                </wp:inline>
              </w:drawing>
            </w:r>
          </w:p>
        </w:tc>
      </w:tr>
      <w:tr w:rsidR="004E62E3" w:rsidRPr="000E26A9" w14:paraId="453037F9" w14:textId="77777777" w:rsidTr="000E26A9">
        <w:trPr>
          <w:jc w:val="center"/>
        </w:trPr>
        <w:tc>
          <w:tcPr>
            <w:tcW w:w="5346" w:type="dxa"/>
          </w:tcPr>
          <w:p w14:paraId="54FC85F7" w14:textId="5C923D17" w:rsidR="000E26A9" w:rsidRPr="000E26A9" w:rsidRDefault="000E26A9" w:rsidP="000E26A9">
            <w:pPr>
              <w:spacing w:after="80"/>
              <w:jc w:val="center"/>
              <w:rPr>
                <w:rFonts w:ascii="Aptos" w:eastAsia="新細明體" w:hAnsi="Aptos"/>
                <w:b/>
                <w:bCs/>
                <w:lang w:eastAsia="zh-TW"/>
              </w:rPr>
            </w:pPr>
            <w:r w:rsidRPr="000E26A9">
              <w:rPr>
                <w:rFonts w:ascii="Aptos" w:eastAsia="新細明體" w:hAnsi="Aptos"/>
                <w:b/>
                <w:bCs/>
                <w:lang w:eastAsia="zh-TW"/>
              </w:rPr>
              <w:t>(a)</w:t>
            </w:r>
          </w:p>
        </w:tc>
        <w:tc>
          <w:tcPr>
            <w:tcW w:w="3693" w:type="dxa"/>
          </w:tcPr>
          <w:p w14:paraId="76AC25BA" w14:textId="7282B959" w:rsidR="000E26A9" w:rsidRPr="000E26A9" w:rsidRDefault="000E26A9" w:rsidP="000E26A9">
            <w:pPr>
              <w:spacing w:after="80"/>
              <w:ind w:firstLineChars="700" w:firstLine="1542"/>
              <w:rPr>
                <w:rFonts w:ascii="Aptos" w:eastAsia="新細明體" w:hAnsi="Aptos"/>
                <w:b/>
                <w:bCs/>
                <w:lang w:eastAsia="zh-TW"/>
              </w:rPr>
            </w:pPr>
            <w:r w:rsidRPr="000E26A9">
              <w:rPr>
                <w:rFonts w:ascii="Aptos" w:eastAsia="新細明體" w:hAnsi="Aptos"/>
                <w:b/>
                <w:bCs/>
                <w:lang w:eastAsia="zh-TW"/>
              </w:rPr>
              <w:t>(b)</w:t>
            </w:r>
          </w:p>
        </w:tc>
      </w:tr>
    </w:tbl>
    <w:p w14:paraId="52F0E323" w14:textId="1EA3CE77" w:rsidR="000E26A9" w:rsidRPr="00366303" w:rsidRDefault="000E26A9" w:rsidP="00366303">
      <w:pPr>
        <w:spacing w:line="249" w:lineRule="auto"/>
        <w:ind w:right="661"/>
        <w:jc w:val="center"/>
        <w:rPr>
          <w:rFonts w:ascii="Aptos" w:eastAsia="新細明體" w:hAnsi="Aptos"/>
          <w:sz w:val="20"/>
          <w:szCs w:val="20"/>
          <w:lang w:eastAsia="zh-TW"/>
        </w:rPr>
      </w:pPr>
      <w:r w:rsidRPr="00366303">
        <w:rPr>
          <w:rFonts w:ascii="Aptos" w:hAnsi="Aptos"/>
          <w:b/>
          <w:bCs/>
          <w:sz w:val="20"/>
          <w:szCs w:val="20"/>
        </w:rPr>
        <w:t>Fig. 2.</w:t>
      </w:r>
      <w:r w:rsidRPr="00366303">
        <w:rPr>
          <w:rFonts w:ascii="Aptos" w:hAnsi="Aptos"/>
          <w:sz w:val="20"/>
          <w:szCs w:val="20"/>
        </w:rPr>
        <w:t xml:space="preserve"> Mobile manipulator platform based on </w:t>
      </w:r>
      <w:proofErr w:type="spellStart"/>
      <w:r w:rsidRPr="00366303">
        <w:rPr>
          <w:rFonts w:ascii="Aptos" w:hAnsi="Aptos"/>
          <w:sz w:val="20"/>
          <w:szCs w:val="20"/>
        </w:rPr>
        <w:t>LeoRover</w:t>
      </w:r>
      <w:proofErr w:type="spellEnd"/>
      <w:r w:rsidRPr="00366303">
        <w:rPr>
          <w:rFonts w:ascii="Aptos" w:hAnsi="Aptos"/>
          <w:sz w:val="20"/>
          <w:szCs w:val="20"/>
        </w:rPr>
        <w:t>. (a) Annotated isometric view identifying key components. (b) Orthographic and isometric views showing the overall geometry.</w:t>
      </w:r>
    </w:p>
    <w:p w14:paraId="7CB9A1EA" w14:textId="2A671C50" w:rsidR="00C35078" w:rsidRPr="00E919BF" w:rsidRDefault="00000000">
      <w:pPr>
        <w:spacing w:before="80"/>
        <w:rPr>
          <w:rFonts w:ascii="Aptos" w:eastAsia="新細明體" w:hAnsi="Aptos"/>
          <w:b/>
          <w:sz w:val="24"/>
          <w:lang w:eastAsia="zh-TW"/>
        </w:rPr>
      </w:pPr>
      <w:r w:rsidRPr="00903166">
        <w:rPr>
          <w:rFonts w:ascii="Aptos" w:hAnsi="Aptos"/>
          <w:b/>
          <w:sz w:val="24"/>
        </w:rPr>
        <w:t xml:space="preserve">3.2 </w:t>
      </w:r>
      <w:r w:rsidR="00B232E5" w:rsidRPr="00B232E5">
        <w:rPr>
          <w:rFonts w:ascii="Aptos" w:hAnsi="Aptos"/>
          <w:b/>
          <w:sz w:val="24"/>
        </w:rPr>
        <w:t>Payload Mounting Structure Design</w:t>
      </w:r>
    </w:p>
    <w:p w14:paraId="55E03D44" w14:textId="03E8E319" w:rsidR="00377EC2" w:rsidRDefault="00377EC2" w:rsidP="00CF141E">
      <w:pPr>
        <w:spacing w:line="384" w:lineRule="auto"/>
        <w:rPr>
          <w:rFonts w:ascii="Aptos" w:eastAsia="新細明體" w:hAnsi="Aptos"/>
          <w:lang w:eastAsia="zh-TW"/>
        </w:rPr>
      </w:pPr>
      <w:r w:rsidRPr="00377EC2">
        <w:rPr>
          <w:rFonts w:ascii="Aptos" w:eastAsia="新細明體" w:hAnsi="Aptos"/>
          <w:lang w:eastAsia="zh-TW"/>
        </w:rPr>
        <w:t xml:space="preserve">The payload mounting structure provides the main mechanical interface between the manipulator, onboard computing hardware, power modules, and the </w:t>
      </w:r>
      <w:proofErr w:type="spellStart"/>
      <w:r w:rsidRPr="00377EC2">
        <w:rPr>
          <w:rFonts w:ascii="Aptos" w:eastAsia="新細明體" w:hAnsi="Aptos"/>
          <w:lang w:eastAsia="zh-TW"/>
        </w:rPr>
        <w:t>LeoRover</w:t>
      </w:r>
      <w:proofErr w:type="spellEnd"/>
      <w:r w:rsidRPr="00377EC2">
        <w:rPr>
          <w:rFonts w:ascii="Aptos" w:eastAsia="新細明體" w:hAnsi="Aptos"/>
          <w:lang w:eastAsia="zh-TW"/>
        </w:rPr>
        <w:t xml:space="preserve"> chassis. The manipulator base plate is elevated from the rover deck by four hex standoff spacers, while a separate rear platform supports the NUC using another set of</w:t>
      </w:r>
      <w:r w:rsidR="00305B99" w:rsidRPr="00305B99">
        <w:t xml:space="preserve"> </w:t>
      </w:r>
      <w:r w:rsidR="00305B99" w:rsidRPr="00305B99">
        <w:rPr>
          <w:rFonts w:ascii="Aptos" w:eastAsia="新細明體" w:hAnsi="Aptos"/>
          <w:lang w:eastAsia="zh-TW"/>
        </w:rPr>
        <w:t>standoff supports</w:t>
      </w:r>
      <w:r w:rsidRPr="00377EC2">
        <w:rPr>
          <w:rFonts w:ascii="Aptos" w:eastAsia="新細明體" w:hAnsi="Aptos"/>
          <w:lang w:eastAsia="zh-TW"/>
        </w:rPr>
        <w:t>. This arrangement defines a clear structural separation between the manipulator platform, computer platform, and the lower chassis-mounted power modules.</w:t>
      </w:r>
      <w:r w:rsidR="0075205D">
        <w:rPr>
          <w:rFonts w:ascii="Aptos" w:eastAsia="新細明體" w:hAnsi="Aptos" w:hint="eastAsia"/>
          <w:lang w:eastAsia="zh-TW"/>
        </w:rPr>
        <w:t xml:space="preserve"> </w:t>
      </w:r>
      <w:r w:rsidR="0075205D" w:rsidRPr="0075205D">
        <w:rPr>
          <w:rFonts w:ascii="Aptos" w:eastAsia="新細明體" w:hAnsi="Aptos"/>
          <w:lang w:eastAsia="zh-TW"/>
        </w:rPr>
        <w:t xml:space="preserve">An interactive version of the CAD model is available via Autodesk Fusion at </w:t>
      </w:r>
      <w:hyperlink r:id="rId10" w:history="1">
        <w:r w:rsidR="0075205D" w:rsidRPr="005845E3">
          <w:rPr>
            <w:rStyle w:val="affa"/>
            <w:rFonts w:ascii="Aptos" w:eastAsia="新細明體" w:hAnsi="Aptos"/>
            <w:b/>
            <w:sz w:val="24"/>
            <w:lang w:eastAsia="zh-TW"/>
          </w:rPr>
          <w:t>https://a360.co/4ly5kZV</w:t>
        </w:r>
      </w:hyperlink>
    </w:p>
    <w:p w14:paraId="792B99FD" w14:textId="40B02DF4" w:rsidR="00366303" w:rsidRDefault="00366303" w:rsidP="00366303">
      <w:pPr>
        <w:spacing w:line="384" w:lineRule="auto"/>
        <w:rPr>
          <w:rFonts w:ascii="Aptos" w:eastAsia="新細明體" w:hAnsi="Aptos"/>
          <w:lang w:eastAsia="zh-TW"/>
        </w:rPr>
      </w:pPr>
      <w:r w:rsidRPr="00366303">
        <w:rPr>
          <w:rFonts w:ascii="Aptos" w:hAnsi="Aptos"/>
        </w:rPr>
        <w:t>As shown in</w:t>
      </w:r>
      <w:r w:rsidRPr="00366303">
        <w:rPr>
          <w:rFonts w:ascii="Aptos" w:hAnsi="Aptos"/>
          <w:b/>
          <w:bCs/>
        </w:rPr>
        <w:t xml:space="preserve"> </w:t>
      </w:r>
      <w:r w:rsidRPr="008D24CC">
        <w:rPr>
          <w:rFonts w:ascii="Aptos" w:hAnsi="Aptos"/>
        </w:rPr>
        <w:t>Fig. 3</w:t>
      </w:r>
      <w:r w:rsidRPr="00366303">
        <w:rPr>
          <w:rFonts w:ascii="Aptos" w:hAnsi="Aptos"/>
        </w:rPr>
        <w:t xml:space="preserve">, the system is arranged as a vertically stacked modular assembly. The exploded view illustrates the relationship between the manipulator platform, LiDAR region, NUC platform, battery platforms, and rover chassis, together with the main assembly direction indicated by the guide lines. </w:t>
      </w:r>
      <w:r w:rsidRPr="00366303">
        <w:rPr>
          <w:rFonts w:ascii="Aptos" w:hAnsi="Aptos"/>
        </w:rPr>
        <w:lastRenderedPageBreak/>
        <w:t>This representation clarifies how the elevated platforms are supported by discrete hex standoff spacers and how the major subsystems are distributed across the chassis in a compact and modular configuration.</w:t>
      </w:r>
    </w:p>
    <w:p w14:paraId="29489812" w14:textId="6D57D9FC" w:rsidR="006E4435" w:rsidRPr="006E4435" w:rsidRDefault="006E4435" w:rsidP="00366303">
      <w:pPr>
        <w:spacing w:line="384" w:lineRule="auto"/>
        <w:rPr>
          <w:rFonts w:ascii="Aptos" w:eastAsia="新細明體" w:hAnsi="Aptos" w:hint="eastAsia"/>
          <w:lang w:eastAsia="zh-TW"/>
        </w:rPr>
      </w:pPr>
      <w:r w:rsidRPr="006E4435">
        <w:rPr>
          <w:rFonts w:ascii="Aptos" w:eastAsia="新細明體" w:hAnsi="Aptos"/>
          <w:lang w:eastAsia="zh-TW"/>
        </w:rPr>
        <w:t>Key geometric dimensions of the mounting structure are provided in Fig. 4. The top view shows the principal platform footprint and support spacing, while the side view shows the elevation of the upper platforms relative to the rover body. These dimensioned CAD views clarify the geometric basis of the mounting arrangement and provide the main dimensions used in the packaging and structural discussion.</w:t>
      </w:r>
    </w:p>
    <w:p w14:paraId="78646970" w14:textId="39168216" w:rsidR="00377EC2" w:rsidRPr="00377EC2" w:rsidRDefault="00377EC2" w:rsidP="00366303">
      <w:pPr>
        <w:spacing w:line="384" w:lineRule="auto"/>
        <w:rPr>
          <w:rFonts w:ascii="Aptos" w:eastAsia="新細明體" w:hAnsi="Aptos"/>
          <w:lang w:eastAsia="zh-TW"/>
        </w:rPr>
      </w:pPr>
      <w:r w:rsidRPr="00377EC2">
        <w:rPr>
          <w:rFonts w:ascii="Aptos" w:eastAsia="新細明體" w:hAnsi="Aptos"/>
          <w:lang w:eastAsia="zh-TW"/>
        </w:rPr>
        <w:t xml:space="preserve">The spacer-supported arrangement reduces material around the LiDAR, creating more open space on the rover deck and </w:t>
      </w:r>
      <w:proofErr w:type="spellStart"/>
      <w:r w:rsidRPr="00377EC2">
        <w:rPr>
          <w:rFonts w:ascii="Aptos" w:eastAsia="新細明體" w:hAnsi="Aptos"/>
          <w:lang w:eastAsia="zh-TW"/>
        </w:rPr>
        <w:t>minimising</w:t>
      </w:r>
      <w:proofErr w:type="spellEnd"/>
      <w:r w:rsidRPr="00377EC2">
        <w:rPr>
          <w:rFonts w:ascii="Aptos" w:eastAsia="新細明體" w:hAnsi="Aptos"/>
          <w:lang w:eastAsia="zh-TW"/>
        </w:rPr>
        <w:t xml:space="preserve"> obstruction. At the same time, four-point support on each platform maintains a stable load path into the chassis. Platform height can also be adjusted by selecting different spacer lengths when required by clearance or routing constraints.</w:t>
      </w:r>
    </w:p>
    <w:p w14:paraId="79BD4062" w14:textId="1B6349CB" w:rsidR="00C35078" w:rsidRPr="000E26A9" w:rsidRDefault="00E919BF" w:rsidP="005669DE">
      <w:pPr>
        <w:spacing w:after="80"/>
        <w:jc w:val="center"/>
        <w:rPr>
          <w:rFonts w:ascii="Aptos" w:hAnsi="Aptos"/>
        </w:rPr>
      </w:pPr>
      <w:r w:rsidRPr="00E919BF">
        <w:rPr>
          <w:rFonts w:ascii="Aptos" w:hAnsi="Aptos"/>
          <w:noProof/>
        </w:rPr>
        <w:drawing>
          <wp:inline distT="0" distB="0" distL="0" distR="0" wp14:anchorId="4B12AC77" wp14:editId="4B19FEA4">
            <wp:extent cx="3731723" cy="286167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1200" cy="2876611"/>
                    </a:xfrm>
                    <a:prstGeom prst="rect">
                      <a:avLst/>
                    </a:prstGeom>
                  </pic:spPr>
                </pic:pic>
              </a:graphicData>
            </a:graphic>
          </wp:inline>
        </w:drawing>
      </w:r>
    </w:p>
    <w:p w14:paraId="6C5BF81E" w14:textId="2B6AEE1B" w:rsidR="00C35078" w:rsidRDefault="00000000">
      <w:pPr>
        <w:spacing w:after="200"/>
        <w:jc w:val="center"/>
        <w:rPr>
          <w:rFonts w:ascii="Aptos" w:eastAsia="新細明體" w:hAnsi="Aptos"/>
          <w:lang w:eastAsia="zh-TW"/>
        </w:rPr>
      </w:pPr>
      <w:r w:rsidRPr="00366303">
        <w:rPr>
          <w:rFonts w:ascii="Aptos" w:hAnsi="Aptos"/>
          <w:b/>
          <w:bCs/>
        </w:rPr>
        <w:t>Fi</w:t>
      </w:r>
      <w:r w:rsidR="00366303" w:rsidRPr="00366303">
        <w:rPr>
          <w:rFonts w:ascii="Aptos" w:eastAsia="新細明體" w:hAnsi="Aptos" w:hint="eastAsia"/>
          <w:b/>
          <w:bCs/>
          <w:lang w:eastAsia="zh-TW"/>
        </w:rPr>
        <w:t>g</w:t>
      </w:r>
      <w:r w:rsidR="00C20442">
        <w:rPr>
          <w:rFonts w:ascii="Aptos" w:eastAsia="新細明體" w:hAnsi="Aptos" w:hint="eastAsia"/>
          <w:b/>
          <w:bCs/>
          <w:lang w:eastAsia="zh-TW"/>
        </w:rPr>
        <w:t>.</w:t>
      </w:r>
      <w:r w:rsidRPr="00366303">
        <w:rPr>
          <w:rFonts w:ascii="Aptos" w:hAnsi="Aptos"/>
          <w:b/>
          <w:bCs/>
        </w:rPr>
        <w:t xml:space="preserve"> 3</w:t>
      </w:r>
      <w:r w:rsidR="00366303" w:rsidRPr="00366303">
        <w:rPr>
          <w:rFonts w:ascii="Aptos" w:eastAsia="新細明體" w:hAnsi="Aptos" w:hint="eastAsia"/>
          <w:b/>
          <w:bCs/>
          <w:lang w:eastAsia="zh-TW"/>
        </w:rPr>
        <w:t>.</w:t>
      </w:r>
      <w:r w:rsidR="00366303" w:rsidRPr="00366303">
        <w:rPr>
          <w:rFonts w:ascii="Aptos" w:hAnsi="Aptos"/>
        </w:rPr>
        <w:t xml:space="preserve"> Exploded view of the </w:t>
      </w:r>
      <w:r w:rsidR="00E519D5" w:rsidRPr="00E519D5">
        <w:rPr>
          <w:rFonts w:ascii="Aptos" w:hAnsi="Aptos"/>
        </w:rPr>
        <w:t>mounting structure</w:t>
      </w:r>
      <w:r w:rsidR="00366303" w:rsidRPr="00366303">
        <w:rPr>
          <w:rFonts w:ascii="Aptos" w:hAnsi="Aptos"/>
        </w:rPr>
        <w:t xml:space="preserve"> assembly with Bill of Materials (BOM)</w:t>
      </w: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gridCol w:w="5623"/>
      </w:tblGrid>
      <w:tr w:rsidR="006E4435" w14:paraId="1D0A4C6C" w14:textId="77777777" w:rsidTr="006E4435">
        <w:tc>
          <w:tcPr>
            <w:tcW w:w="4182" w:type="dxa"/>
          </w:tcPr>
          <w:p w14:paraId="72C4AB69" w14:textId="7A5C423D" w:rsidR="006E4435" w:rsidRDefault="006E4435">
            <w:pPr>
              <w:spacing w:after="200"/>
              <w:jc w:val="center"/>
              <w:rPr>
                <w:rFonts w:ascii="Aptos" w:eastAsia="新細明體" w:hAnsi="Aptos" w:hint="eastAsia"/>
                <w:lang w:eastAsia="zh-TW"/>
              </w:rPr>
            </w:pPr>
            <w:r w:rsidRPr="006E4435">
              <w:rPr>
                <w:rFonts w:ascii="Aptos" w:eastAsia="新細明體" w:hAnsi="Aptos"/>
                <w:lang w:eastAsia="zh-TW"/>
              </w:rPr>
              <w:lastRenderedPageBreak/>
              <w:drawing>
                <wp:inline distT="0" distB="0" distL="0" distR="0" wp14:anchorId="40662196" wp14:editId="367E0B94">
                  <wp:extent cx="2693096" cy="2721298"/>
                  <wp:effectExtent l="0" t="0" r="0" b="317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63396" cy="2792334"/>
                          </a:xfrm>
                          <a:prstGeom prst="rect">
                            <a:avLst/>
                          </a:prstGeom>
                        </pic:spPr>
                      </pic:pic>
                    </a:graphicData>
                  </a:graphic>
                </wp:inline>
              </w:drawing>
            </w:r>
          </w:p>
        </w:tc>
        <w:tc>
          <w:tcPr>
            <w:tcW w:w="5826" w:type="dxa"/>
          </w:tcPr>
          <w:p w14:paraId="69C14A63" w14:textId="77777777" w:rsidR="006E4435" w:rsidRDefault="006E4435" w:rsidP="006E4435">
            <w:pPr>
              <w:spacing w:after="200"/>
              <w:rPr>
                <w:rFonts w:ascii="Aptos" w:eastAsia="新細明體" w:hAnsi="Aptos"/>
                <w:lang w:eastAsia="zh-TW"/>
              </w:rPr>
            </w:pPr>
          </w:p>
          <w:p w14:paraId="7244F63F" w14:textId="77777777" w:rsidR="003935C2" w:rsidRDefault="003935C2" w:rsidP="006E4435">
            <w:pPr>
              <w:spacing w:after="200"/>
              <w:rPr>
                <w:rFonts w:ascii="Aptos" w:eastAsia="新細明體" w:hAnsi="Aptos" w:hint="eastAsia"/>
                <w:lang w:eastAsia="zh-TW"/>
              </w:rPr>
            </w:pPr>
          </w:p>
          <w:p w14:paraId="7DF0E190" w14:textId="374FABF4" w:rsidR="006E4435" w:rsidRDefault="006E4435" w:rsidP="006E4435">
            <w:pPr>
              <w:spacing w:after="200"/>
              <w:jc w:val="center"/>
              <w:rPr>
                <w:rFonts w:ascii="Aptos" w:eastAsia="新細明體" w:hAnsi="Aptos" w:hint="eastAsia"/>
                <w:lang w:eastAsia="zh-TW"/>
              </w:rPr>
            </w:pPr>
            <w:r w:rsidRPr="006E4435">
              <w:rPr>
                <w:rFonts w:ascii="Aptos" w:eastAsia="新細明體" w:hAnsi="Aptos"/>
                <w:lang w:eastAsia="zh-TW"/>
              </w:rPr>
              <w:drawing>
                <wp:inline distT="0" distB="0" distL="0" distR="0" wp14:anchorId="06849060" wp14:editId="013DE3C7">
                  <wp:extent cx="3493644" cy="1966299"/>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44" t="6483" r="2491" b="4581"/>
                          <a:stretch/>
                        </pic:blipFill>
                        <pic:spPr bwMode="auto">
                          <a:xfrm>
                            <a:off x="0" y="0"/>
                            <a:ext cx="3545453" cy="1995458"/>
                          </a:xfrm>
                          <a:prstGeom prst="rect">
                            <a:avLst/>
                          </a:prstGeom>
                          <a:ln>
                            <a:noFill/>
                          </a:ln>
                          <a:extLst>
                            <a:ext uri="{53640926-AAD7-44D8-BBD7-CCE9431645EC}">
                              <a14:shadowObscured xmlns:a14="http://schemas.microsoft.com/office/drawing/2010/main"/>
                            </a:ext>
                          </a:extLst>
                        </pic:spPr>
                      </pic:pic>
                    </a:graphicData>
                  </a:graphic>
                </wp:inline>
              </w:drawing>
            </w:r>
          </w:p>
        </w:tc>
      </w:tr>
      <w:tr w:rsidR="006E4435" w14:paraId="64DD0F47" w14:textId="77777777" w:rsidTr="006E4435">
        <w:tc>
          <w:tcPr>
            <w:tcW w:w="4182" w:type="dxa"/>
          </w:tcPr>
          <w:p w14:paraId="2F228F7F" w14:textId="47238216" w:rsidR="006E4435" w:rsidRDefault="006E4435">
            <w:pPr>
              <w:spacing w:after="200"/>
              <w:jc w:val="center"/>
              <w:rPr>
                <w:rFonts w:ascii="Aptos" w:eastAsia="新細明體" w:hAnsi="Aptos" w:hint="eastAsia"/>
                <w:lang w:eastAsia="zh-TW"/>
              </w:rPr>
            </w:pPr>
            <w:r>
              <w:rPr>
                <w:rFonts w:ascii="Aptos" w:eastAsia="新細明體" w:hAnsi="Aptos" w:hint="eastAsia"/>
                <w:lang w:eastAsia="zh-TW"/>
              </w:rPr>
              <w:t>(a)</w:t>
            </w:r>
          </w:p>
        </w:tc>
        <w:tc>
          <w:tcPr>
            <w:tcW w:w="5826" w:type="dxa"/>
          </w:tcPr>
          <w:p w14:paraId="5BE7C0D2" w14:textId="7818F3A2" w:rsidR="006E4435" w:rsidRDefault="006E4435">
            <w:pPr>
              <w:spacing w:after="200"/>
              <w:jc w:val="center"/>
              <w:rPr>
                <w:rFonts w:ascii="Aptos" w:eastAsia="新細明體" w:hAnsi="Aptos" w:hint="eastAsia"/>
                <w:lang w:eastAsia="zh-TW"/>
              </w:rPr>
            </w:pPr>
            <w:r>
              <w:rPr>
                <w:rFonts w:ascii="Aptos" w:eastAsia="新細明體" w:hAnsi="Aptos" w:hint="eastAsia"/>
                <w:lang w:eastAsia="zh-TW"/>
              </w:rPr>
              <w:t>(b)</w:t>
            </w:r>
          </w:p>
        </w:tc>
      </w:tr>
    </w:tbl>
    <w:p w14:paraId="1FA7D4A0" w14:textId="0347B578" w:rsidR="006E4435" w:rsidRPr="006E4435" w:rsidRDefault="006E4435">
      <w:pPr>
        <w:spacing w:after="200"/>
        <w:jc w:val="center"/>
        <w:rPr>
          <w:rFonts w:ascii="Aptos" w:eastAsia="新細明體" w:hAnsi="Aptos" w:hint="eastAsia"/>
          <w:lang w:eastAsia="zh-TW"/>
        </w:rPr>
      </w:pPr>
      <w:r w:rsidRPr="006E4435">
        <w:rPr>
          <w:rFonts w:ascii="Aptos" w:eastAsia="新細明體" w:hAnsi="Aptos"/>
          <w:b/>
          <w:bCs/>
          <w:lang w:eastAsia="zh-TW"/>
        </w:rPr>
        <w:t>Fig. 4</w:t>
      </w:r>
      <w:r w:rsidRPr="006E4435">
        <w:rPr>
          <w:rFonts w:ascii="Aptos" w:eastAsia="新細明體" w:hAnsi="Aptos"/>
          <w:lang w:eastAsia="zh-TW"/>
        </w:rPr>
        <w:t>. Dimensioned CAD views of the payload mounting structure</w:t>
      </w:r>
      <w:r>
        <w:rPr>
          <w:rFonts w:ascii="Aptos" w:eastAsia="新細明體" w:hAnsi="Aptos" w:hint="eastAsia"/>
          <w:lang w:eastAsia="zh-TW"/>
        </w:rPr>
        <w:t>.</w:t>
      </w:r>
      <w:r w:rsidRPr="006E4435">
        <w:rPr>
          <w:rFonts w:ascii="Aptos" w:eastAsia="新細明體" w:hAnsi="Aptos"/>
          <w:lang w:eastAsia="zh-TW"/>
        </w:rPr>
        <w:t xml:space="preserve"> (a) top view showing principal platform footprint and support spacing; (b) side view showing platform elevations and vertical packaging arrangement.</w:t>
      </w:r>
    </w:p>
    <w:p w14:paraId="1F4A954E" w14:textId="77777777" w:rsidR="00C35078" w:rsidRPr="000E26A9" w:rsidRDefault="00000000">
      <w:pPr>
        <w:spacing w:before="80"/>
        <w:rPr>
          <w:rFonts w:ascii="Aptos" w:hAnsi="Aptos"/>
        </w:rPr>
      </w:pPr>
      <w:r w:rsidRPr="000E26A9">
        <w:rPr>
          <w:rFonts w:ascii="Aptos" w:hAnsi="Aptos"/>
          <w:b/>
          <w:sz w:val="24"/>
        </w:rPr>
        <w:t>3.3 Component Placement Trade-offs</w:t>
      </w:r>
    </w:p>
    <w:p w14:paraId="3908C986" w14:textId="028E8687" w:rsidR="003A798C" w:rsidRPr="00F5100F" w:rsidRDefault="003A798C" w:rsidP="00F5100F">
      <w:pPr>
        <w:spacing w:line="384" w:lineRule="auto"/>
        <w:rPr>
          <w:rFonts w:ascii="Aptos" w:hAnsi="Aptos"/>
        </w:rPr>
      </w:pPr>
      <w:r w:rsidRPr="003A798C">
        <w:rPr>
          <w:rFonts w:ascii="Aptos" w:hAnsi="Aptos"/>
        </w:rPr>
        <w:t xml:space="preserve">The arrangement of hardware components involves a critical balance between sensor visibility, mechanical interference, and system stability. The manipulator, LiDAR, depth camera, onboard computer, and batteries must be packaged within the physical constraints of the </w:t>
      </w:r>
      <w:proofErr w:type="spellStart"/>
      <w:r w:rsidRPr="003A798C">
        <w:rPr>
          <w:rFonts w:ascii="Aptos" w:hAnsi="Aptos"/>
        </w:rPr>
        <w:t>LeoRover</w:t>
      </w:r>
      <w:proofErr w:type="spellEnd"/>
      <w:r w:rsidRPr="003A798C">
        <w:rPr>
          <w:rFonts w:ascii="Aptos" w:hAnsi="Aptos"/>
        </w:rPr>
        <w:t xml:space="preserve"> chassis without compromising core functionality. As shown in </w:t>
      </w:r>
      <w:r w:rsidRPr="008D24CC">
        <w:rPr>
          <w:rFonts w:ascii="Aptos" w:hAnsi="Aptos"/>
        </w:rPr>
        <w:t xml:space="preserve">Fig. </w:t>
      </w:r>
      <w:r w:rsidR="007141C8">
        <w:rPr>
          <w:rFonts w:ascii="Aptos" w:eastAsia="新細明體" w:hAnsi="Aptos" w:hint="eastAsia"/>
          <w:lang w:eastAsia="zh-TW"/>
        </w:rPr>
        <w:t>5</w:t>
      </w:r>
      <w:r w:rsidRPr="003A798C">
        <w:rPr>
          <w:rFonts w:ascii="Aptos" w:hAnsi="Aptos"/>
        </w:rPr>
        <w:t>, the final layout distributes these subsystems in a compact manner while preserving access to the manipulator workspace and the main sensing region.</w:t>
      </w:r>
    </w:p>
    <w:p w14:paraId="65B7C972" w14:textId="77777777" w:rsidR="00F5100F" w:rsidRDefault="003A798C" w:rsidP="00F5100F">
      <w:pPr>
        <w:pStyle w:val="ae"/>
        <w:numPr>
          <w:ilvl w:val="0"/>
          <w:numId w:val="12"/>
        </w:numPr>
        <w:spacing w:after="0" w:line="384" w:lineRule="auto"/>
        <w:rPr>
          <w:rFonts w:ascii="Aptos" w:eastAsia="新細明體" w:hAnsi="Aptos"/>
          <w:b/>
          <w:bCs/>
          <w:lang w:eastAsia="zh-TW"/>
        </w:rPr>
      </w:pPr>
      <w:r w:rsidRPr="00F5100F">
        <w:rPr>
          <w:rFonts w:ascii="Aptos" w:hAnsi="Aptos"/>
          <w:b/>
          <w:bCs/>
        </w:rPr>
        <w:t>Sensor Visibility vs. Structural Support</w:t>
      </w:r>
    </w:p>
    <w:p w14:paraId="78DDE47C" w14:textId="110841F5" w:rsidR="00F5100F" w:rsidRPr="00F5100F" w:rsidRDefault="00F5100F" w:rsidP="00F5100F">
      <w:pPr>
        <w:pStyle w:val="ae"/>
        <w:spacing w:line="384" w:lineRule="auto"/>
        <w:ind w:left="480"/>
        <w:rPr>
          <w:rFonts w:ascii="Aptos" w:eastAsia="新細明體" w:hAnsi="Aptos"/>
          <w:b/>
          <w:bCs/>
          <w:lang w:eastAsia="zh-TW"/>
        </w:rPr>
      </w:pPr>
      <w:r w:rsidRPr="00F5100F">
        <w:rPr>
          <w:rFonts w:ascii="Aptos" w:hAnsi="Aptos"/>
        </w:rPr>
        <w:t>Reducing LiDAR obstruction is a central objective of the layout. As illustrated in Fig. 4(a), the use of four discrete hex standoff spacers for each upper platform reduces the effective structural cross-section within the sensing region. This creates a more open environment around the LiDAR and supports cleaner 360</w:t>
      </w:r>
      <w:r w:rsidR="00C20442">
        <w:rPr>
          <w:rFonts w:ascii="Aptos" w:eastAsia="新細明體" w:hAnsi="Aptos" w:hint="eastAsia"/>
          <w:lang w:eastAsia="zh-TW"/>
        </w:rPr>
        <w:t>-</w:t>
      </w:r>
      <w:r w:rsidRPr="00F5100F">
        <w:rPr>
          <w:rFonts w:ascii="Aptos" w:hAnsi="Aptos"/>
        </w:rPr>
        <w:t>degree scanning with fewer blind regions introduced by the supporting hardware.</w:t>
      </w:r>
    </w:p>
    <w:p w14:paraId="304FF5B8" w14:textId="388BEDF4" w:rsidR="003A798C" w:rsidRDefault="003A798C" w:rsidP="00F5100F">
      <w:pPr>
        <w:pStyle w:val="ae"/>
        <w:numPr>
          <w:ilvl w:val="0"/>
          <w:numId w:val="12"/>
        </w:numPr>
        <w:spacing w:before="240" w:after="0" w:line="384" w:lineRule="auto"/>
        <w:rPr>
          <w:rFonts w:ascii="Aptos" w:eastAsia="新細明體" w:hAnsi="Aptos"/>
          <w:b/>
          <w:bCs/>
          <w:lang w:eastAsia="zh-TW"/>
        </w:rPr>
      </w:pPr>
      <w:r w:rsidRPr="00F5100F">
        <w:rPr>
          <w:rFonts w:ascii="Aptos" w:hAnsi="Aptos"/>
          <w:b/>
          <w:bCs/>
        </w:rPr>
        <w:t>Manipulator Elevation and Clearance</w:t>
      </w:r>
    </w:p>
    <w:p w14:paraId="59081D73" w14:textId="1992BA17" w:rsidR="00F5100F" w:rsidRPr="00F5100F" w:rsidRDefault="00D76A41" w:rsidP="00F5100F">
      <w:pPr>
        <w:pStyle w:val="ae"/>
        <w:spacing w:after="0" w:line="384" w:lineRule="auto"/>
        <w:ind w:left="480"/>
        <w:rPr>
          <w:rFonts w:ascii="Aptos" w:eastAsia="新細明體" w:hAnsi="Aptos"/>
          <w:b/>
          <w:bCs/>
          <w:lang w:eastAsia="zh-TW"/>
        </w:rPr>
      </w:pPr>
      <w:r w:rsidRPr="00D76A41">
        <w:rPr>
          <w:rFonts w:ascii="Aptos" w:hAnsi="Aptos"/>
        </w:rPr>
        <w:t xml:space="preserve">The manipulator is elevated above the main rover body because practical arm motion and deck clearance require the base to sit above the surrounding components. </w:t>
      </w:r>
      <w:r w:rsidR="00F5100F" w:rsidRPr="003A798C">
        <w:rPr>
          <w:rFonts w:ascii="Aptos" w:hAnsi="Aptos"/>
        </w:rPr>
        <w:t xml:space="preserve"> As shown in Fig. </w:t>
      </w:r>
      <w:r w:rsidR="006E4435">
        <w:rPr>
          <w:rFonts w:ascii="Aptos" w:eastAsia="新細明體" w:hAnsi="Aptos" w:hint="eastAsia"/>
          <w:lang w:eastAsia="zh-TW"/>
        </w:rPr>
        <w:t>5</w:t>
      </w:r>
      <w:r w:rsidR="00F5100F" w:rsidRPr="003A798C">
        <w:rPr>
          <w:rFonts w:ascii="Aptos" w:hAnsi="Aptos"/>
        </w:rPr>
        <w:t xml:space="preserve">(b), the </w:t>
      </w:r>
      <w:r w:rsidR="00305B99">
        <w:rPr>
          <w:rFonts w:ascii="Aptos" w:eastAsia="新細明體" w:hAnsi="Aptos" w:hint="eastAsia"/>
          <w:lang w:eastAsia="zh-TW"/>
        </w:rPr>
        <w:t>standoff</w:t>
      </w:r>
      <w:r w:rsidR="00F5100F" w:rsidRPr="003A798C">
        <w:rPr>
          <w:rFonts w:ascii="Aptos" w:hAnsi="Aptos"/>
        </w:rPr>
        <w:t xml:space="preserve">-supported platform provides this elevation with a lighter and more open structure, </w:t>
      </w:r>
      <w:r w:rsidR="00F5100F" w:rsidRPr="003A798C">
        <w:rPr>
          <w:rFonts w:ascii="Aptos" w:hAnsi="Aptos"/>
        </w:rPr>
        <w:lastRenderedPageBreak/>
        <w:t>offering a balanced compromise between maintaining reach for pick-and-place tasks and avoiding unnecessary interference with nearby sensors and platform components.</w:t>
      </w:r>
    </w:p>
    <w:tbl>
      <w:tblPr>
        <w:tblStyle w:val="aff2"/>
        <w:tblW w:w="0" w:type="auto"/>
        <w:jc w:val="center"/>
        <w:tblLook w:val="04A0" w:firstRow="1" w:lastRow="0" w:firstColumn="1" w:lastColumn="0" w:noHBand="0" w:noVBand="1"/>
      </w:tblPr>
      <w:tblGrid>
        <w:gridCol w:w="3786"/>
        <w:gridCol w:w="4446"/>
      </w:tblGrid>
      <w:tr w:rsidR="001D79E9" w:rsidRPr="000E26A9" w14:paraId="6E4A2222" w14:textId="77777777" w:rsidTr="007141C8">
        <w:trPr>
          <w:jc w:val="center"/>
        </w:trPr>
        <w:tc>
          <w:tcPr>
            <w:tcW w:w="3756" w:type="dxa"/>
          </w:tcPr>
          <w:p w14:paraId="275EA763" w14:textId="19EA0CD7" w:rsidR="00F5100F" w:rsidRPr="000E26A9" w:rsidRDefault="001D79E9" w:rsidP="00F5100F">
            <w:pPr>
              <w:spacing w:after="80"/>
              <w:rPr>
                <w:rFonts w:ascii="Aptos" w:eastAsia="新細明體" w:hAnsi="Aptos"/>
                <w:lang w:eastAsia="zh-TW"/>
              </w:rPr>
            </w:pPr>
            <w:r w:rsidRPr="001D79E9">
              <w:rPr>
                <w:rFonts w:ascii="Aptos" w:eastAsia="新細明體" w:hAnsi="Aptos"/>
                <w:noProof/>
                <w:lang w:eastAsia="zh-TW"/>
              </w:rPr>
              <w:drawing>
                <wp:inline distT="0" distB="0" distL="0" distR="0" wp14:anchorId="42FB5BF6" wp14:editId="2D68F6D4">
                  <wp:extent cx="2266776" cy="2655907"/>
                  <wp:effectExtent l="0" t="0" r="63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3777" cy="2687544"/>
                          </a:xfrm>
                          <a:prstGeom prst="rect">
                            <a:avLst/>
                          </a:prstGeom>
                        </pic:spPr>
                      </pic:pic>
                    </a:graphicData>
                  </a:graphic>
                </wp:inline>
              </w:drawing>
            </w:r>
          </w:p>
        </w:tc>
        <w:tc>
          <w:tcPr>
            <w:tcW w:w="3938" w:type="dxa"/>
          </w:tcPr>
          <w:p w14:paraId="754835F0" w14:textId="4310FF04" w:rsidR="00F5100F" w:rsidRPr="000E26A9" w:rsidRDefault="001D79E9" w:rsidP="007141C8">
            <w:pPr>
              <w:spacing w:after="80"/>
              <w:jc w:val="center"/>
              <w:rPr>
                <w:rFonts w:ascii="Aptos" w:eastAsia="新細明體" w:hAnsi="Aptos"/>
                <w:lang w:eastAsia="zh-TW"/>
              </w:rPr>
            </w:pPr>
            <w:r w:rsidRPr="001D79E9">
              <w:rPr>
                <w:rFonts w:ascii="Aptos" w:eastAsia="新細明體" w:hAnsi="Aptos"/>
                <w:noProof/>
                <w:lang w:eastAsia="zh-TW"/>
              </w:rPr>
              <w:drawing>
                <wp:inline distT="0" distB="0" distL="0" distR="0" wp14:anchorId="7E1416D0" wp14:editId="0E74FF84">
                  <wp:extent cx="2683787" cy="2657475"/>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2956" cy="2676456"/>
                          </a:xfrm>
                          <a:prstGeom prst="rect">
                            <a:avLst/>
                          </a:prstGeom>
                        </pic:spPr>
                      </pic:pic>
                    </a:graphicData>
                  </a:graphic>
                </wp:inline>
              </w:drawing>
            </w:r>
          </w:p>
        </w:tc>
      </w:tr>
      <w:tr w:rsidR="001D79E9" w:rsidRPr="000E26A9" w14:paraId="2D211CFC" w14:textId="77777777" w:rsidTr="007141C8">
        <w:trPr>
          <w:jc w:val="center"/>
        </w:trPr>
        <w:tc>
          <w:tcPr>
            <w:tcW w:w="3756" w:type="dxa"/>
          </w:tcPr>
          <w:p w14:paraId="2D0C6C90" w14:textId="77777777" w:rsidR="00F5100F" w:rsidRPr="000E26A9" w:rsidRDefault="00F5100F" w:rsidP="00F5100F">
            <w:pPr>
              <w:spacing w:after="0"/>
              <w:jc w:val="center"/>
              <w:rPr>
                <w:rFonts w:ascii="Aptos" w:eastAsia="新細明體" w:hAnsi="Aptos"/>
                <w:b/>
                <w:bCs/>
                <w:lang w:eastAsia="zh-TW"/>
              </w:rPr>
            </w:pPr>
            <w:r w:rsidRPr="000E26A9">
              <w:rPr>
                <w:rFonts w:ascii="Aptos" w:eastAsia="新細明體" w:hAnsi="Aptos"/>
                <w:b/>
                <w:bCs/>
                <w:lang w:eastAsia="zh-TW"/>
              </w:rPr>
              <w:t>(a)</w:t>
            </w:r>
          </w:p>
        </w:tc>
        <w:tc>
          <w:tcPr>
            <w:tcW w:w="3938" w:type="dxa"/>
          </w:tcPr>
          <w:p w14:paraId="50AD8DAE" w14:textId="77777777" w:rsidR="00F5100F" w:rsidRPr="000E26A9" w:rsidRDefault="00F5100F" w:rsidP="00F5100F">
            <w:pPr>
              <w:spacing w:after="0"/>
              <w:ind w:firstLineChars="900" w:firstLine="1982"/>
              <w:rPr>
                <w:rFonts w:ascii="Aptos" w:eastAsia="新細明體" w:hAnsi="Aptos"/>
                <w:b/>
                <w:bCs/>
                <w:lang w:eastAsia="zh-TW"/>
              </w:rPr>
            </w:pPr>
            <w:r w:rsidRPr="000E26A9">
              <w:rPr>
                <w:rFonts w:ascii="Aptos" w:eastAsia="新細明體" w:hAnsi="Aptos"/>
                <w:b/>
                <w:bCs/>
                <w:lang w:eastAsia="zh-TW"/>
              </w:rPr>
              <w:t>(b)</w:t>
            </w:r>
          </w:p>
        </w:tc>
      </w:tr>
      <w:tr w:rsidR="007141C8" w:rsidRPr="000E26A9" w14:paraId="3A3C2CDB" w14:textId="77777777" w:rsidTr="007141C8">
        <w:trPr>
          <w:jc w:val="center"/>
        </w:trPr>
        <w:tc>
          <w:tcPr>
            <w:tcW w:w="3756" w:type="dxa"/>
          </w:tcPr>
          <w:p w14:paraId="3FE60961" w14:textId="57B1FAF3" w:rsidR="007141C8" w:rsidRPr="000E26A9" w:rsidRDefault="007141C8" w:rsidP="00F5100F">
            <w:pPr>
              <w:spacing w:after="0"/>
              <w:jc w:val="center"/>
              <w:rPr>
                <w:rFonts w:ascii="Aptos" w:eastAsia="新細明體" w:hAnsi="Aptos"/>
                <w:b/>
                <w:bCs/>
                <w:lang w:eastAsia="zh-TW"/>
              </w:rPr>
            </w:pPr>
            <w:r w:rsidRPr="007141C8">
              <w:rPr>
                <w:rFonts w:ascii="Aptos" w:eastAsia="新細明體" w:hAnsi="Aptos"/>
                <w:b/>
                <w:bCs/>
                <w:lang w:eastAsia="zh-TW"/>
              </w:rPr>
              <w:drawing>
                <wp:inline distT="0" distB="0" distL="0" distR="0" wp14:anchorId="61F50EA0" wp14:editId="723B4D80">
                  <wp:extent cx="2254685" cy="2624452"/>
                  <wp:effectExtent l="0" t="0" r="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7889" cy="2639822"/>
                          </a:xfrm>
                          <a:prstGeom prst="rect">
                            <a:avLst/>
                          </a:prstGeom>
                        </pic:spPr>
                      </pic:pic>
                    </a:graphicData>
                  </a:graphic>
                </wp:inline>
              </w:drawing>
            </w:r>
          </w:p>
        </w:tc>
        <w:tc>
          <w:tcPr>
            <w:tcW w:w="3938" w:type="dxa"/>
          </w:tcPr>
          <w:p w14:paraId="77029C89" w14:textId="26B208BA" w:rsidR="007141C8" w:rsidRPr="000E26A9" w:rsidRDefault="007141C8" w:rsidP="007141C8">
            <w:pPr>
              <w:spacing w:after="0"/>
              <w:jc w:val="center"/>
              <w:rPr>
                <w:rFonts w:ascii="Aptos" w:eastAsia="新細明體" w:hAnsi="Aptos"/>
                <w:b/>
                <w:bCs/>
                <w:lang w:eastAsia="zh-TW"/>
              </w:rPr>
            </w:pPr>
            <w:r w:rsidRPr="007141C8">
              <w:rPr>
                <w:rFonts w:ascii="Aptos" w:eastAsia="新細明體" w:hAnsi="Aptos"/>
                <w:b/>
                <w:bCs/>
                <w:lang w:eastAsia="zh-TW"/>
              </w:rPr>
              <w:drawing>
                <wp:inline distT="0" distB="0" distL="0" distR="0" wp14:anchorId="1705823E" wp14:editId="274554C5">
                  <wp:extent cx="2408667" cy="2623820"/>
                  <wp:effectExtent l="0" t="0" r="0" b="508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9585" cy="2635713"/>
                          </a:xfrm>
                          <a:prstGeom prst="rect">
                            <a:avLst/>
                          </a:prstGeom>
                        </pic:spPr>
                      </pic:pic>
                    </a:graphicData>
                  </a:graphic>
                </wp:inline>
              </w:drawing>
            </w:r>
          </w:p>
        </w:tc>
      </w:tr>
      <w:tr w:rsidR="007141C8" w:rsidRPr="000E26A9" w14:paraId="2B8E1A6A" w14:textId="77777777" w:rsidTr="007141C8">
        <w:trPr>
          <w:jc w:val="center"/>
        </w:trPr>
        <w:tc>
          <w:tcPr>
            <w:tcW w:w="3756" w:type="dxa"/>
          </w:tcPr>
          <w:p w14:paraId="4ADE0433" w14:textId="0941C70A" w:rsidR="007141C8" w:rsidRPr="000E26A9" w:rsidRDefault="007141C8" w:rsidP="00F5100F">
            <w:pPr>
              <w:spacing w:after="0"/>
              <w:jc w:val="center"/>
              <w:rPr>
                <w:rFonts w:ascii="Aptos" w:eastAsia="新細明體" w:hAnsi="Aptos"/>
                <w:b/>
                <w:bCs/>
                <w:lang w:eastAsia="zh-TW"/>
              </w:rPr>
            </w:pPr>
            <w:r>
              <w:rPr>
                <w:rFonts w:ascii="Aptos" w:eastAsia="新細明體" w:hAnsi="Aptos" w:hint="eastAsia"/>
                <w:b/>
                <w:bCs/>
                <w:lang w:eastAsia="zh-TW"/>
              </w:rPr>
              <w:t>(c)</w:t>
            </w:r>
          </w:p>
        </w:tc>
        <w:tc>
          <w:tcPr>
            <w:tcW w:w="3938" w:type="dxa"/>
          </w:tcPr>
          <w:p w14:paraId="4253FFEE" w14:textId="47C4ECFE" w:rsidR="007141C8" w:rsidRPr="000E26A9" w:rsidRDefault="007141C8" w:rsidP="00F5100F">
            <w:pPr>
              <w:spacing w:after="0"/>
              <w:ind w:firstLineChars="900" w:firstLine="1982"/>
              <w:rPr>
                <w:rFonts w:ascii="Aptos" w:eastAsia="新細明體" w:hAnsi="Aptos"/>
                <w:b/>
                <w:bCs/>
                <w:lang w:eastAsia="zh-TW"/>
              </w:rPr>
            </w:pPr>
            <w:r>
              <w:rPr>
                <w:rFonts w:ascii="Aptos" w:eastAsia="新細明體" w:hAnsi="Aptos" w:hint="eastAsia"/>
                <w:b/>
                <w:bCs/>
                <w:lang w:eastAsia="zh-TW"/>
              </w:rPr>
              <w:t>(d)</w:t>
            </w:r>
          </w:p>
        </w:tc>
      </w:tr>
    </w:tbl>
    <w:p w14:paraId="19ED96F7" w14:textId="0EE2966B" w:rsidR="00C35078" w:rsidRPr="00EF6A34" w:rsidRDefault="00F5100F" w:rsidP="00EF6A34">
      <w:pPr>
        <w:spacing w:after="0"/>
        <w:jc w:val="center"/>
        <w:rPr>
          <w:rFonts w:ascii="Aptos" w:eastAsia="新細明體" w:hAnsi="Aptos"/>
          <w:lang w:eastAsia="zh-TW"/>
        </w:rPr>
      </w:pPr>
      <w:r w:rsidRPr="00F5100F">
        <w:rPr>
          <w:rFonts w:ascii="Aptos" w:hAnsi="Aptos"/>
          <w:b/>
          <w:bCs/>
        </w:rPr>
        <w:t>Fig</w:t>
      </w:r>
      <w:r w:rsidRPr="00F5100F">
        <w:rPr>
          <w:rFonts w:ascii="Aptos" w:eastAsia="新細明體" w:hAnsi="Aptos" w:hint="eastAsia"/>
          <w:b/>
          <w:bCs/>
          <w:lang w:eastAsia="zh-TW"/>
        </w:rPr>
        <w:t>.</w:t>
      </w:r>
      <w:r w:rsidRPr="00F5100F">
        <w:rPr>
          <w:rFonts w:ascii="Aptos" w:hAnsi="Aptos"/>
          <w:b/>
          <w:bCs/>
        </w:rPr>
        <w:t xml:space="preserve"> </w:t>
      </w:r>
      <w:r w:rsidR="006E4435">
        <w:rPr>
          <w:rFonts w:ascii="Aptos" w:eastAsia="新細明體" w:hAnsi="Aptos" w:hint="eastAsia"/>
          <w:b/>
          <w:bCs/>
          <w:lang w:eastAsia="zh-TW"/>
        </w:rPr>
        <w:t>5</w:t>
      </w:r>
      <w:r w:rsidRPr="00F5100F">
        <w:rPr>
          <w:rFonts w:ascii="Aptos" w:eastAsia="新細明體" w:hAnsi="Aptos" w:hint="eastAsia"/>
          <w:b/>
          <w:bCs/>
          <w:lang w:eastAsia="zh-TW"/>
        </w:rPr>
        <w:t>.</w:t>
      </w:r>
      <w:r w:rsidRPr="00F5100F">
        <w:rPr>
          <w:rFonts w:ascii="Aptos" w:hAnsi="Aptos"/>
        </w:rPr>
        <w:t xml:space="preserve"> </w:t>
      </w:r>
      <w:r w:rsidR="007141C8" w:rsidRPr="007141C8">
        <w:rPr>
          <w:rFonts w:ascii="Aptos" w:hAnsi="Aptos"/>
        </w:rPr>
        <w:t>Component placement views of the final system layout: (a) front view; (b) side view; (c) rear view; and (d) top view, illustrating sensor clearance, platform stacking, subsystem arrangement, and support footprint.</w:t>
      </w:r>
    </w:p>
    <w:p w14:paraId="4AC53E33" w14:textId="77777777" w:rsidR="00C35078" w:rsidRPr="00871646" w:rsidRDefault="00000000" w:rsidP="00871646">
      <w:pPr>
        <w:pStyle w:val="ae"/>
        <w:numPr>
          <w:ilvl w:val="0"/>
          <w:numId w:val="12"/>
        </w:numPr>
        <w:spacing w:before="160" w:after="80" w:line="384" w:lineRule="auto"/>
        <w:ind w:left="482" w:hanging="482"/>
        <w:rPr>
          <w:rFonts w:ascii="Aptos" w:hAnsi="Aptos"/>
          <w:b/>
          <w:bCs/>
        </w:rPr>
      </w:pPr>
      <w:r w:rsidRPr="00871646">
        <w:rPr>
          <w:rFonts w:ascii="Aptos" w:hAnsi="Aptos"/>
          <w:b/>
          <w:bCs/>
        </w:rPr>
        <w:t>Computer and Battery Packaging Strategy</w:t>
      </w:r>
    </w:p>
    <w:p w14:paraId="56FC0BE3" w14:textId="009B4EB0" w:rsidR="0068182C" w:rsidRDefault="0068182C" w:rsidP="00871646">
      <w:pPr>
        <w:pStyle w:val="ae"/>
        <w:spacing w:before="240" w:line="384" w:lineRule="auto"/>
        <w:ind w:left="480"/>
        <w:rPr>
          <w:rFonts w:ascii="Aptos" w:eastAsia="新細明體" w:hAnsi="Aptos"/>
          <w:lang w:eastAsia="zh-TW"/>
        </w:rPr>
      </w:pPr>
      <w:r w:rsidRPr="0068182C">
        <w:rPr>
          <w:rFonts w:ascii="Aptos" w:eastAsia="新細明體" w:hAnsi="Aptos"/>
          <w:lang w:eastAsia="zh-TW"/>
        </w:rPr>
        <w:t xml:space="preserve">As shown in Fig. </w:t>
      </w:r>
      <w:r w:rsidR="006E4435">
        <w:rPr>
          <w:rFonts w:ascii="Aptos" w:eastAsia="新細明體" w:hAnsi="Aptos" w:hint="eastAsia"/>
          <w:lang w:eastAsia="zh-TW"/>
        </w:rPr>
        <w:t>6</w:t>
      </w:r>
      <w:r w:rsidRPr="0068182C">
        <w:rPr>
          <w:rFonts w:ascii="Aptos" w:eastAsia="新細明體" w:hAnsi="Aptos"/>
          <w:lang w:eastAsia="zh-TW"/>
        </w:rPr>
        <w:t xml:space="preserve">, the rear packaging arrangement places the NUC on its own elevated platform, while two batteries of identical size are mounted on the </w:t>
      </w:r>
      <w:proofErr w:type="spellStart"/>
      <w:r w:rsidRPr="0068182C">
        <w:rPr>
          <w:rFonts w:ascii="Aptos" w:eastAsia="新細明體" w:hAnsi="Aptos"/>
          <w:lang w:eastAsia="zh-TW"/>
        </w:rPr>
        <w:t>LeoRover</w:t>
      </w:r>
      <w:proofErr w:type="spellEnd"/>
      <w:r w:rsidRPr="0068182C">
        <w:rPr>
          <w:rFonts w:ascii="Aptos" w:eastAsia="新細明體" w:hAnsi="Aptos"/>
          <w:lang w:eastAsia="zh-TW"/>
        </w:rPr>
        <w:t xml:space="preserve"> body below the NUC region. This layout improves packaging consistency, keeps the upper structure organi</w:t>
      </w:r>
      <w:r w:rsidR="008D24CC">
        <w:rPr>
          <w:rFonts w:ascii="Aptos" w:eastAsia="新細明體" w:hAnsi="Aptos" w:hint="eastAsia"/>
          <w:lang w:eastAsia="zh-TW"/>
        </w:rPr>
        <w:t>z</w:t>
      </w:r>
      <w:r w:rsidRPr="0068182C">
        <w:rPr>
          <w:rFonts w:ascii="Aptos" w:eastAsia="新細明體" w:hAnsi="Aptos"/>
          <w:lang w:eastAsia="zh-TW"/>
        </w:rPr>
        <w:t>ed, and reduces clutter around the manipulator working area. It also supports cleaner cable routing by separating the computing platform from the lower-mounted power modules.</w:t>
      </w:r>
    </w:p>
    <w:p w14:paraId="5B8604F4" w14:textId="0F84CB56" w:rsidR="00871646" w:rsidRDefault="001D79E9" w:rsidP="00871646">
      <w:pPr>
        <w:pStyle w:val="ae"/>
        <w:spacing w:before="240" w:line="384" w:lineRule="auto"/>
        <w:ind w:left="480"/>
        <w:jc w:val="center"/>
        <w:rPr>
          <w:rFonts w:ascii="Aptos" w:eastAsia="新細明體" w:hAnsi="Aptos"/>
          <w:lang w:eastAsia="zh-TW"/>
        </w:rPr>
      </w:pPr>
      <w:r w:rsidRPr="001D79E9">
        <w:rPr>
          <w:rFonts w:ascii="Aptos" w:eastAsia="新細明體" w:hAnsi="Aptos"/>
          <w:noProof/>
          <w:lang w:eastAsia="zh-TW"/>
        </w:rPr>
        <w:lastRenderedPageBreak/>
        <w:drawing>
          <wp:inline distT="0" distB="0" distL="0" distR="0" wp14:anchorId="747962AD" wp14:editId="1DC4F4FC">
            <wp:extent cx="4114800" cy="2154891"/>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9710" cy="2167936"/>
                    </a:xfrm>
                    <a:prstGeom prst="rect">
                      <a:avLst/>
                    </a:prstGeom>
                  </pic:spPr>
                </pic:pic>
              </a:graphicData>
            </a:graphic>
          </wp:inline>
        </w:drawing>
      </w:r>
    </w:p>
    <w:p w14:paraId="56E48F08" w14:textId="2A451975" w:rsidR="00871646" w:rsidRPr="000B3CB5" w:rsidRDefault="00871646" w:rsidP="00871646">
      <w:pPr>
        <w:pStyle w:val="ae"/>
        <w:spacing w:before="240" w:line="384" w:lineRule="auto"/>
        <w:ind w:left="480"/>
        <w:jc w:val="both"/>
        <w:rPr>
          <w:rFonts w:ascii="Aptos" w:hAnsi="Aptos"/>
        </w:rPr>
      </w:pPr>
      <w:r w:rsidRPr="00F5100F">
        <w:rPr>
          <w:rFonts w:ascii="Aptos" w:hAnsi="Aptos"/>
          <w:b/>
          <w:bCs/>
        </w:rPr>
        <w:t>Fig</w:t>
      </w:r>
      <w:r w:rsidRPr="000B3CB5">
        <w:rPr>
          <w:rFonts w:ascii="Aptos" w:hAnsi="Aptos" w:hint="eastAsia"/>
          <w:b/>
          <w:bCs/>
        </w:rPr>
        <w:t>.</w:t>
      </w:r>
      <w:r w:rsidR="000B3CB5" w:rsidRPr="000B3CB5">
        <w:rPr>
          <w:rFonts w:ascii="Aptos" w:hAnsi="Aptos" w:hint="eastAsia"/>
          <w:b/>
          <w:bCs/>
        </w:rPr>
        <w:t xml:space="preserve"> </w:t>
      </w:r>
      <w:r w:rsidR="006E4435">
        <w:rPr>
          <w:rFonts w:ascii="Aptos" w:eastAsia="新細明體" w:hAnsi="Aptos" w:hint="eastAsia"/>
          <w:b/>
          <w:bCs/>
          <w:lang w:eastAsia="zh-TW"/>
        </w:rPr>
        <w:t>6</w:t>
      </w:r>
      <w:r w:rsidR="000B3CB5" w:rsidRPr="000B3CB5">
        <w:rPr>
          <w:rFonts w:ascii="Aptos" w:hAnsi="Aptos" w:hint="eastAsia"/>
          <w:b/>
          <w:bCs/>
        </w:rPr>
        <w:t xml:space="preserve">. </w:t>
      </w:r>
      <w:r w:rsidRPr="000B3CB5">
        <w:rPr>
          <w:rFonts w:ascii="Aptos" w:hAnsi="Aptos"/>
        </w:rPr>
        <w:t xml:space="preserve">Rear packaging arrangement showing the elevated NUC platform and the two identical batteries mounted below on the </w:t>
      </w:r>
      <w:proofErr w:type="spellStart"/>
      <w:r w:rsidRPr="000B3CB5">
        <w:rPr>
          <w:rFonts w:ascii="Aptos" w:hAnsi="Aptos"/>
        </w:rPr>
        <w:t>LeoRover</w:t>
      </w:r>
      <w:proofErr w:type="spellEnd"/>
      <w:r w:rsidRPr="000B3CB5">
        <w:rPr>
          <w:rFonts w:ascii="Aptos" w:hAnsi="Aptos"/>
        </w:rPr>
        <w:t xml:space="preserve"> body.</w:t>
      </w:r>
    </w:p>
    <w:p w14:paraId="0F80175F" w14:textId="77777777" w:rsidR="00C35078" w:rsidRPr="00871646" w:rsidRDefault="00000000" w:rsidP="00871646">
      <w:pPr>
        <w:pStyle w:val="ae"/>
        <w:numPr>
          <w:ilvl w:val="0"/>
          <w:numId w:val="12"/>
        </w:numPr>
        <w:spacing w:before="160" w:after="80" w:line="384" w:lineRule="auto"/>
        <w:rPr>
          <w:rFonts w:ascii="Aptos" w:hAnsi="Aptos"/>
        </w:rPr>
      </w:pPr>
      <w:r w:rsidRPr="00871646">
        <w:rPr>
          <w:rFonts w:ascii="Aptos" w:hAnsi="Aptos"/>
          <w:b/>
        </w:rPr>
        <w:t>Overall Trade-off Outcome</w:t>
      </w:r>
    </w:p>
    <w:p w14:paraId="400D45F8" w14:textId="7B9A467F" w:rsidR="00C35078" w:rsidRPr="00871646" w:rsidRDefault="00871646" w:rsidP="00871646">
      <w:pPr>
        <w:pStyle w:val="ae"/>
        <w:spacing w:before="160" w:after="80" w:line="384" w:lineRule="auto"/>
        <w:ind w:left="480"/>
        <w:rPr>
          <w:rFonts w:ascii="Aptos" w:eastAsia="新細明體" w:hAnsi="Aptos"/>
          <w:lang w:eastAsia="zh-TW"/>
        </w:rPr>
      </w:pPr>
      <w:r w:rsidRPr="000E26A9">
        <w:rPr>
          <w:rFonts w:ascii="Aptos" w:hAnsi="Aptos"/>
        </w:rPr>
        <w:t xml:space="preserve">Overall, the layout resolves the core conflicts between sensor visibility, manipulator clearance, and mass distribution while remaining compatible with the physical constraints of the </w:t>
      </w:r>
      <w:proofErr w:type="spellStart"/>
      <w:r w:rsidRPr="000E26A9">
        <w:rPr>
          <w:rFonts w:ascii="Aptos" w:hAnsi="Aptos"/>
        </w:rPr>
        <w:t>LeoRover</w:t>
      </w:r>
      <w:proofErr w:type="spellEnd"/>
      <w:r w:rsidRPr="000E26A9">
        <w:rPr>
          <w:rFonts w:ascii="Aptos" w:hAnsi="Aptos"/>
        </w:rPr>
        <w:t xml:space="preserve"> platform.</w:t>
      </w:r>
    </w:p>
    <w:p w14:paraId="5842063F" w14:textId="77777777" w:rsidR="00C35078" w:rsidRPr="000E26A9" w:rsidRDefault="00000000">
      <w:pPr>
        <w:spacing w:before="80"/>
        <w:rPr>
          <w:rFonts w:ascii="Aptos" w:hAnsi="Aptos"/>
        </w:rPr>
      </w:pPr>
      <w:r w:rsidRPr="000E26A9">
        <w:rPr>
          <w:rFonts w:ascii="Aptos" w:hAnsi="Aptos"/>
          <w:b/>
          <w:sz w:val="24"/>
        </w:rPr>
        <w:t>3.4 Manufacturability and Suitability Analysis</w:t>
      </w:r>
    </w:p>
    <w:p w14:paraId="799E0E42" w14:textId="24303732" w:rsidR="00C2152A" w:rsidRDefault="00050A35" w:rsidP="00C2152A">
      <w:pPr>
        <w:spacing w:line="384" w:lineRule="auto"/>
        <w:rPr>
          <w:rFonts w:ascii="Aptos" w:eastAsia="新細明體" w:hAnsi="Aptos"/>
          <w:lang w:eastAsia="zh-TW"/>
        </w:rPr>
      </w:pPr>
      <w:r w:rsidRPr="00050A35">
        <w:rPr>
          <w:rFonts w:ascii="Aptos" w:hAnsi="Aptos"/>
        </w:rPr>
        <w:t>The structure was designed to minimi</w:t>
      </w:r>
      <w:r w:rsidR="008D24CC">
        <w:rPr>
          <w:rFonts w:ascii="Aptos" w:eastAsia="新細明體" w:hAnsi="Aptos" w:hint="eastAsia"/>
          <w:lang w:eastAsia="zh-TW"/>
        </w:rPr>
        <w:t>z</w:t>
      </w:r>
      <w:r w:rsidRPr="00050A35">
        <w:rPr>
          <w:rFonts w:ascii="Aptos" w:hAnsi="Aptos"/>
        </w:rPr>
        <w:t xml:space="preserve">e fabrication complexity by combining simple flat plates with standard hex standoff spacers. As shown in Fig. </w:t>
      </w:r>
      <w:r w:rsidR="006E4435">
        <w:rPr>
          <w:rFonts w:ascii="Aptos" w:eastAsia="新細明體" w:hAnsi="Aptos" w:hint="eastAsia"/>
          <w:lang w:eastAsia="zh-TW"/>
        </w:rPr>
        <w:t>7</w:t>
      </w:r>
      <w:r w:rsidRPr="00050A35">
        <w:rPr>
          <w:rFonts w:ascii="Aptos" w:hAnsi="Aptos"/>
        </w:rPr>
        <w:t>, this approach limits bespoke geometry and produces a clear, repeatable construction based on a small number of straightforward parts</w:t>
      </w:r>
      <w:r w:rsidR="00277FFA" w:rsidRPr="00277FFA">
        <w:rPr>
          <w:rFonts w:ascii="Aptos" w:hAnsi="Aptos"/>
        </w:rPr>
        <w:t>.</w:t>
      </w:r>
    </w:p>
    <w:p w14:paraId="01BE4409" w14:textId="052A2814" w:rsidR="00277FFA" w:rsidRDefault="00277FFA" w:rsidP="00277FFA">
      <w:pPr>
        <w:spacing w:after="0" w:line="384" w:lineRule="auto"/>
        <w:jc w:val="center"/>
        <w:rPr>
          <w:rFonts w:ascii="Aptos" w:eastAsia="新細明體" w:hAnsi="Aptos"/>
          <w:lang w:eastAsia="zh-TW"/>
        </w:rPr>
      </w:pPr>
      <w:r w:rsidRPr="00277FFA">
        <w:rPr>
          <w:rFonts w:ascii="Aptos" w:eastAsia="新細明體" w:hAnsi="Aptos"/>
          <w:noProof/>
          <w:lang w:eastAsia="zh-TW"/>
        </w:rPr>
        <w:drawing>
          <wp:inline distT="0" distB="0" distL="0" distR="0" wp14:anchorId="3D503FFD" wp14:editId="15A85750">
            <wp:extent cx="4198620" cy="2008837"/>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3291" cy="2020641"/>
                    </a:xfrm>
                    <a:prstGeom prst="rect">
                      <a:avLst/>
                    </a:prstGeom>
                  </pic:spPr>
                </pic:pic>
              </a:graphicData>
            </a:graphic>
          </wp:inline>
        </w:drawing>
      </w:r>
    </w:p>
    <w:p w14:paraId="4F1F64A0" w14:textId="51E3E276" w:rsidR="00277FFA" w:rsidRPr="00277FFA" w:rsidRDefault="00277FFA" w:rsidP="00277FFA">
      <w:pPr>
        <w:spacing w:line="384" w:lineRule="auto"/>
        <w:jc w:val="center"/>
        <w:rPr>
          <w:rFonts w:ascii="Aptos" w:eastAsia="新細明體" w:hAnsi="Aptos"/>
          <w:lang w:eastAsia="zh-TW"/>
        </w:rPr>
      </w:pPr>
      <w:r w:rsidRPr="00277FFA">
        <w:rPr>
          <w:rFonts w:ascii="Aptos" w:eastAsia="新細明體" w:hAnsi="Aptos"/>
          <w:b/>
          <w:bCs/>
          <w:lang w:eastAsia="zh-TW"/>
        </w:rPr>
        <w:t>Fi</w:t>
      </w:r>
      <w:r w:rsidRPr="00277FFA">
        <w:rPr>
          <w:rFonts w:ascii="Aptos" w:eastAsia="新細明體" w:hAnsi="Aptos" w:hint="eastAsia"/>
          <w:b/>
          <w:bCs/>
          <w:lang w:eastAsia="zh-TW"/>
        </w:rPr>
        <w:t>g.</w:t>
      </w:r>
      <w:r w:rsidRPr="00277FFA">
        <w:rPr>
          <w:rFonts w:ascii="Aptos" w:eastAsia="新細明體" w:hAnsi="Aptos"/>
          <w:b/>
          <w:bCs/>
          <w:lang w:eastAsia="zh-TW"/>
        </w:rPr>
        <w:t xml:space="preserve"> </w:t>
      </w:r>
      <w:r w:rsidR="006E4435">
        <w:rPr>
          <w:rFonts w:ascii="Aptos" w:eastAsia="新細明體" w:hAnsi="Aptos" w:hint="eastAsia"/>
          <w:b/>
          <w:bCs/>
          <w:lang w:eastAsia="zh-TW"/>
        </w:rPr>
        <w:t>7</w:t>
      </w:r>
      <w:r w:rsidRPr="00277FFA">
        <w:rPr>
          <w:rFonts w:ascii="Aptos" w:eastAsia="新細明體" w:hAnsi="Aptos" w:hint="eastAsia"/>
          <w:b/>
          <w:bCs/>
          <w:lang w:eastAsia="zh-TW"/>
        </w:rPr>
        <w:t>.</w:t>
      </w:r>
      <w:r>
        <w:rPr>
          <w:rFonts w:ascii="Aptos" w:eastAsia="新細明體" w:hAnsi="Aptos" w:hint="eastAsia"/>
          <w:lang w:eastAsia="zh-TW"/>
        </w:rPr>
        <w:t xml:space="preserve"> </w:t>
      </w:r>
      <w:r w:rsidRPr="00277FFA">
        <w:rPr>
          <w:rFonts w:ascii="Aptos" w:eastAsia="新細明體" w:hAnsi="Aptos"/>
          <w:lang w:eastAsia="zh-TW"/>
        </w:rPr>
        <w:t xml:space="preserve"> Mounting structure detail showing the flat plates and hex standoff spacer arrangement.</w:t>
      </w:r>
    </w:p>
    <w:p w14:paraId="77132F62" w14:textId="5E6345C4" w:rsidR="00C2152A" w:rsidRDefault="00C2152A" w:rsidP="00C2152A">
      <w:pPr>
        <w:pStyle w:val="ae"/>
        <w:numPr>
          <w:ilvl w:val="0"/>
          <w:numId w:val="12"/>
        </w:numPr>
        <w:spacing w:line="384" w:lineRule="auto"/>
        <w:rPr>
          <w:rFonts w:ascii="Aptos" w:eastAsia="新細明體" w:hAnsi="Aptos"/>
          <w:b/>
          <w:bCs/>
          <w:lang w:eastAsia="zh-TW"/>
        </w:rPr>
      </w:pPr>
      <w:r w:rsidRPr="00C2152A">
        <w:rPr>
          <w:rFonts w:ascii="Aptos" w:hAnsi="Aptos"/>
          <w:b/>
          <w:bCs/>
        </w:rPr>
        <w:t>Manufacturability</w:t>
      </w:r>
    </w:p>
    <w:p w14:paraId="2E708029" w14:textId="538D7D94" w:rsidR="00050A35" w:rsidRPr="00050A35" w:rsidRDefault="00050A35" w:rsidP="00050A35">
      <w:pPr>
        <w:pStyle w:val="ae"/>
        <w:spacing w:line="384" w:lineRule="auto"/>
        <w:ind w:left="480"/>
        <w:rPr>
          <w:rFonts w:ascii="Aptos" w:eastAsia="新細明體" w:hAnsi="Aptos"/>
          <w:lang w:eastAsia="zh-TW"/>
        </w:rPr>
      </w:pPr>
      <w:r w:rsidRPr="00050A35">
        <w:rPr>
          <w:rFonts w:ascii="Aptos" w:eastAsia="新細明體" w:hAnsi="Aptos"/>
          <w:lang w:eastAsia="zh-TW"/>
        </w:rPr>
        <w:t xml:space="preserve">From a manufacturing perspective, the arrangement requires fewer custom structural parts and simplifies fabrication. The mounting plates remain relatively easy to produce, while platform elevation is achieved using standard spacers rather than a complex integrated frame. This reduces </w:t>
      </w:r>
      <w:r w:rsidRPr="00050A35">
        <w:rPr>
          <w:rFonts w:ascii="Aptos" w:eastAsia="新細明體" w:hAnsi="Aptos"/>
          <w:lang w:eastAsia="zh-TW"/>
        </w:rPr>
        <w:lastRenderedPageBreak/>
        <w:t>fabrication effort, shortens iteration time, and makes dimensional adjustment more practical if platform heights need to change later.</w:t>
      </w:r>
    </w:p>
    <w:p w14:paraId="2B2D27A0" w14:textId="0C29529D" w:rsidR="00050A35" w:rsidRPr="00050A35" w:rsidRDefault="00050A35" w:rsidP="00050A35">
      <w:pPr>
        <w:pStyle w:val="ae"/>
        <w:spacing w:line="384" w:lineRule="auto"/>
        <w:ind w:left="480"/>
        <w:rPr>
          <w:rFonts w:ascii="Aptos" w:eastAsia="新細明體" w:hAnsi="Aptos"/>
          <w:lang w:eastAsia="zh-TW"/>
        </w:rPr>
      </w:pPr>
      <w:r w:rsidRPr="00050A35">
        <w:rPr>
          <w:rFonts w:ascii="Aptos" w:eastAsia="新細明體" w:hAnsi="Aptos"/>
          <w:lang w:eastAsia="zh-TW"/>
        </w:rPr>
        <w:t>The architecture also improves serviceability during prototyping and integration. Individual plates, spacers, or local fasteners can be removed and replaced without reworking the entire structure, which is beneficial when hardware packaging or sensor interfaces require minor refinement</w:t>
      </w:r>
      <w:r w:rsidR="006C4158">
        <w:rPr>
          <w:rFonts w:ascii="Aptos" w:eastAsia="新細明體" w:hAnsi="Aptos" w:hint="eastAsia"/>
          <w:lang w:eastAsia="zh-TW"/>
        </w:rPr>
        <w:t>.</w:t>
      </w:r>
    </w:p>
    <w:p w14:paraId="479E474D" w14:textId="54E2AA61" w:rsidR="00C2152A" w:rsidRDefault="00C2152A" w:rsidP="002B4711">
      <w:pPr>
        <w:pStyle w:val="ae"/>
        <w:numPr>
          <w:ilvl w:val="0"/>
          <w:numId w:val="12"/>
        </w:numPr>
        <w:spacing w:line="384" w:lineRule="auto"/>
        <w:rPr>
          <w:rFonts w:ascii="Aptos" w:eastAsia="新細明體" w:hAnsi="Aptos"/>
          <w:b/>
          <w:bCs/>
          <w:lang w:eastAsia="zh-TW"/>
        </w:rPr>
      </w:pPr>
      <w:r w:rsidRPr="002B4711">
        <w:rPr>
          <w:rFonts w:ascii="Aptos" w:hAnsi="Aptos"/>
          <w:b/>
          <w:bCs/>
        </w:rPr>
        <w:t>Suitability and Structural Integrity</w:t>
      </w:r>
    </w:p>
    <w:p w14:paraId="58C93AC7" w14:textId="7FCEC4DA" w:rsidR="00050A35" w:rsidRPr="00050A35" w:rsidRDefault="00050A35" w:rsidP="00050A35">
      <w:pPr>
        <w:pStyle w:val="ae"/>
        <w:spacing w:line="384" w:lineRule="auto"/>
        <w:ind w:left="480"/>
        <w:rPr>
          <w:rFonts w:ascii="Aptos" w:eastAsia="新細明體" w:hAnsi="Aptos"/>
          <w:lang w:eastAsia="zh-TW"/>
        </w:rPr>
      </w:pPr>
      <w:r w:rsidRPr="00050A35">
        <w:rPr>
          <w:rFonts w:ascii="Aptos" w:eastAsia="新細明體" w:hAnsi="Aptos"/>
          <w:lang w:eastAsia="zh-TW"/>
        </w:rPr>
        <w:t>Structurally, the standoff-based architecture provides a direct load path from the manipulator and NUC platforms into the rover deck. Each elevated platform is supported at four points, giving stable and symmetric load transfer while avoiding unnecessary supporting material. This makes the arrangement suitable for the intended operational loads at the PDR stage.</w:t>
      </w:r>
    </w:p>
    <w:p w14:paraId="60ED2DD9" w14:textId="598C30E3" w:rsidR="00C35078" w:rsidRPr="00E519D5" w:rsidRDefault="00000000">
      <w:pPr>
        <w:spacing w:before="80"/>
        <w:rPr>
          <w:rFonts w:ascii="Aptos" w:eastAsia="新細明體" w:hAnsi="Aptos"/>
          <w:b/>
          <w:bCs/>
          <w:sz w:val="24"/>
          <w:szCs w:val="24"/>
          <w:lang w:eastAsia="zh-TW"/>
        </w:rPr>
      </w:pPr>
      <w:r w:rsidRPr="00E519D5">
        <w:rPr>
          <w:rFonts w:ascii="Aptos" w:hAnsi="Aptos"/>
          <w:b/>
          <w:bCs/>
          <w:sz w:val="24"/>
          <w:szCs w:val="24"/>
        </w:rPr>
        <w:t xml:space="preserve">3.5 </w:t>
      </w:r>
      <w:r w:rsidR="00A95D32" w:rsidRPr="00A95D32">
        <w:rPr>
          <w:rFonts w:ascii="Aptos" w:hAnsi="Aptos"/>
          <w:b/>
          <w:bCs/>
          <w:sz w:val="24"/>
          <w:szCs w:val="24"/>
        </w:rPr>
        <w:t>Structural Assessment and Design Justification</w:t>
      </w:r>
    </w:p>
    <w:p w14:paraId="5E04694C" w14:textId="1F024547" w:rsidR="00B45CBE" w:rsidRPr="00B45CBE" w:rsidRDefault="00C969CF" w:rsidP="00377EC2">
      <w:pPr>
        <w:spacing w:before="160" w:after="80" w:line="384" w:lineRule="auto"/>
        <w:rPr>
          <w:rFonts w:ascii="Aptos" w:hAnsi="Aptos"/>
        </w:rPr>
      </w:pPr>
      <w:r w:rsidRPr="00C969CF">
        <w:rPr>
          <w:rFonts w:ascii="Aptos" w:hAnsi="Aptos"/>
        </w:rPr>
        <w:t>Engineering judgement and first-order loading estimates indicate that the structure is fit for purpose for the intended mobile manipulation tasks. The manipulator load is modest in absolute terms, and the mounting structure transfers this load through compact and direct structural paths into the rover body. Within the scope of this Final Design Review submission, a detailed finite element analysis has not been included; however, the simplified calculations and structural layout provide sufficient justification for the current design choices.</w:t>
      </w:r>
    </w:p>
    <w:p w14:paraId="009675AD" w14:textId="254EE06D" w:rsidR="00C35078" w:rsidRPr="00B45CBE" w:rsidRDefault="00000000" w:rsidP="00B45CBE">
      <w:pPr>
        <w:pStyle w:val="ae"/>
        <w:numPr>
          <w:ilvl w:val="0"/>
          <w:numId w:val="12"/>
        </w:numPr>
        <w:spacing w:before="160" w:after="80"/>
        <w:rPr>
          <w:rFonts w:ascii="Aptos" w:hAnsi="Aptos"/>
          <w:b/>
          <w:bCs/>
        </w:rPr>
      </w:pPr>
      <w:r w:rsidRPr="00B45CBE">
        <w:rPr>
          <w:rFonts w:ascii="Aptos" w:hAnsi="Aptos"/>
          <w:b/>
          <w:bCs/>
        </w:rPr>
        <w:t>Load Analysis</w:t>
      </w:r>
    </w:p>
    <w:p w14:paraId="0E954B80" w14:textId="2FCAEE5B" w:rsidR="00C969CF" w:rsidRPr="00C969CF" w:rsidRDefault="00C969CF" w:rsidP="00C969CF">
      <w:pPr>
        <w:pStyle w:val="ae"/>
        <w:spacing w:after="0" w:line="384" w:lineRule="auto"/>
        <w:ind w:left="480"/>
        <w:rPr>
          <w:rFonts w:ascii="Aptos" w:hAnsi="Aptos"/>
        </w:rPr>
      </w:pPr>
      <w:r w:rsidRPr="00C969CF">
        <w:rPr>
          <w:rFonts w:ascii="Aptos" w:hAnsi="Aptos"/>
        </w:rPr>
        <w:t xml:space="preserve">The manipulator load can be estimated from the </w:t>
      </w:r>
      <w:proofErr w:type="spellStart"/>
      <w:r w:rsidRPr="00C969CF">
        <w:rPr>
          <w:rFonts w:ascii="Aptos" w:hAnsi="Aptos"/>
        </w:rPr>
        <w:t>myCobot</w:t>
      </w:r>
      <w:proofErr w:type="spellEnd"/>
      <w:r w:rsidRPr="00C969CF">
        <w:rPr>
          <w:rFonts w:ascii="Aptos" w:hAnsi="Aptos"/>
        </w:rPr>
        <w:t xml:space="preserve"> 280 PI </w:t>
      </w:r>
      <w:proofErr w:type="spellStart"/>
      <w:r w:rsidRPr="00C969CF">
        <w:rPr>
          <w:rFonts w:ascii="Aptos" w:hAnsi="Aptos"/>
        </w:rPr>
        <w:t>self</w:t>
      </w:r>
      <w:r w:rsidR="008D24CC">
        <w:rPr>
          <w:rFonts w:ascii="Aptos" w:eastAsia="新細明體" w:hAnsi="Aptos" w:hint="eastAsia"/>
          <w:lang w:eastAsia="zh-TW"/>
        </w:rPr>
        <w:t xml:space="preserve"> </w:t>
      </w:r>
      <w:r w:rsidRPr="00C969CF">
        <w:rPr>
          <w:rFonts w:ascii="Aptos" w:hAnsi="Aptos"/>
        </w:rPr>
        <w:t>weight</w:t>
      </w:r>
      <w:proofErr w:type="spellEnd"/>
      <w:r w:rsidRPr="00C969CF">
        <w:rPr>
          <w:rFonts w:ascii="Aptos" w:hAnsi="Aptos"/>
        </w:rPr>
        <w:t xml:space="preserve"> and intended payload. Using approximately 850 g for the manipulator mass and 250 g for the payload, the total supported mass is about 1.1 kg, corresponding to a static vertical load of approximately 11 N. Under ideal symmetric loading, this gives an average static load of about 2.75 N per support.</w:t>
      </w:r>
    </w:p>
    <w:p w14:paraId="76E04CE7" w14:textId="53DDC089" w:rsidR="00305B99" w:rsidRPr="00C969CF" w:rsidRDefault="00C969CF" w:rsidP="00C969CF">
      <w:pPr>
        <w:pStyle w:val="ae"/>
        <w:spacing w:after="0" w:line="384" w:lineRule="auto"/>
        <w:ind w:left="480"/>
        <w:rPr>
          <w:rFonts w:ascii="Aptos" w:eastAsia="新細明體" w:hAnsi="Aptos"/>
          <w:lang w:eastAsia="zh-TW"/>
        </w:rPr>
      </w:pPr>
      <w:r w:rsidRPr="00C969CF">
        <w:rPr>
          <w:rFonts w:ascii="Aptos" w:hAnsi="Aptos"/>
        </w:rPr>
        <w:t>To account conservatively for manipulator motion, rover acceleration, and minor dynamic disturbances, a dynamic amplification factor of 2–3 was applied. This gives an equivalent total load of approximately 22–33 N, or about 5.5–8.25 N per support. These values remain low in absolute terms and indicate that the mounting structure is not highly stressed under the intended operating conditions.</w:t>
      </w:r>
    </w:p>
    <w:p w14:paraId="11EB71D9" w14:textId="77777777" w:rsidR="00A95D32" w:rsidRPr="00B45CBE" w:rsidRDefault="00A95D32" w:rsidP="00A95D32">
      <w:pPr>
        <w:pStyle w:val="ae"/>
        <w:numPr>
          <w:ilvl w:val="0"/>
          <w:numId w:val="12"/>
        </w:numPr>
        <w:spacing w:after="0" w:line="384" w:lineRule="auto"/>
        <w:rPr>
          <w:rFonts w:ascii="Aptos" w:hAnsi="Aptos"/>
          <w:b/>
          <w:bCs/>
        </w:rPr>
      </w:pPr>
      <w:r w:rsidRPr="00B45CBE">
        <w:rPr>
          <w:rFonts w:ascii="Aptos" w:hAnsi="Aptos"/>
          <w:b/>
          <w:bCs/>
        </w:rPr>
        <w:t>Mounting Interface Assessment</w:t>
      </w:r>
    </w:p>
    <w:p w14:paraId="107B50ED" w14:textId="41EB5943" w:rsidR="00A95D32" w:rsidRDefault="00C969CF" w:rsidP="00A95D32">
      <w:pPr>
        <w:pStyle w:val="ae"/>
        <w:spacing w:before="160" w:after="80" w:line="384" w:lineRule="auto"/>
        <w:ind w:left="480"/>
        <w:rPr>
          <w:rFonts w:ascii="Aptos" w:eastAsia="新細明體" w:hAnsi="Aptos"/>
          <w:lang w:eastAsia="zh-TW"/>
        </w:rPr>
      </w:pPr>
      <w:r w:rsidRPr="00C969CF">
        <w:rPr>
          <w:rFonts w:ascii="Aptos" w:hAnsi="Aptos"/>
        </w:rPr>
        <w:t xml:space="preserve">Both the manipulator platform and the NUC platform are supported through discrete standoff connections fixed into the rover deck interfaces. This creates a direct and inspectable load path, avoids long unsupported spans, and keeps the structure compact. Because each platform is </w:t>
      </w:r>
      <w:r w:rsidRPr="00C969CF">
        <w:rPr>
          <w:rFonts w:ascii="Aptos" w:hAnsi="Aptos"/>
        </w:rPr>
        <w:lastRenderedPageBreak/>
        <w:t>supported at four corners, the arrangement provides stable load transfer. Crucially, this wide four-point stance effectively resists the overturning moments generated when the manipulator is fully extended, reducing the likelihood of local rocking compared to a cantilevered support concept.</w:t>
      </w:r>
    </w:p>
    <w:p w14:paraId="4DB27160" w14:textId="1CE4F4AB" w:rsidR="00A95D32" w:rsidRPr="00A95D32" w:rsidRDefault="00A95D32" w:rsidP="00A95D32">
      <w:pPr>
        <w:pStyle w:val="ae"/>
        <w:numPr>
          <w:ilvl w:val="0"/>
          <w:numId w:val="12"/>
        </w:numPr>
        <w:spacing w:before="160" w:after="80" w:line="384" w:lineRule="auto"/>
        <w:rPr>
          <w:rFonts w:ascii="Aptos" w:hAnsi="Aptos"/>
          <w:b/>
          <w:bCs/>
        </w:rPr>
      </w:pPr>
      <w:r w:rsidRPr="00C603CD">
        <w:rPr>
          <w:rFonts w:ascii="Aptos" w:hAnsi="Aptos"/>
          <w:b/>
          <w:bCs/>
        </w:rPr>
        <w:t>System Stability and Mass Distribution Strategy</w:t>
      </w:r>
    </w:p>
    <w:p w14:paraId="0F3CD27E" w14:textId="2A4B44E7" w:rsidR="00A95D32" w:rsidRPr="00A95D32" w:rsidRDefault="00C969CF" w:rsidP="00A95D32">
      <w:pPr>
        <w:pStyle w:val="ae"/>
        <w:spacing w:before="160" w:after="80" w:line="384" w:lineRule="auto"/>
        <w:ind w:left="482"/>
        <w:rPr>
          <w:rFonts w:ascii="Aptos" w:eastAsia="新細明體" w:hAnsi="Aptos"/>
          <w:lang w:eastAsia="zh-TW"/>
        </w:rPr>
      </w:pPr>
      <w:r w:rsidRPr="00C969CF">
        <w:rPr>
          <w:rFonts w:ascii="Aptos" w:hAnsi="Aptos"/>
        </w:rPr>
        <w:t>The low</w:t>
      </w:r>
      <w:r w:rsidR="00FA78E4">
        <w:rPr>
          <w:rFonts w:ascii="Aptos" w:eastAsia="新細明體" w:hAnsi="Aptos" w:hint="eastAsia"/>
          <w:lang w:eastAsia="zh-TW"/>
        </w:rPr>
        <w:t xml:space="preserve"> </w:t>
      </w:r>
      <w:r w:rsidRPr="00C969CF">
        <w:rPr>
          <w:rFonts w:ascii="Aptos" w:hAnsi="Aptos"/>
        </w:rPr>
        <w:t>mounted battery layout contributes positively to overall stability by keeping a significant portion of the system's mass close to the chassis. This helps maintain a lower cent</w:t>
      </w:r>
      <w:r w:rsidR="008D24CC">
        <w:rPr>
          <w:rFonts w:ascii="Aptos" w:eastAsia="新細明體" w:hAnsi="Aptos" w:hint="eastAsia"/>
          <w:lang w:eastAsia="zh-TW"/>
        </w:rPr>
        <w:t>er</w:t>
      </w:r>
      <w:r w:rsidRPr="00C969CF">
        <w:rPr>
          <w:rFonts w:ascii="Aptos" w:hAnsi="Aptos"/>
        </w:rPr>
        <w:t xml:space="preserve"> of gravity than an elevated power</w:t>
      </w:r>
      <w:r w:rsidR="008D24CC">
        <w:rPr>
          <w:rFonts w:ascii="Aptos" w:eastAsia="新細明體" w:hAnsi="Aptos" w:hint="eastAsia"/>
          <w:lang w:eastAsia="zh-TW"/>
        </w:rPr>
        <w:t xml:space="preserve"> </w:t>
      </w:r>
      <w:r w:rsidRPr="00C969CF">
        <w:rPr>
          <w:rFonts w:ascii="Aptos" w:hAnsi="Aptos"/>
        </w:rPr>
        <w:t>module arrangement and reduces the pitching tendency that can occur when the manipulator is extended. From a mechanical perspective, this mass distribution is consistent with stable mobile manipulation and complements the direct four-point support arrangement used for the upper platforms.</w:t>
      </w:r>
    </w:p>
    <w:p w14:paraId="59180549" w14:textId="77777777" w:rsidR="00C35078" w:rsidRPr="00C603CD" w:rsidRDefault="00000000" w:rsidP="00C603CD">
      <w:pPr>
        <w:spacing w:before="160" w:after="80"/>
        <w:rPr>
          <w:rFonts w:ascii="Aptos" w:hAnsi="Aptos"/>
        </w:rPr>
      </w:pPr>
      <w:r w:rsidRPr="00C603CD">
        <w:rPr>
          <w:rFonts w:ascii="Aptos" w:hAnsi="Aptos"/>
          <w:b/>
        </w:rPr>
        <w:t>Conclusion</w:t>
      </w:r>
    </w:p>
    <w:p w14:paraId="098FB3A4" w14:textId="1632F1C8" w:rsidR="00C35078" w:rsidRPr="00FA78E4" w:rsidRDefault="00FA78E4" w:rsidP="00A95D32">
      <w:pPr>
        <w:spacing w:line="384" w:lineRule="auto"/>
        <w:rPr>
          <w:rFonts w:ascii="Aptos" w:eastAsia="新細明體" w:hAnsi="Aptos"/>
          <w:lang w:eastAsia="zh-TW"/>
        </w:rPr>
      </w:pPr>
      <w:r w:rsidRPr="00FA78E4">
        <w:rPr>
          <w:rFonts w:ascii="Aptos" w:hAnsi="Aptos"/>
        </w:rPr>
        <w:t>Based on the relatively low manipulator load, the direct support arrangement, the compact load path into the rover body, and the low</w:t>
      </w:r>
      <w:r>
        <w:rPr>
          <w:rFonts w:ascii="Aptos" w:eastAsia="新細明體" w:hAnsi="Aptos" w:hint="eastAsia"/>
          <w:lang w:eastAsia="zh-TW"/>
        </w:rPr>
        <w:t xml:space="preserve"> </w:t>
      </w:r>
      <w:r w:rsidRPr="00FA78E4">
        <w:rPr>
          <w:rFonts w:ascii="Aptos" w:hAnsi="Aptos"/>
        </w:rPr>
        <w:t>mounted battery layout, the structure is considered fit for purpose for the intended mobile manipulation task</w:t>
      </w:r>
      <w:r>
        <w:rPr>
          <w:rFonts w:ascii="Aptos" w:eastAsia="新細明體" w:hAnsi="Aptos" w:hint="eastAsia"/>
          <w:lang w:eastAsia="zh-TW"/>
        </w:rPr>
        <w:t>.</w:t>
      </w:r>
    </w:p>
    <w:sectPr w:rsidR="00C35078" w:rsidRPr="00FA78E4"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E2574" w14:textId="77777777" w:rsidR="00926AC0" w:rsidRDefault="00926AC0" w:rsidP="006E4435">
      <w:pPr>
        <w:spacing w:after="0" w:line="240" w:lineRule="auto"/>
      </w:pPr>
      <w:r>
        <w:separator/>
      </w:r>
    </w:p>
  </w:endnote>
  <w:endnote w:type="continuationSeparator" w:id="0">
    <w:p w14:paraId="7E36B80B" w14:textId="77777777" w:rsidR="00926AC0" w:rsidRDefault="00926AC0" w:rsidP="006E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39310" w14:textId="77777777" w:rsidR="00926AC0" w:rsidRDefault="00926AC0" w:rsidP="006E4435">
      <w:pPr>
        <w:spacing w:after="0" w:line="240" w:lineRule="auto"/>
      </w:pPr>
      <w:r>
        <w:separator/>
      </w:r>
    </w:p>
  </w:footnote>
  <w:footnote w:type="continuationSeparator" w:id="0">
    <w:p w14:paraId="7FF85908" w14:textId="77777777" w:rsidR="00926AC0" w:rsidRDefault="00926AC0" w:rsidP="006E4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D83C77"/>
    <w:multiLevelType w:val="hybridMultilevel"/>
    <w:tmpl w:val="C3D416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96A11A2"/>
    <w:multiLevelType w:val="hybridMultilevel"/>
    <w:tmpl w:val="50703F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38B27CC"/>
    <w:multiLevelType w:val="hybridMultilevel"/>
    <w:tmpl w:val="8D30CC9E"/>
    <w:lvl w:ilvl="0" w:tplc="AF94480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3F2EDF"/>
    <w:multiLevelType w:val="hybridMultilevel"/>
    <w:tmpl w:val="F3862462"/>
    <w:lvl w:ilvl="0" w:tplc="A91AB4EA">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1441410166">
    <w:abstractNumId w:val="8"/>
  </w:num>
  <w:num w:numId="2" w16cid:durableId="1914469099">
    <w:abstractNumId w:val="6"/>
  </w:num>
  <w:num w:numId="3" w16cid:durableId="914701744">
    <w:abstractNumId w:val="5"/>
  </w:num>
  <w:num w:numId="4" w16cid:durableId="821121884">
    <w:abstractNumId w:val="4"/>
  </w:num>
  <w:num w:numId="5" w16cid:durableId="604966297">
    <w:abstractNumId w:val="7"/>
  </w:num>
  <w:num w:numId="6" w16cid:durableId="316030231">
    <w:abstractNumId w:val="3"/>
  </w:num>
  <w:num w:numId="7" w16cid:durableId="58486192">
    <w:abstractNumId w:val="2"/>
  </w:num>
  <w:num w:numId="8" w16cid:durableId="1516963094">
    <w:abstractNumId w:val="1"/>
  </w:num>
  <w:num w:numId="9" w16cid:durableId="1772511195">
    <w:abstractNumId w:val="0"/>
  </w:num>
  <w:num w:numId="10" w16cid:durableId="494341263">
    <w:abstractNumId w:val="9"/>
  </w:num>
  <w:num w:numId="11" w16cid:durableId="336540285">
    <w:abstractNumId w:val="10"/>
  </w:num>
  <w:num w:numId="12" w16cid:durableId="1535926260">
    <w:abstractNumId w:val="12"/>
  </w:num>
  <w:num w:numId="13" w16cid:durableId="884366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35"/>
    <w:rsid w:val="0006063C"/>
    <w:rsid w:val="000B3CB5"/>
    <w:rsid w:val="000E26A9"/>
    <w:rsid w:val="0015074B"/>
    <w:rsid w:val="001747FD"/>
    <w:rsid w:val="001D79E9"/>
    <w:rsid w:val="00202EAF"/>
    <w:rsid w:val="0023269F"/>
    <w:rsid w:val="00250557"/>
    <w:rsid w:val="00272C1F"/>
    <w:rsid w:val="00277FFA"/>
    <w:rsid w:val="0029639D"/>
    <w:rsid w:val="002B4711"/>
    <w:rsid w:val="00305B99"/>
    <w:rsid w:val="00326F90"/>
    <w:rsid w:val="00366303"/>
    <w:rsid w:val="00377EC2"/>
    <w:rsid w:val="003935C2"/>
    <w:rsid w:val="003A798C"/>
    <w:rsid w:val="00462533"/>
    <w:rsid w:val="004E62E3"/>
    <w:rsid w:val="005669DE"/>
    <w:rsid w:val="005845E3"/>
    <w:rsid w:val="00626DE5"/>
    <w:rsid w:val="0068182C"/>
    <w:rsid w:val="006C4158"/>
    <w:rsid w:val="006E4435"/>
    <w:rsid w:val="007141C8"/>
    <w:rsid w:val="007363C5"/>
    <w:rsid w:val="0075205D"/>
    <w:rsid w:val="00777ACF"/>
    <w:rsid w:val="00793E4D"/>
    <w:rsid w:val="00871646"/>
    <w:rsid w:val="008D24CC"/>
    <w:rsid w:val="00903166"/>
    <w:rsid w:val="00926AC0"/>
    <w:rsid w:val="00A95D32"/>
    <w:rsid w:val="00AA1D8D"/>
    <w:rsid w:val="00B232E5"/>
    <w:rsid w:val="00B45CBE"/>
    <w:rsid w:val="00B47730"/>
    <w:rsid w:val="00BB21BD"/>
    <w:rsid w:val="00C20442"/>
    <w:rsid w:val="00C2152A"/>
    <w:rsid w:val="00C35078"/>
    <w:rsid w:val="00C44C04"/>
    <w:rsid w:val="00C603CD"/>
    <w:rsid w:val="00C8666B"/>
    <w:rsid w:val="00C969CF"/>
    <w:rsid w:val="00CB0664"/>
    <w:rsid w:val="00CF141E"/>
    <w:rsid w:val="00D15F4B"/>
    <w:rsid w:val="00D355BF"/>
    <w:rsid w:val="00D76A41"/>
    <w:rsid w:val="00DF254E"/>
    <w:rsid w:val="00E519D5"/>
    <w:rsid w:val="00E919BF"/>
    <w:rsid w:val="00EF6A34"/>
    <w:rsid w:val="00F07955"/>
    <w:rsid w:val="00F10654"/>
    <w:rsid w:val="00F5100F"/>
    <w:rsid w:val="00FA78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C4A618"/>
  <w14:defaultImageDpi w14:val="300"/>
  <w15:docId w15:val="{8F71C96E-58CF-4952-8D52-8E5100C2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E919BF"/>
    <w:rPr>
      <w:color w:val="0000FF" w:themeColor="hyperlink"/>
      <w:u w:val="single"/>
    </w:rPr>
  </w:style>
  <w:style w:type="character" w:styleId="affb">
    <w:name w:val="Unresolved Mention"/>
    <w:basedOn w:val="a2"/>
    <w:uiPriority w:val="99"/>
    <w:semiHidden/>
    <w:unhideWhenUsed/>
    <w:rsid w:val="00E919BF"/>
    <w:rPr>
      <w:color w:val="605E5C"/>
      <w:shd w:val="clear" w:color="auto" w:fill="E1DFDD"/>
    </w:rPr>
  </w:style>
  <w:style w:type="character" w:styleId="affc">
    <w:name w:val="FollowedHyperlink"/>
    <w:basedOn w:val="a2"/>
    <w:uiPriority w:val="99"/>
    <w:semiHidden/>
    <w:unhideWhenUsed/>
    <w:rsid w:val="001D79E9"/>
    <w:rPr>
      <w:color w:val="800080" w:themeColor="followedHyperlink"/>
      <w:u w:val="single"/>
    </w:rPr>
  </w:style>
  <w:style w:type="paragraph" w:styleId="Web">
    <w:name w:val="Normal (Web)"/>
    <w:basedOn w:val="a1"/>
    <w:uiPriority w:val="99"/>
    <w:semiHidden/>
    <w:unhideWhenUsed/>
    <w:rsid w:val="00C969C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0079">
      <w:bodyDiv w:val="1"/>
      <w:marLeft w:val="0"/>
      <w:marRight w:val="0"/>
      <w:marTop w:val="0"/>
      <w:marBottom w:val="0"/>
      <w:divBdr>
        <w:top w:val="none" w:sz="0" w:space="0" w:color="auto"/>
        <w:left w:val="none" w:sz="0" w:space="0" w:color="auto"/>
        <w:bottom w:val="none" w:sz="0" w:space="0" w:color="auto"/>
        <w:right w:val="none" w:sz="0" w:space="0" w:color="auto"/>
      </w:divBdr>
    </w:div>
    <w:div w:id="957182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a360.co/4ly5kZV"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3082</TotalTime>
  <Pages>7</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庭維 張</cp:lastModifiedBy>
  <cp:revision>36</cp:revision>
  <dcterms:created xsi:type="dcterms:W3CDTF">2013-12-23T23:15:00Z</dcterms:created>
  <dcterms:modified xsi:type="dcterms:W3CDTF">2026-03-17T20:51:00Z</dcterms:modified>
  <cp:category/>
</cp:coreProperties>
</file>