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PHOENIX OMEGA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Manga Mode: Illustrated Book Pipeline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How Our Repo Powers the Global Manga Opportunity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Deep Research Synthesis: Gemini (US/EU/Global) + DeepSeek (China) + Rakuten (Japan, pending)</w:t>
      </w:r>
    </w:p>
    <w:p>
      <w:pPr>
        <w:spacing w:before="8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maps the global manga/illustrated-book opportunity (USD 10B in 2025, projected USD 44B by 2033, 20.5% CAGR) to Phoenix Omega’s existing architecture. The thesis: our deterministic, teacher-pure, atom-based pipeline is uniquely positioned to produce illustrated therapeutic content at scale—without the chaos that destroys most AI-content operations.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synthesize three deep-research reports (Gemini for US/EU/global macro, DeepSeek for China/cultural mechanics, Rakuten for Japan—pending) into a single actionable blueprint that leverages what we already have: 6,000+ atoms, 12 active teachers, a proven gate system, video pipeline, translation infrastructure, and modular format architecture.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Manga Mode is not a new system. It is a new output format family that rides the existing pipeline, using visual prompts derived from atom metadata to produce illustrated pages instead of (or alongside) prose chapters.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The Market Opportunity (from Deep Research)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Global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(US/EU/Global)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DeepSeek (China Focus)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Size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10.2B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Confirms; adds Bilibili 315M MAU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2033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43.9B (20.5% CAGR)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Aligns; Korea webtoon 33.1% CAGR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66%+ (2025)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72.7% in Japan alone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Shift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scroll is global 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Confirms; adds “thumb-driven” ergonomics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23%+ CAGR, VIZ 57%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Confirms; adds library/education channel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Regional Trust Map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deep research source has a regional trust specialization. We use the strongest signal per region: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Phoenix 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/ 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23% CAGR, manga in schools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Pocket Guides, Practice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 (France)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 market, collector’s mentality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illustrated ebooks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Bilibili bullet comments, Xianxia genre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scroll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Korea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OSMU model, Wait-Until-Free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drop cadence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Rakuten (pending)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72.7% digital, premium 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Teacher-pure doctrinal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Asia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30% local content quota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Translated atom packs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 America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 CTV smart TVs, AVOD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pipeline shorts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2.3 Gen Z vs Gen Alpha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research sources agree on the core behavioral split. Phoenix Omega must serve both: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 Z (13–28)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 Alpha (5–13)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Need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Realism + authentic psychology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visual stimulation, clear heroes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binge (4+ hours capable)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Rapid-fire, 8–15 second 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Self-aware irony, dark humor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Absurdist, “brain rot” surrealism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health, gender fluidity, activism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Avatar-based, creator culture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Subscription-friendly (81%)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Microtransaction + reward-ad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Phoenix Lever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Therapeutic atoms = authentic psychology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hooks + Practice Cards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What Phoenix Omega Already Has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not a greenfield build. The core infrastructure for Manga Mode already exists across multiple proven subsystems.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Atom Corpus (6,000+ units)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Our atoms are the building blocks of illustrated pages. Each atom type maps naturally to a manga panel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Atom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Pipeline 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Manga Mode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(25–55 words)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opener, recognition moment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panel / title page visual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(60–120 words)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 moment, sensory anchor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panel with atmosphere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Mechanism illustration, lived moment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Multi-panel narrative sequence (4–6 panels)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Teaching block, insight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close-up panel with speech bubble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 (80–180 words)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Somatic practice, body anchor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illustrated practice spread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close, forward motion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panel with visual motif callback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Teacher System (12 Active Teachers)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teacher has a unique voice, doctrine, and visual identity that maps to distinct manga character design. The teacher registry (teacher_registry.yaml) already enforces voice purity and engine constraints. In Manga Mode, each teacher becomes a visually distinct character with consistent design language across all appearances.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Ahjan: shame, false_alarm, overwhelm, spiral, watcher, grief, comparison engines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Ma’at, Sai Maa, Ra, Channeler Junko, Miki, Master Wu, and 5 more: each with distinct doctrinal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Teacher-pure rule carries over: illustrated content uses only that teacher’s atoms and doctrine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Modular Format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existing v4_freeze_modular_formats.yaml already defines multiple output format families (5-Minute Practice, Pocket Guide, Symptom-to-Action Atlas, Daily Companion). Manga Mode adds a new format family to this same config. No new architecture required—just new format definitions that specify panel layouts instead of prose layouts.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3.4 Video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Already built: preparer, shot planner, asset resolver, caption adapter, timeline builder, QC, provenance, metadata, thumbnail generation. Supports TikTok, YouTube, Instagram Reels, YouTube Shorts. This pipeline generates the motion-comic and micro-anime shorts that both research sources identify as the critical discovery funnel for manga.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3.5 Translation Infrastructure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11 locales already wired (6 CJK + 5 EU). Atom translation pipeline producing output. Golden regression tests. This directly enables the regional deployment strategy: same illustrated content, localized text overlays per market.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3.6 Gate System (51 CI checks)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structural entropy, duplication, and quality gates extend naturally to visual content. A manga page that reuses the same panel composition 3 times fails structural entropy, just like prose that reuses the same sentence structure. Gates prevent the quality collapse that kills AI-generated visual content at scale.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Manga Mode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Manga Mode is a third output format family in the existing pipeline. It does not replace Pearl Prime (books) or Pearl News (articles). It runs through the same entrypoint (run_pipeline.py) with a new --output-format flag.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Pipeline Extension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pipeline flow remains identical through stages 1–3 (catalog planning, format selection, assembly). Manga Mode diverges at Stage 6 (Render):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(Prose)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Manga Mode (Visual)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1: Catalog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BookSpec (topic, persona, teacher)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+ visual_style_archetype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2: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FormatPlan (chapters, slots)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MangaFormatPlan (pages, panels/page, layout)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3: Assembly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CompiledBook (atom sequences)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CompiledManga (atom + panel mapping)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6: 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 manuscript + TTS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prompts + panel assembly + text overlay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Eight Style Archetypes (from Research)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Gemini and DeepSeek converge on eight scalable visual archetypes. Each maps to existing Phoenix content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Traits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Phoenix Teacher 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Hyper-Clean Cinematic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Glossy, lens flares, full-color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action, Gen 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Ra, Master Wu (intensity)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Webtoon Vertical Romance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focus, fashion, close-ups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 Gen Z, Asia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Ma’at, Miki (relational)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Meme-Driven Chaotic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Lo-fi, exaggerated, surreal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 Alpha, TikTok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Short-form Practice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Psychological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contrast, minimalist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 Gen Z, EU/US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Ahjan (shame, spiral engines)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Cozy Iyashikei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Pastel, rounded, kawaii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Anxiety relief, 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 Maa, Joshin (healing)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Progression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overlays, level-up visuals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Gen Z, games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 atoms as “skill unlocks”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Simulacra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Mimics phone UI, text msgs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Gen Z, 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Pearl News article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Interactive/Branching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Polls, AR, multi-path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 Alpha, Bilibili/US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 system (choose-path)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Panel Layout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Manga Mode introduces a panel layout engine that maps atom types to visual compositions. This extends the existing slot system—panels are slots with visual metadata attached: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 atom → Splash panel (full-page or half-page, high-impact visual, minimal text)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atom → Environment panel (wide shot, atmospheric, establishes mood)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STORY atom → Narrative sequence (4–6 panels: inciting incident → escalation → turning point → cost)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REFLECTION atom → Teacher panel (close-up, speech bubble with insight, character-consistent design)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EXERCISE atom → Practice spread (step-by-step illustrated guide, somatic cues visualized)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atom → Closing panel (visual motif callback, forward-motion composition)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4.4 Visual Prompt Generation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atom already carries metadata (MECHANISM_DEPTH, COST_INTENSITY, IDENTITY_STAGE) from the backfill completed 2026-03-19. Manga Mode uses this metadata to generate deterministic visual prompts: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COST_INTENSITY → controls panel darkness, contrast, emotional weight of composition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MECHANISM_DEPTH → controls visual complexity (simple icon vs multi-layered scene)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IDENTITY_STAGE → controls character posture and expression evolution across the book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doctrine → controls consistent character design, color palette, visual symbols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Manga Mode Format Definitions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add to v4_freeze_modular_formats.yaml alongside existing prose formats.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Illustrated Practice Card (1 skill, 1 visual)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 </w:t>
      </w:r>
      <w:r>
        <w:rPr>
          <w:rFonts w:ascii="Arial" w:cs="Arial" w:eastAsia="Arial" w:hAnsi="Arial"/>
          <w:sz w:val="22"/>
          <w:szCs w:val="22"/>
        </w:rPr>
        <w:t xml:space="preserve">HOOK splash → EXERCISE illustrated spread → INTEGRATION close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Pages: </w:t>
      </w:r>
      <w:r>
        <w:rPr>
          <w:rFonts w:ascii="Arial" w:cs="Arial" w:eastAsia="Arial" w:hAnsi="Arial"/>
          <w:sz w:val="22"/>
          <w:szCs w:val="22"/>
        </w:rPr>
        <w:t xml:space="preserve">3–5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Panels per page: </w:t>
      </w:r>
      <w:r>
        <w:rPr>
          <w:rFonts w:ascii="Arial" w:cs="Arial" w:eastAsia="Arial" w:hAnsi="Arial"/>
          <w:sz w:val="22"/>
          <w:szCs w:val="22"/>
        </w:rPr>
        <w:t xml:space="preserve">1–2 (high visual impact)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Social media sharing, mobile consumption, Gen Alpha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Maps to existing: </w:t>
      </w:r>
      <w:r>
        <w:rPr>
          <w:rFonts w:ascii="Arial" w:cs="Arial" w:eastAsia="Arial" w:hAnsi="Arial"/>
          <w:sz w:val="22"/>
          <w:szCs w:val="22"/>
        </w:rPr>
        <w:t xml:space="preserve">5-Minute Practice format (atom-native)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Illustrated Pocket Guide (10–20 visual entries)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 </w:t>
      </w:r>
      <w:r>
        <w:rPr>
          <w:rFonts w:ascii="Arial" w:cs="Arial" w:eastAsia="Arial" w:hAnsi="Arial"/>
          <w:sz w:val="22"/>
          <w:szCs w:val="22"/>
        </w:rPr>
        <w:t xml:space="preserve">Each entry = HOOK panel + EXERCISE illustrated step + INTEGRATION panel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Pages: </w:t>
      </w:r>
      <w:r>
        <w:rPr>
          <w:rFonts w:ascii="Arial" w:cs="Arial" w:eastAsia="Arial" w:hAnsi="Arial"/>
          <w:sz w:val="22"/>
          <w:szCs w:val="22"/>
        </w:rPr>
        <w:t xml:space="preserve">30–60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Panels per page: </w:t>
      </w:r>
      <w:r>
        <w:rPr>
          <w:rFonts w:ascii="Arial" w:cs="Arial" w:eastAsia="Arial" w:hAnsi="Arial"/>
          <w:sz w:val="22"/>
          <w:szCs w:val="22"/>
        </w:rPr>
        <w:t xml:space="preserve">2–4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EPUB, app cards, classroom use (the US education channel Gemini identified)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Maps to existing: </w:t>
      </w:r>
      <w:r>
        <w:rPr>
          <w:rFonts w:ascii="Arial" w:cs="Arial" w:eastAsia="Arial" w:hAnsi="Arial"/>
          <w:sz w:val="22"/>
          <w:szCs w:val="22"/>
        </w:rPr>
        <w:t xml:space="preserve">Pocket Guide format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Illustrated Symptom Atlas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 </w:t>
      </w:r>
      <w:r>
        <w:rPr>
          <w:rFonts w:ascii="Arial" w:cs="Arial" w:eastAsia="Arial" w:hAnsi="Arial"/>
          <w:sz w:val="22"/>
          <w:szCs w:val="22"/>
        </w:rPr>
        <w:t xml:space="preserve">Each card = visual symptom panel + mechanism explanation + 60-second practice illustrated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Cards: </w:t>
      </w:r>
      <w:r>
        <w:rPr>
          <w:rFonts w:ascii="Arial" w:cs="Arial" w:eastAsia="Arial" w:hAnsi="Arial"/>
          <w:sz w:val="22"/>
          <w:szCs w:val="22"/>
        </w:rPr>
        <w:t xml:space="preserve">20–60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Crisis utility, highest therapeutic value, repeat consumption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Maps to existing: </w:t>
      </w:r>
      <w:r>
        <w:rPr>
          <w:rFonts w:ascii="Arial" w:cs="Arial" w:eastAsia="Arial" w:hAnsi="Arial"/>
          <w:sz w:val="22"/>
          <w:szCs w:val="22"/>
        </w:rPr>
        <w:t xml:space="preserve">Symptom-to-Action Atlas format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5.4 Full Manga Volume (arc-driven)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 </w:t>
      </w:r>
      <w:r>
        <w:rPr>
          <w:rFonts w:ascii="Arial" w:cs="Arial" w:eastAsia="Arial" w:hAnsi="Arial"/>
          <w:sz w:val="22"/>
          <w:szCs w:val="22"/>
        </w:rPr>
        <w:t xml:space="preserve">Full arc with chapters, each chapter using the 6-atom panel layout system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Pages: </w:t>
      </w:r>
      <w:r>
        <w:rPr>
          <w:rFonts w:ascii="Arial" w:cs="Arial" w:eastAsia="Arial" w:hAnsi="Arial"/>
          <w:sz w:val="22"/>
          <w:szCs w:val="22"/>
        </w:rPr>
        <w:t xml:space="preserve">120–200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Panels per page: </w:t>
      </w:r>
      <w:r>
        <w:rPr>
          <w:rFonts w:ascii="Arial" w:cs="Arial" w:eastAsia="Arial" w:hAnsi="Arial"/>
          <w:sz w:val="22"/>
          <w:szCs w:val="22"/>
        </w:rPr>
        <w:t xml:space="preserve">3–6 (classic manga density)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Premium print/digital, collector’s market (European focus), Webtoon serialization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Maps to existing: </w:t>
      </w:r>
      <w:r>
        <w:rPr>
          <w:rFonts w:ascii="Arial" w:cs="Arial" w:eastAsia="Arial" w:hAnsi="Arial"/>
          <w:sz w:val="22"/>
          <w:szCs w:val="22"/>
        </w:rPr>
        <w:t xml:space="preserve">Pearl Prime full book pipeline (arc-first, teacher-pure)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5.5 Vertical Scroll Webtoon Episode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 </w:t>
      </w:r>
      <w:r>
        <w:rPr>
          <w:rFonts w:ascii="Arial" w:cs="Arial" w:eastAsia="Arial" w:hAnsi="Arial"/>
          <w:sz w:val="22"/>
          <w:szCs w:val="22"/>
        </w:rPr>
        <w:t xml:space="preserve">50–80 vertical panels, optimized for thumb-scroll, episodic drops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Webtoon/Tapas platform distribution, Korea/US/SE Asia markets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Maps to existing: </w:t>
      </w:r>
      <w:r>
        <w:rPr>
          <w:rFonts w:ascii="Arial" w:cs="Arial" w:eastAsia="Arial" w:hAnsi="Arial"/>
          <w:sz w:val="22"/>
          <w:szCs w:val="22"/>
        </w:rPr>
        <w:t xml:space="preserve">Pearl News article format (episodic, deterministic packs)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Regional Strategy: China (DeepSeek Source)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DeepSeek provides the strongest signal for the China market. Key adaptations for Phoenix Omega: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Bilibili Integration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315M MAU platform with “bullet comment” culture that drives community belonging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video pipeline already produces short-form content; adapt for Bilibili’s OGV format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reflections become “bullet comment bait”—lines designed to trigger viewer response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6.2 Manhua Art Style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DeepSeek identifies the Chinese preference for full-color painterly aesthetics with ethereal atmosphere. This becomes a visual_style_archetype in the format config: high-saturation digital painting, traditional Chinese ink influences, “flower boy” character designs for teacher avatars.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6.3 Censorship Navigation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existing doctrine system (forbidden language, engine purity gates) maps directly to Chinese content compliance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Teacher-pure rule prevents cross-contamination that triggers censorship flags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DeepSeek notes BL must be coded as “bromance”—our content is therapeutic, not romantic, which avoids this entirely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6.4 Monetization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Pay-per-episode microtransactions (standard on Bilibili/Tencent Comics) align with our episodic format. Virtual gifting for teachers aligns with the teacher-fan relationship model.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Regional Strategy: US/EU (Gemini Source)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Education Channel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Gemini identifies manga entering the US education system as a reluctant-reader engagement tool. Our Pocket Guide and Practice Card formats are already classroom-shaped. Illustrated versions add the visual hook that makes therapeutic content accessible to younger audiences.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TikTok Discovery Funnel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sources agree: TikTok is the discovery engine. Our video pipeline already produces TikTok-format shorts. Manga Mode adds a new asset type: “panel reveal” clips where individual splash panels are animated with trending audio. This is the “one panel phenomenon” Gemini describes as the primary viral mechanic.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7.3 European Collector Market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France (66M volumes/year) values artistic merit and mature themes. Our Dark Psychological archetype with Ahjan’s shame/spiral engines maps directly. Premium illustrated ebooks with high-art visuals serve the collector’s mentality Gemini identifies.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7.4 Platform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Phoenix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reveals, 15s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7–10x/week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Lore explainers, 60s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3–5x/week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Webtoon Apps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50–80 panels vertical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Manga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EPUB/Print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manga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Pearl Prime + Manga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Implementation Plan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Following repo rules: smallest possible change, no new systems unless required, extend existing patterns.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8.1 Phase 1: Format Config (Days 1–14)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manga format definitions to v4_freeze_modular_formats.yaml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visual_style_archetype enum in teacher_registry.yaml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panel_layout field to atom metadata schema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config/manga/style_archetypes.yaml with the 8 archetype definitions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Gate: existing CI must still pass (snapshot before/after)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8.2 Phase 2: Visual Prompt Engine (Days 15–35)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visual_prompt_compiler.py that reads atom metadata + style archetype → deterministic visual prompts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Prompts reference emotion-to-camera mappings already in config/video/emotion_to_camera_overrides.yaml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manga-specific CI checks: panel composition validation, visual prompt deduplication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Gate: structural entropy must pass on visual prompts (no repeated compositions)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8.3 Phase 3: Panel Assembly (Days 36–60)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panel_assembler.py that takes visual prompts + text overlays → illustrated pages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with existing asset resolver from video pipeline for image generation/retrieval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formats: EPUB (illustrated), vertical scroll HTML, print-ready PDF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Gate: all existing quality gates + new visual quality gates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8.4 Phase 4: Platform Distribution (Days 61–90)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 video pipeline to produce manga-derived short-form content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Webtoon vertical format exporter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translation pipeline for localized text overlays (11 existing locales)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Gate: full go_live.py must pass, including manga format smoke tests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Where Phoenix Omega Has Unfair Advantage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Mapping research findings to existing repo capabilities: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9.1 Determinism = Anti-Spam at Scale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research sources warn that AI-generated manga collapses into repetitive visual noise at scale. Our gate system (51 CI checks, structural entropy, duplication detection, 10K simulation) is purpose-built to prevent exactly this. No other manga operation has industrial-grade anti-spam infrastructure.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9.2 Teacher System = Character Consistency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#1 failure mode in AI manga is character inconsistency across panels. Our teacher-pure architecture (content from only one teacher’s doctrine per book) maps directly to visual consistency: one teacher = one character design = one visual language throughout.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9.3 Arc System = Emotional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sources identify emotional arc as the differentiator between viral manga and forgettable content. Our arc-first architecture (human-authored arcs, emotional curves, cost chapters, resolution types) already solves this—the emotional structure of every book is designed before a single panel is drawn.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9.4 Atom Metadata = Visual Intelligence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99.4% metadata coverage achieved in March 2026 (MECHANISM_DEPTH, COST_INTENSITY, IDENTITY_STAGE on 2,379 of 2,393 atoms) gives each panel deterministic visual parameters. No other system has this granularity of emotional metadata driving visual composition.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9.5 Translation = Day-One Global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11 locales already producing translated output. Manga Mode adds visual prompts (language-agnostic) with text overlays (translated per locale). Same manga, 11+ languages, from day one.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9.6 Video Pipeline = Discovery Funnel Already Built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video pipeline already generates TikTok/YouTube/Instagram content. Manga Mode adds manga-derived panel reveals and motion comics to this same pipeline. The discovery funnel both sources identify as critical is already operational.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Monetization Strategy (Research Synthesis)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Combining both sources into a unified funnel: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Phoenix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(AVOD)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reveals, shorts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Ad-supported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 Alpha + 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LATAM, SE Asia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Wait-Until-Free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Webtoon episodes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$0.49–$0.99/ep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 Z 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Korea, 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Manga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catalog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$5–$10/mo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fans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US, EU, Japan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Pearl Prime + Manga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 volumes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$25–$50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 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France, Japan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Manga Mode PDF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Licensing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Anime, games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consistency across panels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Teacher-pure rule + style archetype lock per volume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generation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QA (existing HITL protocol)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beyond format extension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rules: no new systems, extend existing pipeline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 censorship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doctrine gates + forbidden language enforcement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Rakuten research 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 strategy can be refined when data arrives; core architecture is region-agnostic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Pending: Rakuten (Japan) Deep Research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third research source (deep_research_manga_rakuten.txt) is expected but not yet delivered. When it arrives, it will be the primary authority for Japan-specific strategy: Shonen Jump+ integration, premium print collector strategy, digital-first distribution (72.7% digital in Japan), and the unique Japanese Iyashikei (healing) genre that maps directly to Phoenix Omega’s therapeutic mission.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architecture described in this document is designed to accommodate Japan-specific refinements without structural changes. The style archetype system, panel layout engine, and format definitions are all region-configurable.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13.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Manga Mode is not a new product. It is an output format family that leverages every existing Phoenix Omega subsystem: atoms, teachers, arcs, gates, video, translation, modular formats. The deep research from Gemini and DeepSeek confirms that the global manga market is structurally aligned with what we already build—deterministic, emotionally coherent, teacher-driven therapeutic content.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20.5% CAGR to USD 44B by 2033 is the market. Our existing pipeline is the capability. Manga Mode is the bridge.</w:t>
      </w:r>
    </w:p>
    <w:p>
      <w:pPr>
        <w:pBdr>
          <w:bottom w:val="single" w:color="1B4F72" w:sz="6" w:space="1"/>
        </w:pBdr>
        <w:spacing w:before="6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Document generated from deep research synthesis — Gemini (US/EU/Global) + DeepSeek (China)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Rakuten (Japan) pending — architecture designed for additive integration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Phoenix Omega — Manga Mode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2026-03-21T00:36:25.326Z</dcterms:created>
  <dcterms:modified xsi:type="dcterms:W3CDTF">2026-03-21T00:36:25.327Z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