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40"/>
          <w:rFonts w:ascii="SimSun" w:hAnsi="SimSun" w:cs="SimSun" w:eastAsia="SimSun"/>
        </w:rPr>
        <w:t>数据安全管理条例（演示项目） 草案（第 1 版）</w:t>
      </w:r>
    </w:p>
    <w:p/>
    <w:p>
      <w:r>
        <w:rPr>
          <w:b w:val="on"/>
          <w:sz w:val="32"/>
          <w:rFonts w:ascii="SimSun" w:hAnsi="SimSun" w:cs="SimSun" w:eastAsia="SimSun"/>
        </w:rPr>
        <w:t>数据安全管理条例（演示项目） 草案（第 1 版）</w:t>
      </w:r>
    </w:p>
    <w:p>
      <w:r>
        <w:rPr>
          <w:b w:val="on"/>
          <w:sz w:val="32"/>
          <w:rFonts w:ascii="SimSun" w:hAnsi="SimSun" w:cs="SimSun" w:eastAsia="SimSun"/>
        </w:rPr>
        <w:t>网络数据安全管理条例（草案）</w:t>
      </w:r>
    </w:p>
    <w:p>
      <w:r>
        <w:rPr>
          <w:b w:val="on"/>
          <w:sz w:val="28"/>
          <w:rFonts w:ascii="SimSun" w:hAnsi="SimSun" w:cs="SimSun" w:eastAsia="SimSun"/>
        </w:rPr>
        <w:t>第一章 总则
**第一条** 为了规范网络数据处理活动，保障数据安全，促进数据依法有序自由流动，维护国家安全、公共利益和公民、组织的合法权益，根据《中华人民共和国数据安全法》等法律，制定本条例。
**第二条** 在中华人民共和国境内开展网络数据的收集、存储、使用、加工、传输、提供、公开、删除等处理活动，以及对上述活动实施监督管理，适用本条例。  
本条例所称网络数据，是指通过网络收集、产生、传输、存储的各类电子数据，包括但不限于个人信息、重要数据、核心数据及其他一般数据。
**第三条** 国家坚持总体国家安全观，统筹发展与安全，建立科学、动态、协同的网络数据分类分级保护制度，实行分类管理、分级保护、精准施策、全周期治理。
**第四条** 中央网络安全和信息化委员会统筹协调全国网络数据安全管理工作。国家网信部门负责统筹协调网络数据安全监督管理工作，会同国务院公安、保密、密码管理、工业和信息化、市场监管等部门，按照职责分工，依法履行网络数据安全监管职责。</w:t>
      </w:r>
    </w:p>
    <w:p>
      <w:r>
        <w:rPr>
          <w:b w:val="on"/>
          <w:sz w:val="28"/>
          <w:rFonts w:ascii="SimSun" w:hAnsi="SimSun" w:cs="SimSun" w:eastAsia="SimSun"/>
        </w:rPr>
        <w:t>第二章 主体责任
**第五条** 网络数据处理者是网络数据安全第一责任人，应当建立健全全流程数据安全管理制度，采取技术措施和其他必要措施，确保网络数据处于有效保护和合法利用状态，保障网络数据的完整性、保密性、可用性。
**第六条** 网络数据处理者应当依据国家数据分类分级指南，结合本行业、本领域特点和业务实际，制定本单位数据分类分级目录，明确各类数据的类别、级别、标识规则、保护要求及处置策略，并报所在地省级网信部门备案；目录发生重大调整的，应当在调整后十五个工作日内重新备案。
**第七条** 处理重要数据的网络数据处理者，应当设立数据安全管理机构或者指定数据安全负责人，定期开展数据安全风险评估，每年向所在地省级网信部门报送数据安全风险评估报告；涉及核心数据的，还应当同步抄报国家网信部门。
**第八条** 网络数据处理者委托他人处理网络数据的，应当通过书面协议明确双方数据安全保护责任；受托方不得擅自转委托，不得超出约定目的、方式和范围处理数据，并接受委托方的监督；委托关系终止后，受托方应当及时返还或删除所获数据，不得留存。</w:t>
      </w:r>
    </w:p>
    <w:p>
      <w:r>
        <w:rPr>
          <w:b w:val="on"/>
          <w:sz w:val="28"/>
          <w:rFonts w:ascii="SimSun" w:hAnsi="SimSun" w:cs="SimSun" w:eastAsia="SimSun"/>
        </w:rPr>
        <w:t>第三章 监督管理
**第九条** 国家网信部门会同国务院有关部门，制定并适时更新网络数据分类分级指引、重要数据识别指南、核心数据目录编制规范等配套标准，指导地方和行业开展分类分级保护工作。
**第十条** 地方各级网信部门应当会同同级有关部门，对本行政区域内网络数据处理者落实分类分级保护制度情况开展监督检查，重点检查数据目录编制、风险评估实施、安全防护措施、应急处置机制等情况；必要时可委托专业机构开展技术检测与安全评估。
**第十一条** 国家建立网络数据安全信息共享与通报机制。网信、公安、国家安全等部门应当依法共享网络数据安全风险信息；发现重大数据安全事件或者系统性风险隐患的，应当及时向相关主管部门和涉事单位通报，并按规定启动应急响应。
**第十二条** 行业主管部门应当结合本行业数据特征和业务场景，制定本行业网络数据分类分级实施细则和安全保护要求，指导督促本行业网络数据处理者落实主体责任，并将有关情况定期报送国家网信部门。</w:t>
      </w:r>
    </w:p>
    <w:p>
      <w:r>
        <w:rPr>
          <w:b w:val="on"/>
          <w:sz w:val="28"/>
          <w:rFonts w:ascii="SimSun" w:hAnsi="SimSun" w:cs="SimSun" w:eastAsia="SimSun"/>
        </w:rPr>
        <w:t>第四章 法律责任
**第十三条** 网络数据处理者未按照本条例第六条规定制定、备案或更新数据分类分级目录的，由所在地省级网信部门责令改正，给予警告；拒不改正的，处五万元以上二十万元以下罚款，对直接负责的主管人员和其他直接责任人员处一万元以上五万元以下罚款。
**第十四条** 网络数据处理者违反本条例第七条规定，未设立数据安全管理机构或者指定数据安全负责人、未开展风险评估、未按期报送评估报告的，由所在地省级网信部门责令改正，给予警告；情节严重的，处二十万元以上一百万元以下罚款，并可以责令暂停相关业务、停业整顿、通报有关主管部门依法吊销相关业务许可或者吊销营业执照。
**第十五条** 网络数据处理者违反本条例第八条规定，未签订书面委托协议、未明确安全责任，或者受托方擅自转委托、超范围处理、未及时返还或删除数据的，由所在地省级网信部门责令改正，没收违法所得，处十万元以上一百万元以下罚款；造成数据泄露、损毁、滥用等严重后果的，处一百万元以上五百万元以下罚款，并可以责令暂停相关业务、停业整顿、通报有关主管部门依法吊销相关业务许可或者吊销营业执照。
**第十六条** 国家机关及其工作人员在履行网络数据安全监督管理职责中，玩忽职守、滥用职权、徇私舞弊的，依法给予处分；构成犯罪的，依法追究刑事责任。</w:t>
      </w:r>
    </w:p>
    <w:p>
      <w:r>
        <w:rPr>
          <w:b w:val="on"/>
          <w:sz w:val="28"/>
          <w:rFonts w:ascii="SimSun" w:hAnsi="SimSun" w:cs="SimSun" w:eastAsia="SimSun"/>
        </w:rPr>
        <w:t>第五章 附则
**第十七条** 本条例下列用语的含义：  
（一）“重要数据”，是指一旦遭到篡改、破坏、泄露或者非法获取、非法利用，可能危害国家安全、经济运行、社会稳定、公共健康和安全的数据；  
（二）“核心数据”，是指关系国家安全、国民经济命脉、重要民生、重大公共利益等的数据；  
（三）“网络数据处理者”，是指在中华人民共和国境内开展网络数据处理活动的组织、个人。
**第十八条** 涉及国家秘密的网络数据处理活动，适用《中华人民共和国保守国家秘密法》等法律、行政法规的规定，不适用本条例；但法律、行政法规另有规定的除外。
**第十九条** 本条例自 年 月 日起施行。</w:t>
      </w:r>
    </w:p>
    <w:sectPr>
      <w:pgMar w:left="1440" w:right="1440" w:top="1440" w:bottom="1440"/>
    </w:sectPr>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2026-10-05T07:04:28Z</dcterms:created>
  <dc:creator>Apache POI</dc:creator>
</cp:coreProperties>
</file>