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14:ligatures w14:val="standardContextual"/>
        </w:rPr>
        <w:id w:val="583576238"/>
        <w:docPartObj>
          <w:docPartGallery w:val="Cover Pages"/>
          <w:docPartUnique/>
        </w:docPartObj>
      </w:sdtPr>
      <w:sdtEndPr>
        <w:rPr>
          <w:color w:val="auto"/>
        </w:rPr>
      </w:sdtEndPr>
      <w:sdtContent>
        <w:p w14:paraId="3190BFD8" w14:textId="7FA46FD3" w:rsidR="000B634F" w:rsidRDefault="000B634F">
          <w:pPr>
            <w:pStyle w:val="NoSpacing"/>
            <w:spacing w:before="1540" w:after="240"/>
            <w:jc w:val="center"/>
            <w:rPr>
              <w:color w:val="156082" w:themeColor="accent1"/>
            </w:rPr>
          </w:pPr>
          <w:r>
            <w:rPr>
              <w:noProof/>
              <w:color w:val="156082" w:themeColor="accent1"/>
            </w:rPr>
            <w:drawing>
              <wp:inline distT="0" distB="0" distL="0" distR="0" wp14:anchorId="12F24034" wp14:editId="7295BDD7">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olor w:val="156082" w:themeColor="accent1"/>
              <w:sz w:val="40"/>
              <w:szCs w:val="40"/>
            </w:rPr>
            <w:alias w:val="Title"/>
            <w:tag w:val=""/>
            <w:id w:val="1735040861"/>
            <w:placeholder>
              <w:docPart w:val="13C8E57F59FD4BAE83C18BE7009B60A7"/>
            </w:placeholder>
            <w:dataBinding w:prefixMappings="xmlns:ns0='http://purl.org/dc/elements/1.1/' xmlns:ns1='http://schemas.openxmlformats.org/package/2006/metadata/core-properties' " w:xpath="/ns1:coreProperties[1]/ns0:title[1]" w:storeItemID="{6C3C8BC8-F283-45AE-878A-BAB7291924A1}"/>
            <w:text/>
          </w:sdtPr>
          <w:sdtContent>
            <w:p w14:paraId="191C8522" w14:textId="22BB8E4A" w:rsidR="000B634F" w:rsidRPr="00F65CE6" w:rsidRDefault="000B634F">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olor w:val="156082" w:themeColor="accent1"/>
                  <w:sz w:val="80"/>
                  <w:szCs w:val="80"/>
                </w:rPr>
              </w:pPr>
              <w:r w:rsidRPr="00F65CE6">
                <w:rPr>
                  <w:rFonts w:asciiTheme="majorHAnsi" w:eastAsiaTheme="majorEastAsia" w:hAnsiTheme="majorHAnsi" w:cstheme="majorBidi"/>
                  <w:color w:val="156082" w:themeColor="accent1"/>
                  <w:sz w:val="40"/>
                  <w:szCs w:val="40"/>
                </w:rPr>
                <w:t>A review of Case Studies: "Providing Compliance in Regulated Environments" and "Relying on Production Telemetry for ATM Systems"</w:t>
              </w:r>
            </w:p>
          </w:sdtContent>
        </w:sdt>
        <w:p w14:paraId="157A6145" w14:textId="77777777" w:rsidR="000B634F" w:rsidRDefault="000B634F">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75A0CEB9" wp14:editId="35278585">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3-15T00:00:00Z">
                                    <w:dateFormat w:val="MMMM d, yyyy"/>
                                    <w:lid w:val="en-US"/>
                                    <w:storeMappedDataAs w:val="dateTime"/>
                                    <w:calendar w:val="gregorian"/>
                                  </w:date>
                                </w:sdtPr>
                                <w:sdtContent>
                                  <w:p w14:paraId="591524FA" w14:textId="3C6CC656" w:rsidR="000B634F" w:rsidRDefault="000B634F">
                                    <w:pPr>
                                      <w:pStyle w:val="NoSpacing"/>
                                      <w:spacing w:after="40"/>
                                      <w:jc w:val="center"/>
                                      <w:rPr>
                                        <w:caps/>
                                        <w:color w:val="156082" w:themeColor="accent1"/>
                                        <w:sz w:val="28"/>
                                        <w:szCs w:val="28"/>
                                      </w:rPr>
                                    </w:pPr>
                                    <w:r>
                                      <w:rPr>
                                        <w:caps/>
                                        <w:color w:val="156082" w:themeColor="accent1"/>
                                        <w:sz w:val="28"/>
                                        <w:szCs w:val="28"/>
                                      </w:rPr>
                                      <w:t>March 15, 2026</w:t>
                                    </w:r>
                                  </w:p>
                                </w:sdtContent>
                              </w:sdt>
                              <w:p w14:paraId="1B387E23" w14:textId="6CB6E385" w:rsidR="000B634F"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0B634F">
                                      <w:rPr>
                                        <w:caps/>
                                        <w:color w:val="156082" w:themeColor="accent1"/>
                                      </w:rPr>
                                      <w:t>PAul Fralix</w:t>
                                    </w:r>
                                  </w:sdtContent>
                                </w:sdt>
                              </w:p>
                              <w:p w14:paraId="614BCD18" w14:textId="65F28CCB" w:rsidR="000B634F" w:rsidRDefault="00000000">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0B634F">
                                      <w:rPr>
                                        <w:color w:val="156082" w:themeColor="accent1"/>
                                      </w:rPr>
                                      <w:t>CSD380 Assignment 12.2</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75A0CEB9"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3-15T00:00:00Z">
                              <w:dateFormat w:val="MMMM d, yyyy"/>
                              <w:lid w:val="en-US"/>
                              <w:storeMappedDataAs w:val="dateTime"/>
                              <w:calendar w:val="gregorian"/>
                            </w:date>
                          </w:sdtPr>
                          <w:sdtContent>
                            <w:p w14:paraId="591524FA" w14:textId="3C6CC656" w:rsidR="000B634F" w:rsidRDefault="000B634F">
                              <w:pPr>
                                <w:pStyle w:val="NoSpacing"/>
                                <w:spacing w:after="40"/>
                                <w:jc w:val="center"/>
                                <w:rPr>
                                  <w:caps/>
                                  <w:color w:val="156082" w:themeColor="accent1"/>
                                  <w:sz w:val="28"/>
                                  <w:szCs w:val="28"/>
                                </w:rPr>
                              </w:pPr>
                              <w:r>
                                <w:rPr>
                                  <w:caps/>
                                  <w:color w:val="156082" w:themeColor="accent1"/>
                                  <w:sz w:val="28"/>
                                  <w:szCs w:val="28"/>
                                </w:rPr>
                                <w:t>March 15, 2026</w:t>
                              </w:r>
                            </w:p>
                          </w:sdtContent>
                        </w:sdt>
                        <w:p w14:paraId="1B387E23" w14:textId="6CB6E385" w:rsidR="000B634F"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0B634F">
                                <w:rPr>
                                  <w:caps/>
                                  <w:color w:val="156082" w:themeColor="accent1"/>
                                </w:rPr>
                                <w:t>PAul Fralix</w:t>
                              </w:r>
                            </w:sdtContent>
                          </w:sdt>
                        </w:p>
                        <w:p w14:paraId="614BCD18" w14:textId="65F28CCB" w:rsidR="000B634F" w:rsidRDefault="00000000">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0B634F">
                                <w:rPr>
                                  <w:color w:val="156082" w:themeColor="accent1"/>
                                </w:rPr>
                                <w:t>CSD380 Assignment 12.2</w:t>
                              </w:r>
                            </w:sdtContent>
                          </w:sdt>
                        </w:p>
                      </w:txbxContent>
                    </v:textbox>
                    <w10:wrap anchorx="margin" anchory="page"/>
                  </v:shape>
                </w:pict>
              </mc:Fallback>
            </mc:AlternateContent>
          </w:r>
          <w:r>
            <w:rPr>
              <w:noProof/>
              <w:color w:val="156082" w:themeColor="accent1"/>
            </w:rPr>
            <w:drawing>
              <wp:inline distT="0" distB="0" distL="0" distR="0" wp14:anchorId="483A11F6" wp14:editId="76CFF19E">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3C500C32" w14:textId="11297CC6" w:rsidR="000B634F" w:rsidRDefault="000B634F">
          <w:r>
            <w:br w:type="page"/>
          </w:r>
        </w:p>
      </w:sdtContent>
    </w:sdt>
    <w:p w14:paraId="66E263E8" w14:textId="77777777" w:rsidR="009057C0" w:rsidRPr="009057C0" w:rsidRDefault="009057C0" w:rsidP="009057C0"/>
    <w:p w14:paraId="65F0B9C5" w14:textId="77777777" w:rsidR="009057C0" w:rsidRPr="009057C0" w:rsidRDefault="009057C0" w:rsidP="003F6EBA">
      <w:pPr>
        <w:spacing w:line="480" w:lineRule="auto"/>
        <w:jc w:val="center"/>
        <w:rPr>
          <w:b/>
          <w:bCs/>
        </w:rPr>
      </w:pPr>
      <w:r w:rsidRPr="009057C0">
        <w:rPr>
          <w:b/>
          <w:bCs/>
        </w:rPr>
        <w:t>Compliance and Telemetry in Modern Software Systems</w:t>
      </w:r>
    </w:p>
    <w:p w14:paraId="5F13B213" w14:textId="4AF0AB8D" w:rsidR="009057C0" w:rsidRPr="009057C0" w:rsidRDefault="000B634F" w:rsidP="003F6EBA">
      <w:pPr>
        <w:spacing w:line="480" w:lineRule="auto"/>
        <w:ind w:firstLine="720"/>
      </w:pPr>
      <w:r>
        <w:t>Modern software systems are increasingly deployed in environments where reliability, security, and regulatory compliance are critical. Industries like finance, healthcare, and government need to ensure their systems meet strict legal and operational standards while adapting to the speed and flexibility of modern software development. The case studies “Providing Compliance in Regulated Environments” and “Relying on Production Telemetry for ATM Systems” demonstrate how DevOps practices and monitoring tools can help organizations achieve these objectives. Both cases emphasize the importance of automation, continuous monitoring, and feedback loops in maintaining secure, reliable, and efficient systems.</w:t>
      </w:r>
    </w:p>
    <w:p w14:paraId="11A3783E" w14:textId="49B5469A" w:rsidR="009057C0" w:rsidRPr="009057C0" w:rsidRDefault="00D72390" w:rsidP="003F6EBA">
      <w:pPr>
        <w:spacing w:line="480" w:lineRule="auto"/>
        <w:ind w:firstLine="720"/>
      </w:pPr>
      <w:r>
        <w:t xml:space="preserve">The case study “Providing Compliance in Regulated Environments” highlights the challenges organizations face when developing software under strict regulatory standards. Traditionally, compliance </w:t>
      </w:r>
      <w:r w:rsidR="003877AF">
        <w:t>relied heavily on manual documentation, regular audits, and strict change management</w:t>
      </w:r>
      <w:r>
        <w:t xml:space="preserve"> processes. Although these methods ensure accountability, they often slow down development and cause operational delays. DevOps practices offer a more efficient solution by embedding compliance tasks directly into the software development process. Instead of conducting compliance checks only after development finishes, organizations can integrate automated compliance verification into their continuous integration and continuous deployment (CI/CD) pipelines.</w:t>
      </w:r>
    </w:p>
    <w:p w14:paraId="4748A73C" w14:textId="4C10E897" w:rsidR="009057C0" w:rsidRPr="009057C0" w:rsidRDefault="000B634F" w:rsidP="003F6EBA">
      <w:pPr>
        <w:spacing w:line="480" w:lineRule="auto"/>
        <w:ind w:firstLine="720"/>
      </w:pPr>
      <w:r>
        <w:t>Automation enhances both efficiency and accuracy in compliance management. By integrating regulatory rules into automated pipelines, systems can verify that code changes adhere to security and regulatory standards before deployment. These automated workflows also generate detailed audit trails that record who made changes, when, and how they were approved. This documentation makes it easier for organizations to demonstrate compliance during audits and reduces the risk of human error. Research shows that incorporating security and governance controls directly into DevOps pipelines enables organizations to maintain both agility and accountability, even in highly r</w:t>
      </w:r>
      <w:r w:rsidR="009057C0">
        <w:t>egulated industries (Kim et al., 2021).</w:t>
      </w:r>
    </w:p>
    <w:p w14:paraId="494471ED" w14:textId="4E1E9971" w:rsidR="009057C0" w:rsidRPr="009057C0" w:rsidRDefault="000B634F" w:rsidP="003F6EBA">
      <w:pPr>
        <w:spacing w:line="480" w:lineRule="auto"/>
        <w:ind w:firstLine="720"/>
      </w:pPr>
      <w:r>
        <w:t>A key idea in this case study is “compliance as code.” By turning regulatory requirements into machine-readable rules enforced by software, organizations ensure these requirements are consistently followed throughout the development process. Studies show that automating compliance through code enhances transparency, reduces risk, and accelerates development cycles, especially in regulated industries (Arivoli, 2019). As organizations increasingly rely on automated infrastructure and cloud environments, embedding compliance into code becomes a vital strategy to balance speed and regulatory adherence.</w:t>
      </w:r>
    </w:p>
    <w:p w14:paraId="61D375BA" w14:textId="0BBE9708" w:rsidR="009057C0" w:rsidRPr="009057C0" w:rsidRDefault="009057C0" w:rsidP="003F6EBA">
      <w:pPr>
        <w:spacing w:line="480" w:lineRule="auto"/>
        <w:ind w:firstLine="720"/>
      </w:pPr>
      <w:r>
        <w:t xml:space="preserve">The second case study, “Relying on Production Telemetry for ATM Systems,” highlights the importance of monitoring and observability in financial infrastructure. Automated teller machines operate within distributed networks where downtime or system failures can directly impact customers’ access to financial services. Since these systems process sensitive transactions, reliability and </w:t>
      </w:r>
      <w:r w:rsidR="003877AF">
        <w:t>rapid issue detection</w:t>
      </w:r>
      <w:r>
        <w:t xml:space="preserve"> are essential. Production telemetry logs, performance metrics, and traces collected from live systems </w:t>
      </w:r>
      <w:r w:rsidR="003877AF">
        <w:t>give</w:t>
      </w:r>
      <w:r>
        <w:t xml:space="preserve"> engineers insights into system behavior in real-world conditions.</w:t>
      </w:r>
    </w:p>
    <w:p w14:paraId="0858383D" w14:textId="3E49DA51" w:rsidR="009057C0" w:rsidRPr="009057C0" w:rsidRDefault="009057C0" w:rsidP="003F6EBA">
      <w:pPr>
        <w:spacing w:line="480" w:lineRule="auto"/>
        <w:ind w:firstLine="720"/>
      </w:pPr>
      <w:r>
        <w:t xml:space="preserve">Telemetry helps teams find and fix issues before they turn into major failures. Continuous monitoring </w:t>
      </w:r>
      <w:r w:rsidR="003877AF">
        <w:t>enables engineers to evaluate system performance, detect anomalies, and respond quickly when problems arise</w:t>
      </w:r>
      <w:r>
        <w:t>. Operational telemetry also helps teams understand complex system interactions, supporting proactive maintenance and reliability improvements. Research shows that integrating monitoring and auditing into DevOps processes is vital for maintaining security, operational continuity, and regulatory compliance in modern production settings (Tatineni, 2023). Gathering telemetry data from live systems creates a feedback loop that benefits both development and operations teams, enhancing long-term system performance.</w:t>
      </w:r>
    </w:p>
    <w:p w14:paraId="3B724391" w14:textId="60E51002" w:rsidR="009057C0" w:rsidRPr="009057C0" w:rsidRDefault="009057C0" w:rsidP="003F6EBA">
      <w:pPr>
        <w:spacing w:line="480" w:lineRule="auto"/>
        <w:ind w:firstLine="720"/>
      </w:pPr>
      <w:r>
        <w:t>Additionally, real-world operational data provides insights that testing environments cannot fully duplicate. Telemetry collected from production systems offers accurate information on workloads, user behavior, and system performance under actual conditions. By analyzing trends over time, organizations can optimize system design, identify recurring issues, and improve reliability across distributed infrastructures (Zakharchenko, 2026).</w:t>
      </w:r>
    </w:p>
    <w:p w14:paraId="2996EF7D" w14:textId="26017BBE" w:rsidR="009057C0" w:rsidRPr="009057C0" w:rsidRDefault="009057C0" w:rsidP="003F6EBA">
      <w:pPr>
        <w:spacing w:line="480" w:lineRule="auto"/>
        <w:ind w:firstLine="720"/>
      </w:pPr>
      <w:r>
        <w:t xml:space="preserve">In conclusion, these case studies illustrate how DevOps practices help organizations </w:t>
      </w:r>
      <w:r w:rsidR="003877AF">
        <w:t>effectively manage complex, regulated systems</w:t>
      </w:r>
      <w:r>
        <w:t>. The compliance case study shows that automation and compliance-as-code make it easier to incorporate regulatory requirements into development workflows. Meanwhile, the ATM telemetry case study emphasizes the importance of production monitoring in ensuring reliability and operational insight. Together, these examples highlight the vital role of automation, monitoring, and ongoing feedback in delivering secure, compliant, and reliable software systems.</w:t>
      </w:r>
    </w:p>
    <w:p w14:paraId="1E6E51C6" w14:textId="2419887A" w:rsidR="009057C0" w:rsidRPr="009057C0" w:rsidRDefault="009057C0" w:rsidP="009057C0"/>
    <w:p w14:paraId="0943D7B9" w14:textId="77777777" w:rsidR="009057C0" w:rsidRPr="009057C0" w:rsidRDefault="009057C0" w:rsidP="009057C0">
      <w:pPr>
        <w:rPr>
          <w:b/>
          <w:bCs/>
        </w:rPr>
      </w:pPr>
      <w:r w:rsidRPr="009057C0">
        <w:rPr>
          <w:b/>
          <w:bCs/>
        </w:rPr>
        <w:t>References</w:t>
      </w:r>
    </w:p>
    <w:p w14:paraId="0AB78FEE" w14:textId="4B6EB779" w:rsidR="009057C0" w:rsidRPr="009057C0" w:rsidRDefault="009057C0" w:rsidP="009057C0">
      <w:r w:rsidRPr="009057C0">
        <w:t xml:space="preserve">Arivoli, A. (2019). Continuous delivery and DevOps in highly regulated industries: Overcoming compliance and security challenges. </w:t>
      </w:r>
      <w:r w:rsidRPr="009057C0">
        <w:rPr>
          <w:i/>
          <w:iCs/>
        </w:rPr>
        <w:t>International Journal of Computer Techniques.</w:t>
      </w:r>
      <w:r w:rsidRPr="009057C0">
        <w:t xml:space="preserve"> https://ijctjournal.org/continuous-delivery-devops-highlyregulated-industries-ijct/</w:t>
      </w:r>
    </w:p>
    <w:p w14:paraId="3F194805" w14:textId="77777777" w:rsidR="009057C0" w:rsidRDefault="009057C0" w:rsidP="009057C0">
      <w:r w:rsidRPr="009057C0">
        <w:t xml:space="preserve">Kim, G., Humble, J., Debois, P., &amp; Willis, J. (2021). </w:t>
      </w:r>
      <w:r w:rsidRPr="009057C0">
        <w:rPr>
          <w:i/>
          <w:iCs/>
        </w:rPr>
        <w:t>The DevOps handbook: How to create world-class agility, reliability, and security in technology organizations</w:t>
      </w:r>
      <w:r w:rsidRPr="009057C0">
        <w:t xml:space="preserve"> (2nd ed.). IT Revolution Press.</w:t>
      </w:r>
    </w:p>
    <w:p w14:paraId="20D1E01A" w14:textId="77777777" w:rsidR="00532C83" w:rsidRPr="00B92AAF" w:rsidRDefault="00532C83" w:rsidP="00532C83">
      <w:r w:rsidRPr="00B92AAF">
        <w:t xml:space="preserve">OpenAI. (2026). </w:t>
      </w:r>
      <w:r w:rsidRPr="00B92AAF">
        <w:rPr>
          <w:i/>
          <w:iCs/>
        </w:rPr>
        <w:t>ChatGPT (March 12 version)</w:t>
      </w:r>
      <w:r w:rsidRPr="00B92AAF">
        <w:t xml:space="preserve"> [Large language model]. https://chat.openai.com/</w:t>
      </w:r>
    </w:p>
    <w:p w14:paraId="47ECC840" w14:textId="0EB741C9" w:rsidR="009057C0" w:rsidRPr="009057C0" w:rsidRDefault="009057C0" w:rsidP="009057C0">
      <w:r w:rsidRPr="009057C0">
        <w:t>Tatineni, S. (2023). Compliance and audit challenges in DevOps: A security perspective. https://www.researchgate.net/publication/376681847_COMPLIANCE_AND_AUDIT_CHALLENGES_IN_DEVOPS_A_SECURITY_PERSPECTIVE</w:t>
      </w:r>
    </w:p>
    <w:p w14:paraId="61CB1052" w14:textId="2CADAD54" w:rsidR="009057C0" w:rsidRPr="009057C0" w:rsidRDefault="009057C0" w:rsidP="009057C0">
      <w:r w:rsidRPr="009057C0">
        <w:t xml:space="preserve">Zakharchenko, A. (2026). Integrating continuous compliance into </w:t>
      </w:r>
      <w:proofErr w:type="spellStart"/>
      <w:r w:rsidRPr="009057C0">
        <w:t>DevSecOps</w:t>
      </w:r>
      <w:proofErr w:type="spellEnd"/>
      <w:r w:rsidRPr="009057C0">
        <w:t xml:space="preserve"> pipelines: A data engineering perspective. </w:t>
      </w:r>
      <w:r w:rsidRPr="009057C0">
        <w:rPr>
          <w:i/>
          <w:iCs/>
        </w:rPr>
        <w:t>Software.</w:t>
      </w:r>
      <w:r w:rsidRPr="009057C0">
        <w:t xml:space="preserve"> https://www.mdpi.com/2674-113X/5/1/6</w:t>
      </w:r>
    </w:p>
    <w:p w14:paraId="463E0829" w14:textId="2AA8AD9F" w:rsidR="009057C0" w:rsidRPr="009057C0" w:rsidRDefault="009057C0" w:rsidP="009057C0"/>
    <w:sectPr w:rsidR="009057C0" w:rsidRPr="009057C0" w:rsidSect="000B634F">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5874AF"/>
    <w:multiLevelType w:val="multilevel"/>
    <w:tmpl w:val="76B8C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23032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A28"/>
    <w:rsid w:val="000B634F"/>
    <w:rsid w:val="00182A47"/>
    <w:rsid w:val="002B3B06"/>
    <w:rsid w:val="003877AF"/>
    <w:rsid w:val="003F6EBA"/>
    <w:rsid w:val="00532C83"/>
    <w:rsid w:val="005521C2"/>
    <w:rsid w:val="0066259B"/>
    <w:rsid w:val="009057C0"/>
    <w:rsid w:val="00B756CD"/>
    <w:rsid w:val="00C30081"/>
    <w:rsid w:val="00CB4596"/>
    <w:rsid w:val="00CD2F1E"/>
    <w:rsid w:val="00D72390"/>
    <w:rsid w:val="00EA3CAA"/>
    <w:rsid w:val="00EF7A28"/>
    <w:rsid w:val="00F65CE6"/>
    <w:rsid w:val="00FE5D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7B640"/>
  <w15:chartTrackingRefBased/>
  <w15:docId w15:val="{DAA396EF-B54D-4E44-8649-F3B0D7221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7A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7A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7A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7A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7A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7A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7A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7A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7A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7A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7A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7A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7A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7A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7A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7A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7A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7A28"/>
    <w:rPr>
      <w:rFonts w:eastAsiaTheme="majorEastAsia" w:cstheme="majorBidi"/>
      <w:color w:val="272727" w:themeColor="text1" w:themeTint="D8"/>
    </w:rPr>
  </w:style>
  <w:style w:type="paragraph" w:styleId="Title">
    <w:name w:val="Title"/>
    <w:basedOn w:val="Normal"/>
    <w:next w:val="Normal"/>
    <w:link w:val="TitleChar"/>
    <w:uiPriority w:val="10"/>
    <w:qFormat/>
    <w:rsid w:val="00EF7A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7A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7A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7A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7A28"/>
    <w:pPr>
      <w:spacing w:before="160"/>
      <w:jc w:val="center"/>
    </w:pPr>
    <w:rPr>
      <w:i/>
      <w:iCs/>
      <w:color w:val="404040" w:themeColor="text1" w:themeTint="BF"/>
    </w:rPr>
  </w:style>
  <w:style w:type="character" w:customStyle="1" w:styleId="QuoteChar">
    <w:name w:val="Quote Char"/>
    <w:basedOn w:val="DefaultParagraphFont"/>
    <w:link w:val="Quote"/>
    <w:uiPriority w:val="29"/>
    <w:rsid w:val="00EF7A28"/>
    <w:rPr>
      <w:i/>
      <w:iCs/>
      <w:color w:val="404040" w:themeColor="text1" w:themeTint="BF"/>
    </w:rPr>
  </w:style>
  <w:style w:type="paragraph" w:styleId="ListParagraph">
    <w:name w:val="List Paragraph"/>
    <w:basedOn w:val="Normal"/>
    <w:uiPriority w:val="34"/>
    <w:qFormat/>
    <w:rsid w:val="00EF7A28"/>
    <w:pPr>
      <w:ind w:left="720"/>
      <w:contextualSpacing/>
    </w:pPr>
  </w:style>
  <w:style w:type="character" w:styleId="IntenseEmphasis">
    <w:name w:val="Intense Emphasis"/>
    <w:basedOn w:val="DefaultParagraphFont"/>
    <w:uiPriority w:val="21"/>
    <w:qFormat/>
    <w:rsid w:val="00EF7A28"/>
    <w:rPr>
      <w:i/>
      <w:iCs/>
      <w:color w:val="0F4761" w:themeColor="accent1" w:themeShade="BF"/>
    </w:rPr>
  </w:style>
  <w:style w:type="paragraph" w:styleId="IntenseQuote">
    <w:name w:val="Intense Quote"/>
    <w:basedOn w:val="Normal"/>
    <w:next w:val="Normal"/>
    <w:link w:val="IntenseQuoteChar"/>
    <w:uiPriority w:val="30"/>
    <w:qFormat/>
    <w:rsid w:val="00EF7A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7A28"/>
    <w:rPr>
      <w:i/>
      <w:iCs/>
      <w:color w:val="0F4761" w:themeColor="accent1" w:themeShade="BF"/>
    </w:rPr>
  </w:style>
  <w:style w:type="character" w:styleId="IntenseReference">
    <w:name w:val="Intense Reference"/>
    <w:basedOn w:val="DefaultParagraphFont"/>
    <w:uiPriority w:val="32"/>
    <w:qFormat/>
    <w:rsid w:val="00EF7A28"/>
    <w:rPr>
      <w:b/>
      <w:bCs/>
      <w:smallCaps/>
      <w:color w:val="0F4761" w:themeColor="accent1" w:themeShade="BF"/>
      <w:spacing w:val="5"/>
    </w:rPr>
  </w:style>
  <w:style w:type="character" w:styleId="Hyperlink">
    <w:name w:val="Hyperlink"/>
    <w:basedOn w:val="DefaultParagraphFont"/>
    <w:uiPriority w:val="99"/>
    <w:unhideWhenUsed/>
    <w:rsid w:val="00EF7A28"/>
    <w:rPr>
      <w:color w:val="467886" w:themeColor="hyperlink"/>
      <w:u w:val="single"/>
    </w:rPr>
  </w:style>
  <w:style w:type="character" w:styleId="UnresolvedMention">
    <w:name w:val="Unresolved Mention"/>
    <w:basedOn w:val="DefaultParagraphFont"/>
    <w:uiPriority w:val="99"/>
    <w:semiHidden/>
    <w:unhideWhenUsed/>
    <w:rsid w:val="00EF7A28"/>
    <w:rPr>
      <w:color w:val="605E5C"/>
      <w:shd w:val="clear" w:color="auto" w:fill="E1DFDD"/>
    </w:rPr>
  </w:style>
  <w:style w:type="paragraph" w:styleId="NoSpacing">
    <w:name w:val="No Spacing"/>
    <w:link w:val="NoSpacingChar"/>
    <w:uiPriority w:val="1"/>
    <w:qFormat/>
    <w:rsid w:val="000B634F"/>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0B634F"/>
    <w:rPr>
      <w:rFonts w:eastAsiaTheme="minorEastAsia"/>
      <w:kern w:val="0"/>
      <w:sz w:val="22"/>
      <w:szCs w:val="22"/>
      <w14:ligatures w14:val="none"/>
    </w:rPr>
  </w:style>
  <w:style w:type="character" w:styleId="FollowedHyperlink">
    <w:name w:val="FollowedHyperlink"/>
    <w:basedOn w:val="DefaultParagraphFont"/>
    <w:uiPriority w:val="99"/>
    <w:semiHidden/>
    <w:unhideWhenUsed/>
    <w:rsid w:val="00532C8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3C8E57F59FD4BAE83C18BE7009B60A7"/>
        <w:category>
          <w:name w:val="General"/>
          <w:gallery w:val="placeholder"/>
        </w:category>
        <w:types>
          <w:type w:val="bbPlcHdr"/>
        </w:types>
        <w:behaviors>
          <w:behavior w:val="content"/>
        </w:behaviors>
        <w:guid w:val="{22A67D12-753E-4D11-9D02-C149E738AC9B}"/>
      </w:docPartPr>
      <w:docPartBody>
        <w:p w:rsidR="003D4065" w:rsidRDefault="006A5A7E" w:rsidP="006A5A7E">
          <w:pPr>
            <w:pStyle w:val="13C8E57F59FD4BAE83C18BE7009B60A7"/>
          </w:pPr>
          <w:r>
            <w:rPr>
              <w:rFonts w:asciiTheme="majorHAnsi" w:eastAsiaTheme="majorEastAsia" w:hAnsiTheme="majorHAnsi" w:cstheme="majorBidi"/>
              <w:caps/>
              <w:color w:val="156082"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A7E"/>
    <w:rsid w:val="00182A47"/>
    <w:rsid w:val="002B3B06"/>
    <w:rsid w:val="00394FE0"/>
    <w:rsid w:val="003D4065"/>
    <w:rsid w:val="005521C2"/>
    <w:rsid w:val="006542AD"/>
    <w:rsid w:val="006A5A7E"/>
    <w:rsid w:val="007979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3C8E57F59FD4BAE83C18BE7009B60A7">
    <w:name w:val="13C8E57F59FD4BAE83C18BE7009B60A7"/>
    <w:rsid w:val="006A5A7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2026-03-15T00:00:00</PublishDate>
  <Abstract/>
  <CompanyAddress>CSD380 Assignment 12.2</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214</TotalTime>
  <Pages>5</Pages>
  <Words>928</Words>
  <Characters>5291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PAul Fralix</Company>
  <LinksUpToDate>false</LinksUpToDate>
  <CharactersWithSpaces>6207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review of Case Studies: "Providing Compliance in Regulated Environments" and "Relying on Production Telemetry for ATM Systems"</dc:title>
  <dc:subject/>
  <dc:creator>Paul Fralix</dc:creator>
  <cp:keywords/>
  <dc:description/>
  <cp:lastModifiedBy>Paul Fralix</cp:lastModifiedBy>
  <cp:revision>3</cp:revision>
  <dcterms:created xsi:type="dcterms:W3CDTF">2026-03-15T21:52:00Z</dcterms:created>
  <dcterms:modified xsi:type="dcterms:W3CDTF">2026-03-16T01:29:00Z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8ebc1258-1182-430f-8d1c-1fb1058e0da8</vt:lpwstr>
  </property>
</Properties>
</file>