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84009255"/>
        <w:docPartObj>
          <w:docPartGallery w:val="Cover Pages"/>
          <w:docPartUnique/>
        </w:docPartObj>
      </w:sdtPr>
      <w:sdtEndPr>
        <w:rPr>
          <w:rFonts w:eastAsiaTheme="minorHAnsi"/>
          <w:color w:val="auto"/>
          <w:kern w:val="2"/>
          <w:sz w:val="24"/>
          <w:szCs w:val="24"/>
          <w14:ligatures w14:val="standardContextual"/>
        </w:rPr>
      </w:sdtEndPr>
      <w:sdtContent>
        <w:p w14:paraId="5543A984" w14:textId="6241C9C7" w:rsidR="00774E2D" w:rsidRDefault="00774E2D">
          <w:pPr>
            <w:pStyle w:val="NoSpacing"/>
            <w:spacing w:before="1540" w:after="240"/>
            <w:jc w:val="center"/>
            <w:rPr>
              <w:color w:val="156082" w:themeColor="accent1"/>
            </w:rPr>
          </w:pPr>
          <w:r>
            <w:rPr>
              <w:noProof/>
              <w:color w:val="156082" w:themeColor="accent1"/>
            </w:rPr>
            <w:drawing>
              <wp:inline distT="0" distB="0" distL="0" distR="0" wp14:anchorId="4B3BAE57" wp14:editId="4B9C16B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56082" w:themeColor="accent1"/>
              <w:sz w:val="48"/>
              <w:szCs w:val="48"/>
            </w:rPr>
            <w:alias w:val="Title"/>
            <w:tag w:val=""/>
            <w:id w:val="1735040861"/>
            <w:placeholder>
              <w:docPart w:val="EBF8539AFBCA42BF91C8A016D9B4E167"/>
            </w:placeholder>
            <w:dataBinding w:prefixMappings="xmlns:ns0='http://purl.org/dc/elements/1.1/' xmlns:ns1='http://schemas.openxmlformats.org/package/2006/metadata/core-properties' " w:xpath="/ns1:coreProperties[1]/ns0:title[1]" w:storeItemID="{6C3C8BC8-F283-45AE-878A-BAB7291924A1}"/>
            <w:text/>
          </w:sdtPr>
          <w:sdtContent>
            <w:p w14:paraId="1FCB1BC6" w14:textId="6A0EAA43" w:rsidR="00774E2D" w:rsidRDefault="00774E2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774E2D">
                <w:rPr>
                  <w:rFonts w:asciiTheme="majorHAnsi" w:eastAsiaTheme="majorEastAsia" w:hAnsiTheme="majorHAnsi" w:cstheme="majorBidi"/>
                  <w:color w:val="156082" w:themeColor="accent1"/>
                  <w:sz w:val="48"/>
                  <w:szCs w:val="48"/>
                </w:rPr>
                <w:t>Strangler Pattern at Blackboard Learn (2011)</w:t>
              </w:r>
            </w:p>
          </w:sdtContent>
        </w:sdt>
        <w:p w14:paraId="55B992A5" w14:textId="77777777" w:rsidR="00774E2D" w:rsidRDefault="00774E2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E2180BE" wp14:editId="2654CD5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15T00:00:00Z">
                                    <w:dateFormat w:val="MMMM d, yyyy"/>
                                    <w:lid w:val="en-US"/>
                                    <w:storeMappedDataAs w:val="dateTime"/>
                                    <w:calendar w:val="gregorian"/>
                                  </w:date>
                                </w:sdtPr>
                                <w:sdtContent>
                                  <w:p w14:paraId="67EA8495" w14:textId="67B19086" w:rsidR="00774E2D" w:rsidRDefault="00774E2D">
                                    <w:pPr>
                                      <w:pStyle w:val="NoSpacing"/>
                                      <w:spacing w:after="40"/>
                                      <w:jc w:val="center"/>
                                      <w:rPr>
                                        <w:caps/>
                                        <w:color w:val="156082" w:themeColor="accent1"/>
                                        <w:sz w:val="28"/>
                                        <w:szCs w:val="28"/>
                                      </w:rPr>
                                    </w:pPr>
                                    <w:r>
                                      <w:rPr>
                                        <w:caps/>
                                        <w:color w:val="156082" w:themeColor="accent1"/>
                                        <w:sz w:val="28"/>
                                        <w:szCs w:val="28"/>
                                      </w:rPr>
                                      <w:t>February 15, 2026</w:t>
                                    </w:r>
                                  </w:p>
                                </w:sdtContent>
                              </w:sdt>
                              <w:p w14:paraId="2AED2963" w14:textId="7223EE09" w:rsidR="00774E2D" w:rsidRDefault="00774E2D">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Paul Fralix</w:t>
                                    </w:r>
                                  </w:sdtContent>
                                </w:sdt>
                              </w:p>
                              <w:p w14:paraId="67598BF6" w14:textId="2882CFBA" w:rsidR="00774E2D" w:rsidRDefault="00774E2D">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CSD380 Assignment 6.2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E2180B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15T00:00:00Z">
                              <w:dateFormat w:val="MMMM d, yyyy"/>
                              <w:lid w:val="en-US"/>
                              <w:storeMappedDataAs w:val="dateTime"/>
                              <w:calendar w:val="gregorian"/>
                            </w:date>
                          </w:sdtPr>
                          <w:sdtContent>
                            <w:p w14:paraId="67EA8495" w14:textId="67B19086" w:rsidR="00774E2D" w:rsidRDefault="00774E2D">
                              <w:pPr>
                                <w:pStyle w:val="NoSpacing"/>
                                <w:spacing w:after="40"/>
                                <w:jc w:val="center"/>
                                <w:rPr>
                                  <w:caps/>
                                  <w:color w:val="156082" w:themeColor="accent1"/>
                                  <w:sz w:val="28"/>
                                  <w:szCs w:val="28"/>
                                </w:rPr>
                              </w:pPr>
                              <w:r>
                                <w:rPr>
                                  <w:caps/>
                                  <w:color w:val="156082" w:themeColor="accent1"/>
                                  <w:sz w:val="28"/>
                                  <w:szCs w:val="28"/>
                                </w:rPr>
                                <w:t>February 15, 2026</w:t>
                              </w:r>
                            </w:p>
                          </w:sdtContent>
                        </w:sdt>
                        <w:p w14:paraId="2AED2963" w14:textId="7223EE09" w:rsidR="00774E2D" w:rsidRDefault="00774E2D">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Paul Fralix</w:t>
                              </w:r>
                            </w:sdtContent>
                          </w:sdt>
                        </w:p>
                        <w:p w14:paraId="67598BF6" w14:textId="2882CFBA" w:rsidR="00774E2D" w:rsidRDefault="00774E2D">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CSD380 Assignment 6.2</w:t>
                              </w:r>
                            </w:sdtContent>
                          </w:sdt>
                        </w:p>
                      </w:txbxContent>
                    </v:textbox>
                    <w10:wrap anchorx="margin" anchory="page"/>
                  </v:shape>
                </w:pict>
              </mc:Fallback>
            </mc:AlternateContent>
          </w:r>
          <w:r>
            <w:rPr>
              <w:noProof/>
              <w:color w:val="156082" w:themeColor="accent1"/>
            </w:rPr>
            <w:drawing>
              <wp:inline distT="0" distB="0" distL="0" distR="0" wp14:anchorId="1E558388" wp14:editId="51A3A97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668A73" w14:textId="46A926C9" w:rsidR="00774E2D" w:rsidRDefault="00774E2D">
          <w:r>
            <w:br w:type="page"/>
          </w:r>
        </w:p>
      </w:sdtContent>
    </w:sdt>
    <w:p w14:paraId="44D16CE0" w14:textId="332AB663" w:rsidR="00774E2D" w:rsidRPr="00774E2D" w:rsidRDefault="00774E2D" w:rsidP="00774E2D"/>
    <w:p w14:paraId="314AA08C" w14:textId="77777777" w:rsidR="00774E2D" w:rsidRPr="00774E2D" w:rsidRDefault="00774E2D" w:rsidP="00774E2D">
      <w:pPr>
        <w:jc w:val="center"/>
        <w:rPr>
          <w:b/>
          <w:bCs/>
        </w:rPr>
      </w:pPr>
      <w:r w:rsidRPr="00774E2D">
        <w:rPr>
          <w:b/>
          <w:bCs/>
        </w:rPr>
        <w:t>Case Study: Strangler Pattern at Blackboard Learn (2011)</w:t>
      </w:r>
    </w:p>
    <w:p w14:paraId="2573A1CA" w14:textId="6668A84A" w:rsidR="00774E2D" w:rsidRPr="00774E2D" w:rsidRDefault="00435784" w:rsidP="007E7F06">
      <w:pPr>
        <w:ind w:firstLine="720"/>
      </w:pPr>
      <w:r>
        <w:t>The case study in Chapter 13 of the course text examines how Blackboard Learn, a widely adopted learning management system (LMS), undertook a major architectural modernization in 2011 using the Strangler Pattern. This approach enabled Blackboard to incrementally replace its aging monolithic system with modern, service-oriented components while continuing to support millions of active users. The following summary outlines the key points of the case study and highlights lessons learned from Blackboard’s transformation.</w:t>
      </w:r>
    </w:p>
    <w:p w14:paraId="440313C2" w14:textId="64894B29" w:rsidR="00774E2D" w:rsidRPr="00774E2D" w:rsidRDefault="00435784" w:rsidP="00774E2D">
      <w:r>
        <w:t>Blackboard Learn had accumulated significant technical debt over years of rapid feature expansion. The monolithic architecture made it increasingly difficult to maintain the system, introduce new capabilities, or respond quickly to customer needs. Release cycles slowed, integrations became fragile, and the platform struggled to keep pace with modern web standards.</w:t>
      </w:r>
    </w:p>
    <w:p w14:paraId="4519E440" w14:textId="7FA6011A" w:rsidR="00774E2D" w:rsidRPr="00774E2D" w:rsidRDefault="00435784" w:rsidP="00774E2D">
      <w:r>
        <w:t>The author explains that a complete system rewrite, often called a “big-bang rewrite,” was considered too risky and costly. Instead, Blackboard adopted the Strangler Pattern, an incremental modernization strategy in which new components are built alongside the legacy system. Over time, these new components “strangle” and replace the legacy components.</w:t>
      </w:r>
    </w:p>
    <w:p w14:paraId="0D563EE0" w14:textId="532BCEB8" w:rsidR="00774E2D" w:rsidRPr="00774E2D" w:rsidRDefault="00435784" w:rsidP="00774E2D">
      <w:r>
        <w:t>Blackboard’s engineering teams identified natural seams within the monolith and began isolating functionality into new service-oriented modules. As each service matured, the corresponding legacy component was retired. This approach enabled Blackboard to deliver continuous improvements without disrupting users or halting development.</w:t>
      </w:r>
    </w:p>
    <w:p w14:paraId="40B6BFC3" w14:textId="3BB6994C" w:rsidR="00774E2D" w:rsidRPr="00774E2D" w:rsidRDefault="00435784" w:rsidP="00774E2D">
      <w:r>
        <w:t>The case study also highlights the organizational and cultural changes required for success. Teams adopted modern engineering practices, including automated testing, continuous integration, and more collaborative workflows. These changes supported the technical transformation and enabled faster, more reliable delivery.</w:t>
      </w:r>
    </w:p>
    <w:p w14:paraId="730D8C38" w14:textId="77777777" w:rsidR="00774E2D" w:rsidRPr="00774E2D" w:rsidRDefault="00774E2D" w:rsidP="00774E2D">
      <w:r w:rsidRPr="00774E2D">
        <w:t>Several key lessons emerge from Blackboard’s experience:</w:t>
      </w:r>
    </w:p>
    <w:p w14:paraId="69C923D9" w14:textId="6A8440A9" w:rsidR="00774E2D" w:rsidRPr="00774E2D" w:rsidRDefault="00774E2D" w:rsidP="00774E2D">
      <w:pPr>
        <w:numPr>
          <w:ilvl w:val="0"/>
          <w:numId w:val="1"/>
        </w:numPr>
      </w:pPr>
      <w:r w:rsidRPr="00774E2D">
        <w:rPr>
          <w:b/>
          <w:bCs/>
        </w:rPr>
        <w:t>Incremental modernization reduces risk.</w:t>
      </w:r>
      <w:r w:rsidRPr="00774E2D">
        <w:t xml:space="preserve"> </w:t>
      </w:r>
      <w:r w:rsidR="00435784">
        <w:t>The Strangler Pattern mitigates the risks of a full system rewrite by enabling teams to deliver value early and validate new components before retiring legacy code.</w:t>
      </w:r>
    </w:p>
    <w:p w14:paraId="64711E10" w14:textId="5A22E2F0" w:rsidR="00774E2D" w:rsidRPr="00774E2D" w:rsidRDefault="00774E2D" w:rsidP="00774E2D">
      <w:pPr>
        <w:numPr>
          <w:ilvl w:val="0"/>
          <w:numId w:val="1"/>
        </w:numPr>
      </w:pPr>
      <w:r w:rsidRPr="00774E2D">
        <w:rPr>
          <w:b/>
          <w:bCs/>
        </w:rPr>
        <w:t>Technical and cultural transformation must occur together.</w:t>
      </w:r>
      <w:r w:rsidRPr="00774E2D">
        <w:t xml:space="preserve"> </w:t>
      </w:r>
      <w:r w:rsidR="00435784">
        <w:t>Modern architectures require modern engineering practices. Blackboard’s shift toward continuous delivery and cross-functional collaboration was essential to the project’s success.</w:t>
      </w:r>
    </w:p>
    <w:p w14:paraId="629B2AAC" w14:textId="3CB096D5" w:rsidR="00774E2D" w:rsidRPr="00774E2D" w:rsidRDefault="00774E2D" w:rsidP="00774E2D">
      <w:pPr>
        <w:numPr>
          <w:ilvl w:val="0"/>
          <w:numId w:val="1"/>
        </w:numPr>
      </w:pPr>
      <w:r w:rsidRPr="00774E2D">
        <w:rPr>
          <w:b/>
          <w:bCs/>
        </w:rPr>
        <w:t>Legacy systems can be leveraged rather than discarded.</w:t>
      </w:r>
      <w:r w:rsidRPr="00774E2D">
        <w:t xml:space="preserve"> </w:t>
      </w:r>
      <w:r w:rsidR="00435784">
        <w:t>Instead of treating the monolith as an obstacle, Blackboard treated it as a stable foundation while gradually improving the underlying architecture.</w:t>
      </w:r>
    </w:p>
    <w:p w14:paraId="75C0E0AC" w14:textId="704A0752" w:rsidR="00774E2D" w:rsidRPr="00774E2D" w:rsidRDefault="00774E2D" w:rsidP="00774E2D">
      <w:pPr>
        <w:numPr>
          <w:ilvl w:val="0"/>
          <w:numId w:val="1"/>
        </w:numPr>
      </w:pPr>
      <w:r w:rsidRPr="00774E2D">
        <w:rPr>
          <w:b/>
          <w:bCs/>
        </w:rPr>
        <w:t>Clear boundaries accelerate progress.</w:t>
      </w:r>
      <w:r w:rsidRPr="00774E2D">
        <w:t xml:space="preserve"> </w:t>
      </w:r>
      <w:r w:rsidR="00435784">
        <w:t>Identifying seams within the monolith helped teams isolate components and transition them into well-defined services.</w:t>
      </w:r>
    </w:p>
    <w:p w14:paraId="03781EAC" w14:textId="3D9A55EE" w:rsidR="00774E2D" w:rsidRPr="00774E2D" w:rsidRDefault="00774E2D" w:rsidP="00774E2D">
      <w:pPr>
        <w:numPr>
          <w:ilvl w:val="0"/>
          <w:numId w:val="1"/>
        </w:numPr>
      </w:pPr>
      <w:r w:rsidRPr="00774E2D">
        <w:rPr>
          <w:b/>
          <w:bCs/>
        </w:rPr>
        <w:t>Continuous delivery supports sustainable modernization.</w:t>
      </w:r>
      <w:r w:rsidRPr="00774E2D">
        <w:t xml:space="preserve"> </w:t>
      </w:r>
      <w:r w:rsidR="00435784">
        <w:t>Frequent, small releases reduced integration challenges and built confidence in the system's evolution.</w:t>
      </w:r>
    </w:p>
    <w:p w14:paraId="799C9AC2" w14:textId="2D360D0B" w:rsidR="00774E2D" w:rsidRPr="00774E2D" w:rsidRDefault="00435784" w:rsidP="00774E2D">
      <w:r>
        <w:t>The Blackboard Learn case study demonstrates that the Strangler Pattern offers a practical, low-risk approach to modernizing large, complex legacy systems. By combining incremental architectural changes with improved engineering practices, Blackboard successfully transformed its platform while maintaining continuity for its users. The lessons from this case offer valuable guidance for organizations facing similar modernization challenges.</w:t>
      </w:r>
    </w:p>
    <w:p w14:paraId="07E9F758" w14:textId="2FAE3F00" w:rsidR="00774E2D" w:rsidRDefault="00774E2D" w:rsidP="00774E2D"/>
    <w:p w14:paraId="35C2AFFB" w14:textId="3F1DB30F" w:rsidR="00774E2D" w:rsidRDefault="00774E2D" w:rsidP="00774E2D">
      <w:pPr>
        <w:rPr>
          <w:b/>
          <w:bCs/>
        </w:rPr>
      </w:pPr>
      <w:r w:rsidRPr="00774E2D">
        <w:rPr>
          <w:b/>
          <w:bCs/>
        </w:rPr>
        <w:t>References</w:t>
      </w:r>
      <w:r w:rsidR="00435784">
        <w:rPr>
          <w:b/>
          <w:bCs/>
        </w:rPr>
        <w:t>:</w:t>
      </w:r>
    </w:p>
    <w:p w14:paraId="69F0E4E4" w14:textId="77777777" w:rsidR="009E76FD" w:rsidRPr="009E76FD" w:rsidRDefault="009E76FD" w:rsidP="007E7F06">
      <w:pPr>
        <w:spacing w:line="360" w:lineRule="auto"/>
      </w:pPr>
      <w:r w:rsidRPr="009E76FD">
        <w:t xml:space="preserve">Atlassian. (n.d.). </w:t>
      </w:r>
      <w:r w:rsidRPr="009E76FD">
        <w:rPr>
          <w:i/>
          <w:iCs/>
        </w:rPr>
        <w:t>What is continuous delivery?</w:t>
      </w:r>
      <w:r w:rsidRPr="009E76FD">
        <w:t xml:space="preserve"> Atlassian.</w:t>
      </w:r>
      <w:r w:rsidRPr="009E76FD">
        <w:br/>
        <w:t>https://www.atlassian.com/continuous-delivery</w:t>
      </w:r>
    </w:p>
    <w:p w14:paraId="7DE81530" w14:textId="110D28DC" w:rsidR="00774E2D" w:rsidRPr="00774E2D" w:rsidRDefault="00774E2D" w:rsidP="007E7F06">
      <w:pPr>
        <w:spacing w:line="360" w:lineRule="auto"/>
      </w:pPr>
      <w:r w:rsidRPr="00774E2D">
        <w:t xml:space="preserve">Fowler, M. (2018). </w:t>
      </w:r>
      <w:r w:rsidRPr="00774E2D">
        <w:rPr>
          <w:i/>
          <w:iCs/>
        </w:rPr>
        <w:t>Strangler fig application</w:t>
      </w:r>
      <w:r w:rsidRPr="00774E2D">
        <w:t xml:space="preserve">. MartinFowler.com. https://martinfowler.com/bliki/StranglerFigApplication.html </w:t>
      </w:r>
    </w:p>
    <w:p w14:paraId="40CA7E37" w14:textId="19570393" w:rsidR="009E76FD" w:rsidRDefault="009E76FD" w:rsidP="007E7F06">
      <w:pPr>
        <w:spacing w:line="360" w:lineRule="auto"/>
      </w:pPr>
      <w:r w:rsidRPr="009E76FD">
        <w:t xml:space="preserve">IBM. (n.d.). </w:t>
      </w:r>
      <w:r w:rsidRPr="009E76FD">
        <w:rPr>
          <w:i/>
          <w:iCs/>
        </w:rPr>
        <w:t>What is continuous delivery?</w:t>
      </w:r>
      <w:r w:rsidRPr="009E76FD">
        <w:t xml:space="preserve"> IBM.</w:t>
      </w:r>
      <w:r w:rsidRPr="009E76FD">
        <w:br/>
      </w:r>
      <w:r w:rsidR="007E7F06" w:rsidRPr="009E76FD">
        <w:t>https://www.ibm.com/topics/continuous-delivery</w:t>
      </w:r>
    </w:p>
    <w:p w14:paraId="23914389" w14:textId="77777777" w:rsidR="00435784" w:rsidRDefault="007E7F06" w:rsidP="007E7F06">
      <w:pPr>
        <w:spacing w:line="360" w:lineRule="auto"/>
      </w:pPr>
      <w:r w:rsidRPr="007E7F06">
        <w:t xml:space="preserve">Kim, G., Humble, J., Debois, P., &amp; Willis, J. (2021). </w:t>
      </w:r>
      <w:r w:rsidRPr="007E7F06">
        <w:rPr>
          <w:i/>
          <w:iCs/>
        </w:rPr>
        <w:t xml:space="preserve">The DevOps handbook: How to create </w:t>
      </w:r>
      <w:r>
        <w:rPr>
          <w:i/>
          <w:iCs/>
        </w:rPr>
        <w:t>world-class</w:t>
      </w:r>
      <w:r w:rsidRPr="007E7F06">
        <w:rPr>
          <w:i/>
          <w:iCs/>
        </w:rPr>
        <w:t xml:space="preserve"> agility, reliability, and security in technology organizations</w:t>
      </w:r>
      <w:r w:rsidRPr="007E7F06">
        <w:t xml:space="preserve"> (2nd ed.). IT Revolution.</w:t>
      </w:r>
    </w:p>
    <w:p w14:paraId="22227F18" w14:textId="381956A4" w:rsidR="00774E2D" w:rsidRPr="007E7F06" w:rsidRDefault="00435784" w:rsidP="007E7F06">
      <w:pPr>
        <w:spacing w:line="360" w:lineRule="auto"/>
      </w:pPr>
      <w:r w:rsidRPr="00435784">
        <w:t>Microsoft Copilot. (2026). AI-assisted writing and research support. Microsoft.</w:t>
      </w:r>
      <w:r w:rsidR="007E7F06" w:rsidRPr="007E7F06">
        <w:br/>
      </w:r>
      <w:r w:rsidR="007E7F06" w:rsidRPr="007E7F06">
        <w:t xml:space="preserve">Solianichenko, D. (2023). </w:t>
      </w:r>
      <w:r w:rsidR="007E7F06" w:rsidRPr="007E7F06">
        <w:rPr>
          <w:i/>
          <w:iCs/>
        </w:rPr>
        <w:t>5 steps to migrate from monolith to microservices architecture.</w:t>
      </w:r>
      <w:r w:rsidR="007E7F06" w:rsidRPr="007E7F06">
        <w:t xml:space="preserve"> </w:t>
      </w:r>
      <w:r w:rsidR="007E7F06">
        <w:t xml:space="preserve">RedHat.com. </w:t>
      </w:r>
      <w:r w:rsidR="007E7F06" w:rsidRPr="007E7F06">
        <w:t>https://www.redhat.com/en/blog/monolith-microservices-migration</w:t>
      </w:r>
    </w:p>
    <w:p w14:paraId="3905299C" w14:textId="77777777" w:rsidR="002F5352" w:rsidRDefault="002F5352" w:rsidP="00774E2D">
      <w:pPr>
        <w:rPr>
          <w:b/>
          <w:bCs/>
        </w:rPr>
      </w:pPr>
    </w:p>
    <w:sectPr w:rsidR="002F5352" w:rsidSect="00774E2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6FA0"/>
    <w:multiLevelType w:val="multilevel"/>
    <w:tmpl w:val="1FE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F346E0"/>
    <w:multiLevelType w:val="multilevel"/>
    <w:tmpl w:val="91B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99004">
    <w:abstractNumId w:val="0"/>
  </w:num>
  <w:num w:numId="2" w16cid:durableId="577061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2D"/>
    <w:rsid w:val="002E7DD7"/>
    <w:rsid w:val="002F5352"/>
    <w:rsid w:val="00435784"/>
    <w:rsid w:val="0066259B"/>
    <w:rsid w:val="00774E2D"/>
    <w:rsid w:val="007E7F06"/>
    <w:rsid w:val="009E76FD"/>
    <w:rsid w:val="00B756CD"/>
    <w:rsid w:val="00C30081"/>
    <w:rsid w:val="00CB4596"/>
    <w:rsid w:val="00CD2F1E"/>
    <w:rsid w:val="00EA3CAA"/>
    <w:rsid w:val="00F05ED6"/>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9BA9"/>
  <w15:chartTrackingRefBased/>
  <w15:docId w15:val="{CDCD4B42-9905-4EA0-B71B-4910EED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E2D"/>
    <w:rPr>
      <w:rFonts w:eastAsiaTheme="majorEastAsia" w:cstheme="majorBidi"/>
      <w:color w:val="272727" w:themeColor="text1" w:themeTint="D8"/>
    </w:rPr>
  </w:style>
  <w:style w:type="paragraph" w:styleId="Title">
    <w:name w:val="Title"/>
    <w:basedOn w:val="Normal"/>
    <w:next w:val="Normal"/>
    <w:link w:val="TitleChar"/>
    <w:uiPriority w:val="10"/>
    <w:qFormat/>
    <w:rsid w:val="00774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E2D"/>
    <w:pPr>
      <w:spacing w:before="160"/>
      <w:jc w:val="center"/>
    </w:pPr>
    <w:rPr>
      <w:i/>
      <w:iCs/>
      <w:color w:val="404040" w:themeColor="text1" w:themeTint="BF"/>
    </w:rPr>
  </w:style>
  <w:style w:type="character" w:customStyle="1" w:styleId="QuoteChar">
    <w:name w:val="Quote Char"/>
    <w:basedOn w:val="DefaultParagraphFont"/>
    <w:link w:val="Quote"/>
    <w:uiPriority w:val="29"/>
    <w:rsid w:val="00774E2D"/>
    <w:rPr>
      <w:i/>
      <w:iCs/>
      <w:color w:val="404040" w:themeColor="text1" w:themeTint="BF"/>
    </w:rPr>
  </w:style>
  <w:style w:type="paragraph" w:styleId="ListParagraph">
    <w:name w:val="List Paragraph"/>
    <w:basedOn w:val="Normal"/>
    <w:uiPriority w:val="34"/>
    <w:qFormat/>
    <w:rsid w:val="00774E2D"/>
    <w:pPr>
      <w:ind w:left="720"/>
      <w:contextualSpacing/>
    </w:pPr>
  </w:style>
  <w:style w:type="character" w:styleId="IntenseEmphasis">
    <w:name w:val="Intense Emphasis"/>
    <w:basedOn w:val="DefaultParagraphFont"/>
    <w:uiPriority w:val="21"/>
    <w:qFormat/>
    <w:rsid w:val="00774E2D"/>
    <w:rPr>
      <w:i/>
      <w:iCs/>
      <w:color w:val="0F4761" w:themeColor="accent1" w:themeShade="BF"/>
    </w:rPr>
  </w:style>
  <w:style w:type="paragraph" w:styleId="IntenseQuote">
    <w:name w:val="Intense Quote"/>
    <w:basedOn w:val="Normal"/>
    <w:next w:val="Normal"/>
    <w:link w:val="IntenseQuoteChar"/>
    <w:uiPriority w:val="30"/>
    <w:qFormat/>
    <w:rsid w:val="00774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E2D"/>
    <w:rPr>
      <w:i/>
      <w:iCs/>
      <w:color w:val="0F4761" w:themeColor="accent1" w:themeShade="BF"/>
    </w:rPr>
  </w:style>
  <w:style w:type="character" w:styleId="IntenseReference">
    <w:name w:val="Intense Reference"/>
    <w:basedOn w:val="DefaultParagraphFont"/>
    <w:uiPriority w:val="32"/>
    <w:qFormat/>
    <w:rsid w:val="00774E2D"/>
    <w:rPr>
      <w:b/>
      <w:bCs/>
      <w:smallCaps/>
      <w:color w:val="0F4761" w:themeColor="accent1" w:themeShade="BF"/>
      <w:spacing w:val="5"/>
    </w:rPr>
  </w:style>
  <w:style w:type="paragraph" w:styleId="NoSpacing">
    <w:name w:val="No Spacing"/>
    <w:link w:val="NoSpacingChar"/>
    <w:uiPriority w:val="1"/>
    <w:qFormat/>
    <w:rsid w:val="00774E2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4E2D"/>
    <w:rPr>
      <w:rFonts w:eastAsiaTheme="minorEastAsia"/>
      <w:kern w:val="0"/>
      <w:sz w:val="22"/>
      <w:szCs w:val="22"/>
      <w14:ligatures w14:val="none"/>
    </w:rPr>
  </w:style>
  <w:style w:type="character" w:styleId="Hyperlink">
    <w:name w:val="Hyperlink"/>
    <w:basedOn w:val="DefaultParagraphFont"/>
    <w:uiPriority w:val="99"/>
    <w:unhideWhenUsed/>
    <w:rsid w:val="00774E2D"/>
    <w:rPr>
      <w:color w:val="467886" w:themeColor="hyperlink"/>
      <w:u w:val="single"/>
    </w:rPr>
  </w:style>
  <w:style w:type="character" w:styleId="UnresolvedMention">
    <w:name w:val="Unresolved Mention"/>
    <w:basedOn w:val="DefaultParagraphFont"/>
    <w:uiPriority w:val="99"/>
    <w:semiHidden/>
    <w:unhideWhenUsed/>
    <w:rsid w:val="00774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F8539AFBCA42BF91C8A016D9B4E167"/>
        <w:category>
          <w:name w:val="General"/>
          <w:gallery w:val="placeholder"/>
        </w:category>
        <w:types>
          <w:type w:val="bbPlcHdr"/>
        </w:types>
        <w:behaviors>
          <w:behavior w:val="content"/>
        </w:behaviors>
        <w:guid w:val="{B879F179-FB3A-4DBF-9F83-DF766DC4D8FC}"/>
      </w:docPartPr>
      <w:docPartBody>
        <w:p w:rsidR="00000000" w:rsidRDefault="00A47206" w:rsidP="00A47206">
          <w:pPr>
            <w:pStyle w:val="EBF8539AFBCA42BF91C8A016D9B4E167"/>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06"/>
    <w:rsid w:val="00937E3E"/>
    <w:rsid w:val="00A47206"/>
    <w:rsid w:val="00F05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F8539AFBCA42BF91C8A016D9B4E167">
    <w:name w:val="EBF8539AFBCA42BF91C8A016D9B4E167"/>
    <w:rsid w:val="00A47206"/>
  </w:style>
  <w:style w:type="paragraph" w:customStyle="1" w:styleId="C49F285970D542509995210CA67E6E4F">
    <w:name w:val="C49F285970D542509995210CA67E6E4F"/>
    <w:rsid w:val="00A472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2026-02-15T00:00:00</PublishDate>
  <Abstract/>
  <CompanyAddress>CSD380 Assignment 6.2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Paul Fralix</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Strangler Pattern at Blackboard Learn (2011)</dc:title>
  <dc:subject/>
  <dc:creator>Paul Fralix</dc:creator>
  <cp:keywords/>
  <dc:description/>
  <cp:lastModifiedBy>Paul Fralix</cp:lastModifiedBy>
  <cp:revision>1</cp:revision>
  <dcterms:created xsi:type="dcterms:W3CDTF">2026-02-16T00:20:00Z</dcterms:created>
  <dcterms:modified xsi:type="dcterms:W3CDTF">2026-02-16T01:11:00Z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0bbcc2f1-1247-4ce6-8f5a-437f6d847489</vt:lpwstr>
  </property>
</Properties>
</file>