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3F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【应该如何学习The China Quarterly的风格？】</w:t>
      </w:r>
    </w:p>
    <w:p w14:paraId="473C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首先要学习的点是TCQ的理论取向与叙事方式。</w:t>
      </w:r>
    </w:p>
    <w:p w14:paraId="0A2AD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在此基础上，学习TCQ所偏好的结构和文章要素当然是标准操作。</w:t>
      </w:r>
    </w:p>
    <w:p w14:paraId="69016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一个期刊的风格，往往需要见微知著，从引用的技术细节（是直接说某人说某事，还是将所引理论的人格化特征隐去）引申至文章的理论引用密度，进而感知行文节奏，达至期刊的学术偏好（是喜欢高密度的理论建构、模型化与模型检验，还是喜欢富有田野调查色彩的经验与观察）。</w:t>
      </w:r>
    </w:p>
    <w:p w14:paraId="4B0FE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38B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【样本分析】</w:t>
      </w:r>
    </w:p>
    <w:p w14:paraId="58744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Han et al. - 2022 - Firms as Revenue Safety Nets Political Connections and Returns to the Chinese State</w:t>
      </w:r>
    </w:p>
    <w:p w14:paraId="13442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地址："D:\c盘转移\Desktop\Claw工作文件夹\思想项目\安全监管部门的行业行为研究\TCQ风格学习\参考文献\Han et al. - 2022 - Firms as Revenue Safety Nets Political Connections and Returns to the Chinese State.pdf"</w:t>
      </w:r>
    </w:p>
    <w:p w14:paraId="6A8F43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看到文章对文献</w:t>
      </w:r>
      <w:r>
        <w:rPr>
          <w:rFonts w:hint="default" w:ascii="Times New Roman" w:hAnsi="Times New Roman" w:eastAsia="宋体" w:cs="Times New Roman"/>
          <w:sz w:val="24"/>
          <w:szCs w:val="24"/>
        </w:rPr>
        <w:t>Lü, Xiaobo, and Pierre F. Landry. 2014. “Show me the money: interjurisdiction political competition and fiscal extraction in China.” American Political Science Review 108(3), 706–722.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的引用，感到相当吃惊，没想到对中国政治的研究可以登上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APSR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，我一定要读一下这篇文章。</w:t>
      </w:r>
    </w:p>
    <w:p w14:paraId="124EA2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</w:t>
      </w:r>
      <w:r>
        <w:rPr>
          <w:rFonts w:hint="default" w:ascii="Times New Roman" w:hAnsi="Times New Roman" w:eastAsia="宋体" w:cs="Times New Roman"/>
          <w:sz w:val="24"/>
          <w:szCs w:val="24"/>
        </w:rPr>
        <w:t>Oi, Jean C.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似乎是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Corporatism和Clientelism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有关理论的重要贡献者与中国农村政治领域的研究大家，值得关注。</w:t>
      </w:r>
    </w:p>
    <w:p w14:paraId="0DD25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tax quotas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，我感到有些疑惑，难道在分税制体制下地方政府面临税收指标吗？对于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patron-client tie的论点，作者在尽可能地稳固其立论，强调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tax quotas给地方政府带来稳定的incentive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，以及企业倾向于通过支持税收与地方政府建立整体性的政治纽带，进而经济地获得有关资源。这是一种成熟的论述。</w:t>
      </w:r>
    </w:p>
    <w:p w14:paraId="1FCBB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可以观察到，文章的理论阐释性章节不限于1章，而且这章节的标题具有层层递进的特点，例如，从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Political Connection as a Patron–Client Tie到Corporate Restructuring Makes Political Connection Consequential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2BEF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90EA9"/>
    <w:multiLevelType w:val="singleLevel"/>
    <w:tmpl w:val="BBE90E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A6217"/>
    <w:rsid w:val="147F7BB9"/>
    <w:rsid w:val="14F11A91"/>
    <w:rsid w:val="29E12F7C"/>
    <w:rsid w:val="54805853"/>
    <w:rsid w:val="758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451</Characters>
  <Lines>0</Lines>
  <Paragraphs>0</Paragraphs>
  <TotalTime>353</TotalTime>
  <ScaleCrop>false</ScaleCrop>
  <LinksUpToDate>false</LinksUpToDate>
  <CharactersWithSpaces>489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2026-02-27T09:43:00Z</dcterms:created>
  <dc:creator>a</dc:creator>
  <cp:lastModifiedBy>WANG Mingpei</cp:lastModifiedBy>
  <dcterms:modified xsi:type="dcterms:W3CDTF">2026-03-08T08:48:20Z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eyJoZGlkIjoiOGIwNjc0OWRhYWZmM2RjNDllNzA4YWJhMWRkYzFjMGYiLCJ1c2VySWQiOiIzODg3MDc3NTUifQ==</vt:lpwstr>
  </property>
  <property fmtid="{D5CDD505-2E9C-101B-9397-08002B2CF9AE}" pid="4" name="ICV">
    <vt:lpwstr>B516203F937643168D85CDAD968F7500_12</vt:lpwstr>
  </property>
</Properties>
</file>