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p>
    <w:p>
      <w:pPr>
        <w:spacing w:after="60"/>
      </w:pPr>
      <w:r>
        <w:rPr>
          <w:rFonts w:ascii="Arial" w:cs="Arial" w:eastAsia="Arial" w:hAnsi="Arial"/>
          <w:b/>
          <w:bCs/>
          <w:color w:val="1E2761"/>
          <w:sz w:val="40"/>
          <w:szCs w:val="40"/>
        </w:rPr>
        <w:t xml:space="preserve">Cobra HOY</w:t>
      </w:r>
    </w:p>
    <w:p>
      <w:pPr>
        <w:spacing w:after="200"/>
      </w:pPr>
      <w:r>
        <w:rPr>
          <w:rFonts w:ascii="Arial" w:cs="Arial" w:eastAsia="Arial" w:hAnsi="Arial"/>
          <w:color w:val="4A5568"/>
          <w:sz w:val="19"/>
          <w:szCs w:val="19"/>
        </w:rPr>
        <w:t xml:space="preserve">Secured Lending Facility  |  Spanish Private Healthcare  |  Investment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0"/>
        <w:gridCol w:w="120"/>
        <w:gridCol w:w="2380"/>
        <w:gridCol w:w="120"/>
        <w:gridCol w:w="2380"/>
        <w:gridCol w:w="120"/>
        <w:gridCol w:w="2380"/>
      </w:tblGrid>
      <w:tr>
        <w:tc>
          <w:tcPr>
            <w:tcW w:type="dxa" w:w="2380"/>
            <w:tcBorders>
              <w:top w:val="none" w:color="FFFFFF" w:sz="0"/>
              <w:left w:val="none" w:color="FFFFFF" w:sz="0"/>
              <w:bottom w:val="none" w:color="FFFFFF" w:sz="0"/>
              <w:right w:val="none" w:color="FFFFFF" w:sz="0"/>
            </w:tcBorders>
            <w:shd w:fill="1E2761" w:val="clear"/>
            <w:tcMar>
              <w:top w:type="dxa" w:w="80"/>
              <w:left w:type="dxa" w:w="140"/>
              <w:bottom w:type="dxa" w:w="80"/>
              <w:right w:type="dxa" w:w="140"/>
            </w:tcMar>
            <w:vAlign w:val="center"/>
          </w:tcPr>
          <w:p>
            <w:pPr>
              <w:spacing w:after="40"/>
              <w:jc w:val="center"/>
            </w:pPr>
            <w:r>
              <w:rPr>
                <w:rFonts w:ascii="Arial" w:cs="Arial" w:eastAsia="Arial" w:hAnsi="Arial"/>
                <w:b/>
                <w:bCs/>
                <w:color w:val="FFFFFF"/>
                <w:sz w:val="28"/>
                <w:szCs w:val="28"/>
              </w:rPr>
              <w:t xml:space="preserve">7–8%</w:t>
            </w:r>
          </w:p>
          <w:p>
            <w:pPr>
              <w:jc w:val="center"/>
            </w:pPr>
            <w:r>
              <w:rPr>
                <w:rFonts w:ascii="Arial" w:cs="Arial" w:eastAsia="Arial" w:hAnsi="Arial"/>
                <w:color w:val="E2E8F0"/>
                <w:sz w:val="16"/>
                <w:szCs w:val="16"/>
              </w:rPr>
              <w:t xml:space="preserve">Target Net Return</w:t>
            </w:r>
          </w:p>
        </w:tc>
        <w:tc>
          <w:tcPr>
            <w:tcW w:type="dxa" w:w="120"/>
            <w:tcBorders>
              <w:top w:val="none" w:color="FFFFFF" w:sz="0"/>
              <w:left w:val="none" w:color="FFFFFF" w:sz="0"/>
              <w:bottom w:val="none" w:color="FFFFFF" w:sz="0"/>
              <w:right w:val="none" w:color="FFFFFF" w:sz="0"/>
            </w:tcBorders>
            <w:shd w:fill="FFFFFF" w:val="clear"/>
          </w:tcPr>
          <w:p/>
        </w:tc>
        <w:tc>
          <w:tcPr>
            <w:tcW w:type="dxa" w:w="2380"/>
            <w:tcBorders>
              <w:top w:val="none" w:color="FFFFFF" w:sz="0"/>
              <w:left w:val="none" w:color="FFFFFF" w:sz="0"/>
              <w:bottom w:val="none" w:color="FFFFFF" w:sz="0"/>
              <w:right w:val="none" w:color="FFFFFF" w:sz="0"/>
            </w:tcBorders>
            <w:shd w:fill="1E2761" w:val="clear"/>
            <w:tcMar>
              <w:top w:type="dxa" w:w="80"/>
              <w:left w:type="dxa" w:w="140"/>
              <w:bottom w:type="dxa" w:w="80"/>
              <w:right w:type="dxa" w:w="140"/>
            </w:tcMar>
            <w:vAlign w:val="center"/>
          </w:tcPr>
          <w:p>
            <w:pPr>
              <w:spacing w:after="40"/>
              <w:jc w:val="center"/>
            </w:pPr>
            <w:r>
              <w:rPr>
                <w:rFonts w:ascii="Arial" w:cs="Arial" w:eastAsia="Arial" w:hAnsi="Arial"/>
                <w:b/>
                <w:bCs/>
                <w:color w:val="FFFFFF"/>
                <w:sz w:val="28"/>
                <w:szCs w:val="28"/>
              </w:rPr>
              <w:t xml:space="preserve">15–60d</w:t>
            </w:r>
          </w:p>
          <w:p>
            <w:pPr>
              <w:jc w:val="center"/>
            </w:pPr>
            <w:r>
              <w:rPr>
                <w:rFonts w:ascii="Arial" w:cs="Arial" w:eastAsia="Arial" w:hAnsi="Arial"/>
                <w:color w:val="E2E8F0"/>
                <w:sz w:val="16"/>
                <w:szCs w:val="16"/>
              </w:rPr>
              <w:t xml:space="preserve">Capital Cycle</w:t>
            </w:r>
          </w:p>
        </w:tc>
        <w:tc>
          <w:tcPr>
            <w:tcW w:type="dxa" w:w="120"/>
            <w:tcBorders>
              <w:top w:val="none" w:color="FFFFFF" w:sz="0"/>
              <w:left w:val="none" w:color="FFFFFF" w:sz="0"/>
              <w:bottom w:val="none" w:color="FFFFFF" w:sz="0"/>
              <w:right w:val="none" w:color="FFFFFF" w:sz="0"/>
            </w:tcBorders>
            <w:shd w:fill="FFFFFF" w:val="clear"/>
          </w:tcPr>
          <w:p/>
        </w:tc>
        <w:tc>
          <w:tcPr>
            <w:tcW w:type="dxa" w:w="2380"/>
            <w:tcBorders>
              <w:top w:val="none" w:color="FFFFFF" w:sz="0"/>
              <w:left w:val="none" w:color="FFFFFF" w:sz="0"/>
              <w:bottom w:val="none" w:color="FFFFFF" w:sz="0"/>
              <w:right w:val="none" w:color="FFFFFF" w:sz="0"/>
            </w:tcBorders>
            <w:shd w:fill="1E2761" w:val="clear"/>
            <w:tcMar>
              <w:top w:type="dxa" w:w="80"/>
              <w:left w:type="dxa" w:w="140"/>
              <w:bottom w:type="dxa" w:w="80"/>
              <w:right w:type="dxa" w:w="140"/>
            </w:tcMar>
            <w:vAlign w:val="center"/>
          </w:tcPr>
          <w:p>
            <w:pPr>
              <w:spacing w:after="40"/>
              <w:jc w:val="center"/>
            </w:pPr>
            <w:r>
              <w:rPr>
                <w:rFonts w:ascii="Arial" w:cs="Arial" w:eastAsia="Arial" w:hAnsi="Arial"/>
                <w:b/>
                <w:bCs/>
                <w:color w:val="FFFFFF"/>
                <w:sz w:val="28"/>
                <w:szCs w:val="28"/>
              </w:rPr>
              <w:t xml:space="preserve">€900M+</w:t>
            </w:r>
          </w:p>
          <w:p>
            <w:pPr>
              <w:jc w:val="center"/>
            </w:pPr>
            <w:r>
              <w:rPr>
                <w:rFonts w:ascii="Arial" w:cs="Arial" w:eastAsia="Arial" w:hAnsi="Arial"/>
                <w:color w:val="E2E8F0"/>
                <w:sz w:val="16"/>
                <w:szCs w:val="16"/>
              </w:rPr>
              <w:t xml:space="preserve">Addressable Flow</w:t>
            </w:r>
          </w:p>
        </w:tc>
        <w:tc>
          <w:tcPr>
            <w:tcW w:type="dxa" w:w="120"/>
            <w:tcBorders>
              <w:top w:val="none" w:color="FFFFFF" w:sz="0"/>
              <w:left w:val="none" w:color="FFFFFF" w:sz="0"/>
              <w:bottom w:val="none" w:color="FFFFFF" w:sz="0"/>
              <w:right w:val="none" w:color="FFFFFF" w:sz="0"/>
            </w:tcBorders>
            <w:shd w:fill="FFFFFF" w:val="clear"/>
          </w:tcPr>
          <w:p/>
        </w:tc>
        <w:tc>
          <w:tcPr>
            <w:tcW w:type="dxa" w:w="2380"/>
            <w:tcBorders>
              <w:top w:val="none" w:color="FFFFFF" w:sz="0"/>
              <w:left w:val="none" w:color="FFFFFF" w:sz="0"/>
              <w:bottom w:val="none" w:color="FFFFFF" w:sz="0"/>
              <w:right w:val="none" w:color="FFFFFF" w:sz="0"/>
            </w:tcBorders>
            <w:shd w:fill="1E2761" w:val="clear"/>
            <w:tcMar>
              <w:top w:type="dxa" w:w="80"/>
              <w:left w:type="dxa" w:w="140"/>
              <w:bottom w:type="dxa" w:w="80"/>
              <w:right w:type="dxa" w:w="140"/>
            </w:tcMar>
            <w:vAlign w:val="center"/>
          </w:tcPr>
          <w:p>
            <w:pPr>
              <w:spacing w:after="40"/>
              <w:jc w:val="center"/>
            </w:pPr>
            <w:r>
              <w:rPr>
                <w:rFonts w:ascii="Arial" w:cs="Arial" w:eastAsia="Arial" w:hAnsi="Arial"/>
                <w:b/>
                <w:bCs/>
                <w:color w:val="FFFFFF"/>
                <w:sz w:val="28"/>
                <w:szCs w:val="28"/>
              </w:rPr>
              <w:t xml:space="preserve">60+</w:t>
            </w:r>
          </w:p>
          <w:p>
            <w:pPr>
              <w:jc w:val="center"/>
            </w:pPr>
            <w:r>
              <w:rPr>
                <w:rFonts w:ascii="Arial" w:cs="Arial" w:eastAsia="Arial" w:hAnsi="Arial"/>
                <w:color w:val="E2E8F0"/>
                <w:sz w:val="16"/>
                <w:szCs w:val="16"/>
              </w:rPr>
              <w:t xml:space="preserve">Insurer Obligors</w:t>
            </w:r>
          </w:p>
        </w:tc>
      </w:tr>
    </w:tbl>
    <w:p>
      <w:pPr>
        <w:pBdr>
          <w:bottom w:val="single" w:color="1E2761" w:sz="4" w:space="4"/>
        </w:pBdr>
        <w:spacing w:before="180" w:after="60"/>
      </w:pPr>
      <w:r>
        <w:rPr>
          <w:rFonts w:ascii="Arial" w:cs="Arial" w:eastAsia="Arial" w:hAnsi="Arial"/>
          <w:b/>
          <w:bCs/>
          <w:color w:val="1E2761"/>
          <w:spacing w:val="60"/>
          <w:sz w:val="20"/>
          <w:szCs w:val="20"/>
        </w:rPr>
        <w:t xml:space="preserve">INVESTMENT THESIS</w:t>
      </w:r>
    </w:p>
    <w:p>
      <w:pPr>
        <w:spacing w:after="60"/>
      </w:pPr>
      <w:r>
        <w:rPr>
          <w:rFonts w:ascii="Arial" w:cs="Arial" w:eastAsia="Arial" w:hAnsi="Arial"/>
          <w:color w:val="1A202C"/>
          <w:sz w:val="18"/>
          <w:szCs w:val="18"/>
        </w:rPr>
        <w:t xml:space="preserve">Cobra HOY is a secured lending facility that provides early payment to Spanish private healthcare centers against their expected insurance company payouts. Hospitals perform medical procedures for insured patients under framework agreements (convenios) with insurers who pay in batch cycles 15–60 days later. No financial product exists to bridge this gap at the individual claim level.</w:t>
      </w:r>
    </w:p>
    <w:p>
      <w:pPr>
        <w:spacing w:after="80"/>
      </w:pPr>
      <w:r>
        <w:rPr>
          <w:rFonts w:ascii="Arial" w:cs="Arial" w:eastAsia="Arial" w:hAnsi="Arial"/>
          <w:color w:val="1A202C"/>
          <w:sz w:val="18"/>
          <w:szCs w:val="18"/>
        </w:rPr>
        <w:t xml:space="preserve">The facility is powered by proprietary data from SEOGA, the dominant claims processing platform in Spain’s private healthcare sector, processing ~€900M annually across 1,000+ centers and 60+ insurers. SEOGA’s claim-level intelligence transforms conditional payment obligations into quantifiable, risk-adjustable expected cash flows — the foundation for a first-of-its-kind lending product with no direct competition.</w:t>
      </w:r>
    </w:p>
    <w:p>
      <w:pPr>
        <w:pBdr>
          <w:bottom w:val="single" w:color="1E2761" w:sz="4" w:space="4"/>
        </w:pBdr>
        <w:spacing w:before="180" w:after="60"/>
      </w:pPr>
      <w:r>
        <w:rPr>
          <w:rFonts w:ascii="Arial" w:cs="Arial" w:eastAsia="Arial" w:hAnsi="Arial"/>
          <w:b/>
          <w:bCs/>
          <w:color w:val="1E2761"/>
          <w:spacing w:val="60"/>
          <w:sz w:val="20"/>
          <w:szCs w:val="20"/>
        </w:rPr>
        <w:t xml:space="preserve">DEAL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b/>
                <w:bCs/>
                <w:color w:val="1A202C"/>
                <w:sz w:val="18"/>
                <w:szCs w:val="18"/>
              </w:rPr>
              <w:t xml:space="preserve">Product</w:t>
            </w:r>
          </w:p>
        </w:tc>
        <w:tc>
          <w:tcPr>
            <w:tcW w:type="dxa" w:w="648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color w:val="4A5568"/>
                <w:sz w:val="18"/>
                <w:szCs w:val="18"/>
              </w:rPr>
              <w:t xml:space="preserve">Secured lending facility — advances against expected insurer payment flows</w:t>
            </w:r>
          </w:p>
        </w:tc>
      </w:tr>
      <w:tr>
        <w:tc>
          <w:tcPr>
            <w:tcW w:type="dxa" w:w="36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A202C"/>
                <w:sz w:val="18"/>
                <w:szCs w:val="18"/>
              </w:rPr>
              <w:t xml:space="preserve">Underlying Asset</w:t>
            </w:r>
          </w:p>
        </w:tc>
        <w:tc>
          <w:tcPr>
            <w:tcW w:type="dxa" w:w="64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color w:val="4A5568"/>
                <w:sz w:val="18"/>
                <w:szCs w:val="18"/>
              </w:rPr>
              <w:t xml:space="preserve">Conditional claims under hospital–insurer convenios, scored by SEOGA’s data engine</w:t>
            </w:r>
          </w:p>
        </w:tc>
      </w:tr>
      <w:tr>
        <w:tc>
          <w:tcPr>
            <w:tcW w:type="dxa" w:w="360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b/>
                <w:bCs/>
                <w:color w:val="1A202C"/>
                <w:sz w:val="18"/>
                <w:szCs w:val="18"/>
              </w:rPr>
              <w:t xml:space="preserve">Security</w:t>
            </w:r>
          </w:p>
        </w:tc>
        <w:tc>
          <w:tcPr>
            <w:tcW w:type="dxa" w:w="648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color w:val="4A5568"/>
                <w:sz w:val="18"/>
                <w:szCs w:val="18"/>
              </w:rPr>
              <w:t xml:space="preserve">Notarized Umbrella Pledge over credit rights + tripartite control agreement (Double Lockbox)</w:t>
            </w:r>
          </w:p>
        </w:tc>
      </w:tr>
      <w:tr>
        <w:tc>
          <w:tcPr>
            <w:tcW w:type="dxa" w:w="36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A202C"/>
                <w:sz w:val="18"/>
                <w:szCs w:val="18"/>
              </w:rPr>
              <w:t xml:space="preserve">Lending Vehicle</w:t>
            </w:r>
          </w:p>
        </w:tc>
        <w:tc>
          <w:tcPr>
            <w:tcW w:type="dxa" w:w="64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color w:val="4A5568"/>
                <w:sz w:val="18"/>
                <w:szCs w:val="18"/>
              </w:rPr>
              <w:t xml:space="preserve">Single SPV — sole lender of record, pledgee, and control agreement counterparty</w:t>
            </w:r>
          </w:p>
        </w:tc>
      </w:tr>
      <w:tr>
        <w:tc>
          <w:tcPr>
            <w:tcW w:type="dxa" w:w="360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b/>
                <w:bCs/>
                <w:color w:val="1A202C"/>
                <w:sz w:val="18"/>
                <w:szCs w:val="18"/>
              </w:rPr>
              <w:t xml:space="preserve">Revenue Streams</w:t>
            </w:r>
          </w:p>
        </w:tc>
        <w:tc>
          <w:tcPr>
            <w:tcW w:type="dxa" w:w="648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color w:val="4A5568"/>
                <w:sz w:val="18"/>
                <w:szCs w:val="18"/>
              </w:rPr>
              <w:t xml:space="preserve">Hospital advance (~0.65%/advance) + Physician advance (~1.25%/advance)</w:t>
            </w:r>
          </w:p>
        </w:tc>
      </w:tr>
      <w:tr>
        <w:tc>
          <w:tcPr>
            <w:tcW w:type="dxa" w:w="36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A202C"/>
                <w:sz w:val="18"/>
                <w:szCs w:val="18"/>
              </w:rPr>
              <w:t xml:space="preserve">Capital Deployment</w:t>
            </w:r>
          </w:p>
        </w:tc>
        <w:tc>
          <w:tcPr>
            <w:tcW w:type="dxa" w:w="64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color w:val="4A5568"/>
                <w:sz w:val="18"/>
                <w:szCs w:val="18"/>
              </w:rPr>
              <w:t xml:space="preserve">€2–5M facility; €3M deploys €20M+ annualized via 15–60 day recycling</w:t>
            </w:r>
          </w:p>
        </w:tc>
      </w:tr>
      <w:tr>
        <w:tc>
          <w:tcPr>
            <w:tcW w:type="dxa" w:w="360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b/>
                <w:bCs/>
                <w:color w:val="1A202C"/>
                <w:sz w:val="18"/>
                <w:szCs w:val="18"/>
              </w:rPr>
              <w:t xml:space="preserve">Regulatory</w:t>
            </w:r>
          </w:p>
        </w:tc>
        <w:tc>
          <w:tcPr>
            <w:tcW w:type="dxa" w:w="6480"/>
            <w:tcBorders>
              <w:top w:val="single" w:color="E2E8F0" w:sz="1"/>
              <w:left w:val="single" w:color="E2E8F0" w:sz="1"/>
              <w:bottom w:val="single" w:color="E2E8F0" w:sz="1"/>
              <w:right w:val="single" w:color="E2E8F0" w:sz="1"/>
            </w:tcBorders>
            <w:shd w:fill="F2F4F8" w:val="clear"/>
            <w:tcMar>
              <w:top w:type="dxa" w:w="40"/>
              <w:left w:type="dxa" w:w="100"/>
              <w:bottom w:type="dxa" w:w="40"/>
              <w:right w:type="dxa" w:w="100"/>
            </w:tcMar>
          </w:tcPr>
          <w:p>
            <w:r>
              <w:rPr>
                <w:rFonts w:ascii="Arial" w:cs="Arial" w:eastAsia="Arial" w:hAnsi="Arial"/>
                <w:color w:val="4A5568"/>
                <w:sz w:val="18"/>
                <w:szCs w:val="18"/>
              </w:rPr>
              <w:t xml:space="preserve">No financial license required (B2B lending); no CIRBE impact to borrower</w:t>
            </w:r>
          </w:p>
        </w:tc>
      </w:tr>
      <w:tr>
        <w:tc>
          <w:tcPr>
            <w:tcW w:type="dxa" w:w="36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A202C"/>
                <w:sz w:val="18"/>
                <w:szCs w:val="18"/>
              </w:rPr>
              <w:t xml:space="preserve">MVP Timeline</w:t>
            </w:r>
          </w:p>
        </w:tc>
        <w:tc>
          <w:tcPr>
            <w:tcW w:type="dxa" w:w="64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color w:val="4A5568"/>
                <w:sz w:val="18"/>
                <w:szCs w:val="18"/>
              </w:rPr>
              <w:t xml:space="preserve">2–3 months to operational readiness; 5–10 pilot hospitals</w:t>
            </w:r>
          </w:p>
        </w:tc>
      </w:tr>
    </w:tbl>
    <w:p>
      <w:pPr>
        <w:pBdr>
          <w:bottom w:val="single" w:color="1E2761" w:sz="4" w:space="4"/>
        </w:pBdr>
        <w:spacing w:before="180" w:after="60"/>
      </w:pPr>
      <w:r>
        <w:rPr>
          <w:rFonts w:ascii="Arial" w:cs="Arial" w:eastAsia="Arial" w:hAnsi="Arial"/>
          <w:b/>
          <w:bCs/>
          <w:color w:val="1E2761"/>
          <w:spacing w:val="60"/>
          <w:sz w:val="20"/>
          <w:szCs w:val="20"/>
        </w:rPr>
        <w:t xml:space="preserve">COMPETITIVE MOAT</w:t>
      </w:r>
    </w:p>
    <w:p>
      <w:pPr>
        <w:pStyle w:val="ListParagraph"/>
        <w:numPr>
          <w:ilvl w:val="0"/>
          <w:numId w:val="2"/>
        </w:numPr>
        <w:spacing w:after="60"/>
      </w:pPr>
      <w:r>
        <w:rPr>
          <w:rFonts w:ascii="Arial" w:cs="Arial" w:eastAsia="Arial" w:hAnsi="Arial"/>
          <w:b/>
          <w:bCs/>
          <w:sz w:val="18"/>
          <w:szCs w:val="18"/>
        </w:rPr>
        <w:t xml:space="preserve">Not invoice factoring </w:t>
      </w:r>
      <w:r>
        <w:rPr>
          <w:rFonts w:ascii="Arial" w:cs="Arial" w:eastAsia="Arial" w:hAnsi="Arial"/>
          <w:color w:val="4A5568"/>
          <w:sz w:val="18"/>
          <w:szCs w:val="18"/>
        </w:rPr>
        <w:t xml:space="preserve">— convenio-based claims are conditional payment obligations, not discrete assignable invoices. Traditional factoring does not apply.</w:t>
      </w:r>
    </w:p>
    <w:p>
      <w:pPr>
        <w:pStyle w:val="ListParagraph"/>
        <w:numPr>
          <w:ilvl w:val="0"/>
          <w:numId w:val="2"/>
        </w:numPr>
        <w:spacing w:after="60"/>
      </w:pPr>
      <w:r>
        <w:rPr>
          <w:rFonts w:ascii="Arial" w:cs="Arial" w:eastAsia="Arial" w:hAnsi="Arial"/>
          <w:b/>
          <w:bCs/>
          <w:sz w:val="18"/>
          <w:szCs w:val="18"/>
        </w:rPr>
        <w:t xml:space="preserve">Data barrier to entry </w:t>
      </w:r>
      <w:r>
        <w:rPr>
          <w:rFonts w:ascii="Arial" w:cs="Arial" w:eastAsia="Arial" w:hAnsi="Arial"/>
          <w:color w:val="4A5568"/>
          <w:sz w:val="18"/>
          <w:szCs w:val="18"/>
        </w:rPr>
        <w:t xml:space="preserve">— replicating SEOGA’s position requires processing millions of claims across 60+ insurers and 1,000+ hospitals. Multi-year, relationship-intensive effort no competitor has undertaken.</w:t>
      </w:r>
    </w:p>
    <w:p>
      <w:pPr>
        <w:pStyle w:val="ListParagraph"/>
        <w:numPr>
          <w:ilvl w:val="0"/>
          <w:numId w:val="2"/>
        </w:numPr>
        <w:spacing w:after="60"/>
      </w:pPr>
      <w:r>
        <w:rPr>
          <w:rFonts w:ascii="Arial" w:cs="Arial" w:eastAsia="Arial" w:hAnsi="Arial"/>
          <w:b/>
          <w:bCs/>
          <w:sz w:val="18"/>
          <w:szCs w:val="18"/>
        </w:rPr>
        <w:t xml:space="preserve">Bank credit lines are generic </w:t>
      </w:r>
      <w:r>
        <w:rPr>
          <w:rFonts w:ascii="Arial" w:cs="Arial" w:eastAsia="Arial" w:hAnsi="Arial"/>
          <w:color w:val="4A5568"/>
          <w:sz w:val="18"/>
          <w:szCs w:val="18"/>
        </w:rPr>
        <w:t xml:space="preserve">— lend against balance sheet, not specific insurer flows. Slow, rigid, consume CIRBE borrowing capacity, and lack domain-specific pricing.</w:t>
      </w:r>
    </w:p>
    <w:p>
      <w:r>
        <w:br w:type="page"/>
      </w:r>
    </w:p>
    <w:p>
      <w:pPr>
        <w:pBdr>
          <w:bottom w:val="single" w:color="1E2761" w:sz="4" w:space="4"/>
        </w:pBdr>
        <w:spacing w:before="180" w:after="60"/>
      </w:pPr>
      <w:r>
        <w:rPr>
          <w:rFonts w:ascii="Arial" w:cs="Arial" w:eastAsia="Arial" w:hAnsi="Arial"/>
          <w:b/>
          <w:bCs/>
          <w:color w:val="1E2761"/>
          <w:spacing w:val="60"/>
          <w:sz w:val="20"/>
          <w:szCs w:val="20"/>
        </w:rPr>
        <w:t xml:space="preserve">STRUCTURE — DOUBLE LOCKBOX</w:t>
      </w:r>
    </w:p>
    <w:p>
      <w:pPr>
        <w:spacing w:after="60"/>
      </w:pPr>
      <w:r>
        <w:rPr>
          <w:rFonts w:ascii="Arial" w:cs="Arial" w:eastAsia="Arial" w:hAnsi="Arial"/>
          <w:color w:val="1A202C"/>
          <w:sz w:val="17"/>
          <w:szCs w:val="17"/>
        </w:rPr>
        <w:t xml:space="preserve">The SPV advances cash to hospitals. Insurers pay into a pledged bank account in the hospital’s name — the insurer sees no change. A tripartite control agreement governs daily automated sweeps: advance repayment flows to the SPV first, surplus returns to the hospital’s operating account. The notarized Umbrella Pledge grants the SPV privilegio especial (special privilege) in bankruptcy, enforceable ahead of unsecured creditors.</w:t>
      </w:r>
    </w:p>
    <w:p>
      <w:pPr>
        <w:spacing w:before="40" w:after="60"/>
        <w:jc w:val="center"/>
      </w:pPr>
      <w:r>
        <w:drawing>
          <wp:inline distT="0" distB="0" distL="0" distR="0">
            <wp:extent cx="4762500" cy="3495675"/>
            <wp:effectExtent t="0" r="0" b="0" l="0"/>
            <wp:docPr id="1" name="double-lockbox" descr="Flow diagram showing capital providers, SPV, SEOGA data layer, Laminar platform, hospital borrower, partner bank accounts, and insurer payment flows" title="Double Lockbox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95675"/>
                    </a:xfrm>
                    <a:prstGeom prst="rect">
                      <a:avLst/>
                    </a:prstGeom>
                  </pic:spPr>
                </pic:pic>
              </a:graphicData>
            </a:graphic>
          </wp:inline>
        </w:drawing>
      </w:r>
    </w:p>
    <w:p>
      <w:pPr>
        <w:pBdr>
          <w:bottom w:val="single" w:color="1E2761" w:sz="4" w:space="4"/>
        </w:pBdr>
        <w:spacing w:before="180" w:after="60"/>
      </w:pPr>
      <w:r>
        <w:rPr>
          <w:rFonts w:ascii="Arial" w:cs="Arial" w:eastAsia="Arial" w:hAnsi="Arial"/>
          <w:b/>
          <w:bCs/>
          <w:color w:val="1E2761"/>
          <w:spacing w:val="60"/>
          <w:sz w:val="20"/>
          <w:szCs w:val="20"/>
        </w:rPr>
        <w:t xml:space="preserve">COMPARABLE POSITIONING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880"/>
      </w:tblGrid>
      <w:tr>
        <w:tc>
          <w:tcPr>
            <w:tcW w:type="dxa" w:w="3200"/>
            <w:tcBorders>
              <w:top w:val="single" w:color="E2E8F0" w:sz="1"/>
              <w:left w:val="single" w:color="E2E8F0" w:sz="1"/>
              <w:bottom w:val="single" w:color="E2E8F0" w:sz="1"/>
              <w:right w:val="single" w:color="E2E8F0" w:sz="1"/>
            </w:tcBorders>
            <w:shd w:fill="1E2761" w:val="clear"/>
            <w:tcMar>
              <w:top w:type="dxa" w:w="40"/>
              <w:left w:type="dxa" w:w="100"/>
              <w:bottom w:type="dxa" w:w="40"/>
              <w:right w:type="dxa" w:w="100"/>
            </w:tcMar>
          </w:tcPr>
          <w:p>
            <w:r>
              <w:rPr>
                <w:rFonts w:ascii="Arial" w:cs="Arial" w:eastAsia="Arial" w:hAnsi="Arial"/>
                <w:b/>
                <w:bCs/>
                <w:color w:val="FFFFFF"/>
                <w:sz w:val="17"/>
                <w:szCs w:val="17"/>
              </w:rPr>
              <w:t xml:space="preserve">Product</w:t>
            </w:r>
          </w:p>
        </w:tc>
        <w:tc>
          <w:tcPr>
            <w:tcW w:type="dxa" w:w="1800"/>
            <w:tcBorders>
              <w:top w:val="single" w:color="E2E8F0" w:sz="1"/>
              <w:left w:val="single" w:color="E2E8F0" w:sz="1"/>
              <w:bottom w:val="single" w:color="E2E8F0" w:sz="1"/>
              <w:right w:val="single" w:color="E2E8F0" w:sz="1"/>
            </w:tcBorders>
            <w:shd w:fill="1E2761" w:val="clear"/>
            <w:tcMar>
              <w:top w:type="dxa" w:w="40"/>
              <w:left w:type="dxa" w:w="100"/>
              <w:bottom w:type="dxa" w:w="40"/>
              <w:right w:type="dxa" w:w="100"/>
            </w:tcMar>
          </w:tcPr>
          <w:p>
            <w:r>
              <w:rPr>
                <w:rFonts w:ascii="Arial" w:cs="Arial" w:eastAsia="Arial" w:hAnsi="Arial"/>
                <w:b/>
                <w:bCs/>
                <w:color w:val="FFFFFF"/>
                <w:sz w:val="17"/>
                <w:szCs w:val="17"/>
              </w:rPr>
              <w:t xml:space="preserve">Net Return</w:t>
            </w:r>
          </w:p>
        </w:tc>
        <w:tc>
          <w:tcPr>
            <w:tcW w:type="dxa" w:w="2200"/>
            <w:tcBorders>
              <w:top w:val="single" w:color="E2E8F0" w:sz="1"/>
              <w:left w:val="single" w:color="E2E8F0" w:sz="1"/>
              <w:bottom w:val="single" w:color="E2E8F0" w:sz="1"/>
              <w:right w:val="single" w:color="E2E8F0" w:sz="1"/>
            </w:tcBorders>
            <w:shd w:fill="1E2761" w:val="clear"/>
            <w:tcMar>
              <w:top w:type="dxa" w:w="40"/>
              <w:left w:type="dxa" w:w="100"/>
              <w:bottom w:type="dxa" w:w="40"/>
              <w:right w:type="dxa" w:w="100"/>
            </w:tcMar>
          </w:tcPr>
          <w:p>
            <w:r>
              <w:rPr>
                <w:rFonts w:ascii="Arial" w:cs="Arial" w:eastAsia="Arial" w:hAnsi="Arial"/>
                <w:b/>
                <w:bCs/>
                <w:color w:val="FFFFFF"/>
                <w:sz w:val="17"/>
                <w:szCs w:val="17"/>
              </w:rPr>
              <w:t xml:space="preserve">Duration</w:t>
            </w:r>
          </w:p>
        </w:tc>
        <w:tc>
          <w:tcPr>
            <w:tcW w:type="dxa" w:w="2880"/>
            <w:tcBorders>
              <w:top w:val="single" w:color="E2E8F0" w:sz="1"/>
              <w:left w:val="single" w:color="E2E8F0" w:sz="1"/>
              <w:bottom w:val="single" w:color="E2E8F0" w:sz="1"/>
              <w:right w:val="single" w:color="E2E8F0" w:sz="1"/>
            </w:tcBorders>
            <w:shd w:fill="1E2761" w:val="clear"/>
            <w:tcMar>
              <w:top w:type="dxa" w:w="40"/>
              <w:left w:type="dxa" w:w="100"/>
              <w:bottom w:type="dxa" w:w="40"/>
              <w:right w:type="dxa" w:w="100"/>
            </w:tcMar>
          </w:tcPr>
          <w:p>
            <w:r>
              <w:rPr>
                <w:rFonts w:ascii="Arial" w:cs="Arial" w:eastAsia="Arial" w:hAnsi="Arial"/>
                <w:b/>
                <w:bCs/>
                <w:color w:val="FFFFFF"/>
                <w:sz w:val="17"/>
                <w:szCs w:val="17"/>
              </w:rPr>
              <w:t xml:space="preserve">Obligor Quality</w:t>
            </w:r>
          </w:p>
        </w:tc>
      </w:tr>
      <w:tr>
        <w:tc>
          <w:tcPr>
            <w:tcW w:type="dxa" w:w="32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val="false"/>
                <w:bCs w:val="false"/>
                <w:color w:val="1A202C"/>
                <w:sz w:val="17"/>
                <w:szCs w:val="17"/>
              </w:rPr>
              <w:t xml:space="preserve">EUR money market</w:t>
            </w:r>
          </w:p>
        </w:tc>
        <w:tc>
          <w:tcPr>
            <w:tcW w:type="dxa" w:w="18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val="false"/>
                <w:bCs w:val="false"/>
                <w:color w:val="1A202C"/>
                <w:sz w:val="17"/>
                <w:szCs w:val="17"/>
              </w:rPr>
              <w:t xml:space="preserve">2.5–3%</w:t>
            </w:r>
          </w:p>
        </w:tc>
        <w:tc>
          <w:tcPr>
            <w:tcW w:type="dxa" w:w="22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val="false"/>
                <w:bCs w:val="false"/>
                <w:color w:val="1A202C"/>
                <w:sz w:val="17"/>
                <w:szCs w:val="17"/>
              </w:rPr>
              <w:t xml:space="preserve">&lt;90 days</w:t>
            </w:r>
          </w:p>
        </w:tc>
        <w:tc>
          <w:tcPr>
            <w:tcW w:type="dxa" w:w="28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val="false"/>
                <w:bCs w:val="false"/>
                <w:color w:val="1A202C"/>
                <w:sz w:val="17"/>
                <w:szCs w:val="17"/>
              </w:rPr>
              <w:t xml:space="preserve">Sovereign / bank</w:t>
            </w:r>
          </w:p>
        </w:tc>
      </w:tr>
      <w:tr>
        <w:tc>
          <w:tcPr>
            <w:tcW w:type="dxa" w:w="32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Supply chain finance fund</w:t>
            </w:r>
          </w:p>
        </w:tc>
        <w:tc>
          <w:tcPr>
            <w:tcW w:type="dxa" w:w="18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4–8%</w:t>
            </w:r>
          </w:p>
        </w:tc>
        <w:tc>
          <w:tcPr>
            <w:tcW w:type="dxa" w:w="22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30–90 days</w:t>
            </w:r>
          </w:p>
        </w:tc>
        <w:tc>
          <w:tcPr>
            <w:tcW w:type="dxa" w:w="288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Corporates</w:t>
            </w:r>
          </w:p>
        </w:tc>
      </w:tr>
      <w:tr>
        <w:tc>
          <w:tcPr>
            <w:tcW w:type="dxa" w:w="32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Cobra HOY (unlevered)</w:t>
            </w:r>
          </w:p>
        </w:tc>
        <w:tc>
          <w:tcPr>
            <w:tcW w:type="dxa" w:w="18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7–8%</w:t>
            </w:r>
          </w:p>
        </w:tc>
        <w:tc>
          <w:tcPr>
            <w:tcW w:type="dxa" w:w="22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15–60 days</w:t>
            </w:r>
          </w:p>
        </w:tc>
        <w:tc>
          <w:tcPr>
            <w:tcW w:type="dxa" w:w="28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Spanish insurers</w:t>
            </w:r>
          </w:p>
        </w:tc>
      </w:tr>
      <w:tr>
        <w:tc>
          <w:tcPr>
            <w:tcW w:type="dxa" w:w="32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Trade finance fund</w:t>
            </w:r>
          </w:p>
        </w:tc>
        <w:tc>
          <w:tcPr>
            <w:tcW w:type="dxa" w:w="18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9–12%</w:t>
            </w:r>
          </w:p>
        </w:tc>
        <w:tc>
          <w:tcPr>
            <w:tcW w:type="dxa" w:w="22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30–90 days</w:t>
            </w:r>
          </w:p>
        </w:tc>
        <w:tc>
          <w:tcPr>
            <w:tcW w:type="dxa" w:w="288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SME receivables</w:t>
            </w:r>
          </w:p>
        </w:tc>
      </w:tr>
      <w:tr>
        <w:tc>
          <w:tcPr>
            <w:tcW w:type="dxa" w:w="32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Cobra HOY (2x levered)</w:t>
            </w:r>
          </w:p>
        </w:tc>
        <w:tc>
          <w:tcPr>
            <w:tcW w:type="dxa" w:w="18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9–12%</w:t>
            </w:r>
          </w:p>
        </w:tc>
        <w:tc>
          <w:tcPr>
            <w:tcW w:type="dxa" w:w="220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15–60 days</w:t>
            </w:r>
          </w:p>
        </w:tc>
        <w:tc>
          <w:tcPr>
            <w:tcW w:type="dxa" w:w="2880"/>
            <w:tcBorders>
              <w:top w:val="single" w:color="E2E8F0" w:sz="1"/>
              <w:left w:val="single" w:color="E2E8F0" w:sz="1"/>
              <w:bottom w:val="single" w:color="E2E8F0" w:sz="1"/>
              <w:right w:val="single" w:color="E2E8F0" w:sz="1"/>
            </w:tcBorders>
            <w:shd w:fill="FFFFFF" w:val="clear"/>
            <w:tcMar>
              <w:top w:type="dxa" w:w="40"/>
              <w:left w:type="dxa" w:w="100"/>
              <w:bottom w:type="dxa" w:w="40"/>
              <w:right w:type="dxa" w:w="100"/>
            </w:tcMar>
          </w:tcPr>
          <w:p>
            <w:r>
              <w:rPr>
                <w:rFonts w:ascii="Arial" w:cs="Arial" w:eastAsia="Arial" w:hAnsi="Arial"/>
                <w:b/>
                <w:bCs/>
                <w:color w:val="1E2761"/>
                <w:sz w:val="17"/>
                <w:szCs w:val="17"/>
              </w:rPr>
              <w:t xml:space="preserve">Spanish insurers</w:t>
            </w:r>
          </w:p>
        </w:tc>
      </w:tr>
      <w:tr>
        <w:tc>
          <w:tcPr>
            <w:tcW w:type="dxa" w:w="32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European private credit</w:t>
            </w:r>
          </w:p>
        </w:tc>
        <w:tc>
          <w:tcPr>
            <w:tcW w:type="dxa" w:w="18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9–13%</w:t>
            </w:r>
          </w:p>
        </w:tc>
        <w:tc>
          <w:tcPr>
            <w:tcW w:type="dxa" w:w="220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2–5 years</w:t>
            </w:r>
          </w:p>
        </w:tc>
        <w:tc>
          <w:tcPr>
            <w:tcW w:type="dxa" w:w="2880"/>
            <w:tcBorders>
              <w:top w:val="single" w:color="E2E8F0" w:sz="1"/>
              <w:left w:val="single" w:color="E2E8F0" w:sz="1"/>
              <w:bottom w:val="single" w:color="E2E8F0" w:sz="1"/>
              <w:right w:val="single" w:color="E2E8F0" w:sz="1"/>
            </w:tcBorders>
            <w:shd w:fill="E8EDF5" w:val="clear"/>
            <w:tcMar>
              <w:top w:type="dxa" w:w="40"/>
              <w:left w:type="dxa" w:w="100"/>
              <w:bottom w:type="dxa" w:w="40"/>
              <w:right w:type="dxa" w:w="100"/>
            </w:tcMar>
          </w:tcPr>
          <w:p>
            <w:r>
              <w:rPr>
                <w:rFonts w:ascii="Arial" w:cs="Arial" w:eastAsia="Arial" w:hAnsi="Arial"/>
                <w:b w:val="false"/>
                <w:bCs w:val="false"/>
                <w:color w:val="1A202C"/>
                <w:sz w:val="17"/>
                <w:szCs w:val="17"/>
              </w:rPr>
              <w:t xml:space="preserve">Mid-market corporates</w:t>
            </w:r>
          </w:p>
        </w:tc>
      </w:tr>
    </w:tbl>
    <w:p>
      <w:pPr>
        <w:pBdr>
          <w:bottom w:val="single" w:color="1E2761" w:sz="4" w:space="4"/>
        </w:pBdr>
        <w:spacing w:before="180" w:after="60"/>
      </w:pPr>
      <w:r>
        <w:rPr>
          <w:rFonts w:ascii="Arial" w:cs="Arial" w:eastAsia="Arial" w:hAnsi="Arial"/>
          <w:b/>
          <w:bCs/>
          <w:color w:val="1E2761"/>
          <w:spacing w:val="60"/>
          <w:sz w:val="20"/>
          <w:szCs w:val="20"/>
        </w:rPr>
        <w:t xml:space="preserve">RISK MITIGATION</w:t>
      </w:r>
    </w:p>
    <w:p>
      <w:pPr>
        <w:pStyle w:val="ListParagraph"/>
        <w:numPr>
          <w:ilvl w:val="0"/>
          <w:numId w:val="2"/>
        </w:numPr>
        <w:spacing w:after="30"/>
      </w:pPr>
      <w:r>
        <w:rPr>
          <w:rFonts w:ascii="Arial" w:cs="Arial" w:eastAsia="Arial" w:hAnsi="Arial"/>
          <w:b/>
          <w:bCs/>
          <w:sz w:val="16"/>
          <w:szCs w:val="16"/>
        </w:rPr>
        <w:t xml:space="preserve">Dual recourse: </w:t>
      </w:r>
      <w:r>
        <w:rPr>
          <w:rFonts w:ascii="Arial" w:cs="Arial" w:eastAsia="Arial" w:hAnsi="Arial"/>
          <w:color w:val="4A5568"/>
          <w:sz w:val="16"/>
          <w:szCs w:val="16"/>
        </w:rPr>
        <w:t xml:space="preserve">Contractual claim against hospital (B2B loan) + notarized pledge with special privilege in bankruptcy</w:t>
      </w:r>
    </w:p>
    <w:p>
      <w:pPr>
        <w:pStyle w:val="ListParagraph"/>
        <w:numPr>
          <w:ilvl w:val="0"/>
          <w:numId w:val="2"/>
        </w:numPr>
        <w:spacing w:after="30"/>
      </w:pPr>
      <w:r>
        <w:rPr>
          <w:rFonts w:ascii="Arial" w:cs="Arial" w:eastAsia="Arial" w:hAnsi="Arial"/>
          <w:b/>
          <w:bCs/>
          <w:sz w:val="16"/>
          <w:szCs w:val="16"/>
        </w:rPr>
        <w:t xml:space="preserve">Short duration: </w:t>
      </w:r>
      <w:r>
        <w:rPr>
          <w:rFonts w:ascii="Arial" w:cs="Arial" w:eastAsia="Arial" w:hAnsi="Arial"/>
          <w:color w:val="4A5568"/>
          <w:sz w:val="16"/>
          <w:szCs w:val="16"/>
        </w:rPr>
        <w:t xml:space="preserve">15–60 day cycle caps exposure; portfolio de-risks within 60 days if origination paused</w:t>
      </w:r>
    </w:p>
    <w:p>
      <w:pPr>
        <w:pStyle w:val="ListParagraph"/>
        <w:numPr>
          <w:ilvl w:val="0"/>
          <w:numId w:val="2"/>
        </w:numPr>
        <w:spacing w:after="30"/>
      </w:pPr>
      <w:r>
        <w:rPr>
          <w:rFonts w:ascii="Arial" w:cs="Arial" w:eastAsia="Arial" w:hAnsi="Arial"/>
          <w:b/>
          <w:bCs/>
          <w:sz w:val="16"/>
          <w:szCs w:val="16"/>
        </w:rPr>
        <w:t xml:space="preserve">Institutional obligors: </w:t>
      </w:r>
      <w:r>
        <w:rPr>
          <w:rFonts w:ascii="Arial" w:cs="Arial" w:eastAsia="Arial" w:hAnsi="Arial"/>
          <w:color w:val="4A5568"/>
          <w:sz w:val="16"/>
          <w:szCs w:val="16"/>
        </w:rPr>
        <w:t xml:space="preserve">Regulated Spanish insurers (Sanitas/Bupa, Adeslas/CaixaBank, Mapfre, DKV/Munich Re) under Solvency II</w:t>
      </w:r>
    </w:p>
    <w:p>
      <w:pPr>
        <w:pStyle w:val="ListParagraph"/>
        <w:numPr>
          <w:ilvl w:val="0"/>
          <w:numId w:val="2"/>
        </w:numPr>
        <w:spacing w:after="30"/>
      </w:pPr>
      <w:r>
        <w:rPr>
          <w:rFonts w:ascii="Arial" w:cs="Arial" w:eastAsia="Arial" w:hAnsi="Arial"/>
          <w:b/>
          <w:bCs/>
          <w:sz w:val="16"/>
          <w:szCs w:val="16"/>
        </w:rPr>
        <w:t xml:space="preserve">Data-driven underwriting: </w:t>
      </w:r>
      <w:r>
        <w:rPr>
          <w:rFonts w:ascii="Arial" w:cs="Arial" w:eastAsia="Arial" w:hAnsi="Arial"/>
          <w:color w:val="4A5568"/>
          <w:sz w:val="16"/>
          <w:szCs w:val="16"/>
        </w:rPr>
        <w:t xml:space="preserve">5M+ historical medical acts enable per-claim risk pricing and continuous haircut back-testing</w:t>
      </w:r>
    </w:p>
    <w:p>
      <w:pPr>
        <w:pBdr>
          <w:bottom w:val="single" w:color="1E2761" w:sz="4" w:space="4"/>
        </w:pBdr>
        <w:spacing w:before="180" w:after="60"/>
      </w:pPr>
      <w:r>
        <w:rPr>
          <w:rFonts w:ascii="Arial" w:cs="Arial" w:eastAsia="Arial" w:hAnsi="Arial"/>
          <w:b/>
          <w:bCs/>
          <w:color w:val="1E2761"/>
          <w:spacing w:val="60"/>
          <w:sz w:val="20"/>
          <w:szCs w:val="20"/>
        </w:rPr>
        <w:t xml:space="preserve">KEY PARTIES</w:t>
      </w:r>
    </w:p>
    <w:p>
      <w:pPr>
        <w:spacing w:after="40"/>
      </w:pPr>
      <w:r>
        <w:rPr>
          <w:rFonts w:ascii="Arial" w:cs="Arial" w:eastAsia="Arial" w:hAnsi="Arial"/>
          <w:b/>
          <w:bCs/>
          <w:color w:val="1E2761"/>
          <w:sz w:val="16"/>
          <w:szCs w:val="16"/>
        </w:rPr>
        <w:t xml:space="preserve">SEOGA </w:t>
      </w:r>
      <w:r>
        <w:rPr>
          <w:rFonts w:ascii="Arial" w:cs="Arial" w:eastAsia="Arial" w:hAnsi="Arial"/>
          <w:color w:val="4A5568"/>
          <w:sz w:val="16"/>
          <w:szCs w:val="16"/>
        </w:rPr>
        <w:t xml:space="preserve">Data, credit scoring, insurer liaison, hospital distribution  |  </w:t>
      </w:r>
      <w:r>
        <w:rPr>
          <w:rFonts w:ascii="Arial" w:cs="Arial" w:eastAsia="Arial" w:hAnsi="Arial"/>
          <w:b/>
          <w:bCs/>
          <w:color w:val="1E2761"/>
          <w:sz w:val="16"/>
          <w:szCs w:val="16"/>
        </w:rPr>
        <w:t xml:space="preserve">Laminar </w:t>
      </w:r>
      <w:r>
        <w:rPr>
          <w:rFonts w:ascii="Arial" w:cs="Arial" w:eastAsia="Arial" w:hAnsi="Arial"/>
          <w:color w:val="4A5568"/>
          <w:sz w:val="16"/>
          <w:szCs w:val="16"/>
        </w:rPr>
        <w:t xml:space="preserve">Financial structure design, technology platform, capital sourcing  |  </w:t>
      </w:r>
      <w:r>
        <w:rPr>
          <w:rFonts w:ascii="Arial" w:cs="Arial" w:eastAsia="Arial" w:hAnsi="Arial"/>
          <w:b/>
          <w:bCs/>
          <w:color w:val="1E2761"/>
          <w:sz w:val="16"/>
          <w:szCs w:val="16"/>
        </w:rPr>
        <w:t xml:space="preserve">SPV </w:t>
      </w:r>
      <w:r>
        <w:rPr>
          <w:rFonts w:ascii="Arial" w:cs="Arial" w:eastAsia="Arial" w:hAnsi="Arial"/>
          <w:color w:val="4A5568"/>
          <w:sz w:val="16"/>
          <w:szCs w:val="16"/>
        </w:rPr>
        <w:t xml:space="preserve">Single lending vehicle; sole lender of record  |  </w:t>
      </w:r>
      <w:r>
        <w:rPr>
          <w:rFonts w:ascii="Arial" w:cs="Arial" w:eastAsia="Arial" w:hAnsi="Arial"/>
          <w:b/>
          <w:bCs/>
          <w:color w:val="1E2761"/>
          <w:sz w:val="16"/>
          <w:szCs w:val="16"/>
        </w:rPr>
        <w:t xml:space="preserve">Bank Partner </w:t>
      </w:r>
      <w:r>
        <w:rPr>
          <w:rFonts w:ascii="Arial" w:cs="Arial" w:eastAsia="Arial" w:hAnsi="Arial"/>
          <w:color w:val="4A5568"/>
          <w:sz w:val="16"/>
          <w:szCs w:val="16"/>
        </w:rPr>
        <w:t xml:space="preserve">Pledged accounts, daily sweep execution, SEPA payment rails (TBD)</w:t>
      </w:r>
    </w:p>
    <w:p>
      <w:pPr>
        <w:spacing w:after="40"/>
        <w:jc w:val="center"/>
      </w:pPr>
      <w:r>
        <w:rPr>
          <w:rFonts w:ascii="Arial" w:cs="Arial" w:eastAsia="Arial" w:hAnsi="Arial"/>
          <w:b/>
          <w:bCs/>
          <w:color w:val="1E2761"/>
          <w:sz w:val="17"/>
          <w:szCs w:val="17"/>
        </w:rPr>
        <w:t xml:space="preserve">Contact Laminar for the full investment memorandum, data room access, and term sheet discussion.</w:t>
      </w:r>
    </w:p>
    <w:p>
      <w:pPr>
        <w:jc w:val="center"/>
      </w:pPr>
      <w:r>
        <w:rPr>
          <w:rFonts w:ascii="Arial" w:cs="Arial" w:eastAsia="Arial" w:hAnsi="Arial"/>
          <w:i/>
          <w:iCs/>
          <w:color w:val="4A5568"/>
          <w:sz w:val="13"/>
          <w:szCs w:val="13"/>
        </w:rPr>
        <w:t xml:space="preserve">This document is confidential and intended for qualified investors. It does not constitute an offer to sell or solicitation of an offer to buy any securities.</w:t>
      </w:r>
    </w:p>
    <w:sectPr>
      <w:headerReference w:type="default" r:id="rId6"/>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4A5568"/>
        <w:sz w:val="14"/>
        <w:szCs w:val="14"/>
      </w:rPr>
      <w:t xml:space="preserve">February 2026</w:t>
    </w:r>
    <w:r>
      <w:rPr>
        <w:rFonts w:ascii="Arial" w:cs="Arial" w:eastAsia="Arial" w:hAnsi="Arial"/>
        <w:color w:val="4A5568"/>
        <w:sz w:val="14"/>
        <w:szCs w:val="14"/>
      </w:rPr>
      <w:t xml:space="preserve">	Page </w:t>
    </w:r>
    <w:r>
      <w:rPr>
        <w:rFonts w:ascii="Arial" w:cs="Arial" w:eastAsia="Arial" w:hAnsi="Arial"/>
        <w:color w:val="4A5568"/>
        <w:sz w:val="14"/>
        <w:szCs w:val="14"/>
      </w:rPr>
      <w:fldChar w:fldCharType="begin"/>
      <w:instrText xml:space="preserve">PAGE</w:instrText>
      <w:fldChar w:fldCharType="separate"/>
      <w:fldChar w:fldCharType="end"/>
    </w:r>
    <w:r>
      <w:rPr>
        <w:rFonts w:ascii="Arial" w:cs="Arial" w:eastAsia="Arial" w:hAnsi="Arial"/>
        <w:color w:val="4A5568"/>
        <w:sz w:val="14"/>
        <w:szCs w:val="14"/>
      </w:rPr>
      <w:t xml:space="preserve"> of </w:t>
    </w:r>
    <w:r>
      <w:rPr>
        <w:rFonts w:ascii="Arial" w:cs="Arial" w:eastAsia="Arial" w:hAnsi="Arial"/>
        <w:color w:val="4A556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6"/>
      </w:pBdr>
      <w:tabs>
        <w:tab w:val="right" w:pos="9026"/>
      </w:tabs>
      <w:spacing w:after="0"/>
    </w:pPr>
    <w:r>
      <w:rPr>
        <w:rFonts w:ascii="Arial" w:cs="Arial" w:eastAsia="Arial" w:hAnsi="Arial"/>
        <w:b/>
        <w:bCs/>
        <w:color w:val="1E2761"/>
        <w:sz w:val="18"/>
        <w:szCs w:val="18"/>
      </w:rPr>
      <w:t xml:space="preserve">COBRA HOY</w:t>
    </w:r>
    <w:r>
      <w:rPr>
        <w:rFonts w:ascii="Arial" w:cs="Arial" w:eastAsia="Arial" w:hAnsi="Arial"/>
        <w:color w:val="4A5568"/>
        <w:sz w:val="15"/>
        <w:szCs w:val="15"/>
      </w:rPr>
      <w:t xml:space="preserve">	Laminar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718307656b3a96c04275cd31bde9bbc423198f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2026-02-26T21:24:36.531Z</dcterms:created>
  <dcterms:modified xsi:type="dcterms:W3CDTF">2026-02-26T21:24:36.531Z</dcterms:modified>
</cp:coreProperties>
</file>

<file path=docProps/custom.xml><?xml version="1.0" encoding="utf-8"?>
<Properties xmlns="http://schemas.openxmlformats.org/officeDocument/2006/custom-properties" xmlns:vt="http://schemas.openxmlformats.org/officeDocument/2006/docPropsVTypes"/>
</file>