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МІНІСТЕРСТВО ОСВІТИ І НАУКИ УКРАЇНИ</w:t>
      </w:r>
      <w:r>
        <w:rPr>
          <w:rStyle w:val="eop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НАЦІОНАЛЬНИЙ ТЕХНІЧНИЙ УНІВЕРСИТЕТ</w:t>
      </w:r>
      <w:r>
        <w:rPr>
          <w:rStyle w:val="eop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«ДНІПРОВСЬКА ПОЛІТЕХНІКА»</w:t>
      </w:r>
      <w:r>
        <w:rPr>
          <w:rStyle w:val="eop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alibri" w:eastAsia="Calibri" w:hAnsi="Calibri" w:cs="Calibri"/>
          <w:noProof/>
          <w:color w:val="000000"/>
          <w:sz w:val="20"/>
          <w:szCs w:val="22"/>
        </w:rPr>
        <w:drawing>
          <wp:inline distT="0" distB="0" distL="0" distR="0">
            <wp:extent cx="5227320" cy="2087880"/>
            <wp:effectExtent l="0" t="0" r="0" b="7620"/>
            <wp:docPr id="1" name="Рисунок 1" descr="C:\Users\User\AppData\Local\Microsoft\Windows\INetCache\Content.MSO\F7FFCA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F7FFCAE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Yu Gothic" w:eastAsia="Yu Gothic" w:hAnsi="Yu Gothic" w:cs="Segoe UI" w:hint="eastAsia"/>
          <w:sz w:val="8"/>
          <w:szCs w:val="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ind w:left="13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mbria" w:hAnsi="Cambria" w:cs="Segoe UI"/>
          <w:sz w:val="32"/>
          <w:szCs w:val="32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2"/>
          <w:szCs w:val="32"/>
        </w:rPr>
        <w:t>Факультет інформаційних технологій</w:t>
      </w:r>
      <w:r>
        <w:rPr>
          <w:rStyle w:val="eop"/>
          <w:sz w:val="32"/>
          <w:szCs w:val="32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sz w:val="32"/>
          <w:szCs w:val="32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ind w:right="-15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cs="Segoe UI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cs="Segoe UI" w:hint="eastAsia"/>
          <w:sz w:val="32"/>
          <w:szCs w:val="32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з</w:t>
      </w:r>
      <w:r>
        <w:rPr>
          <w:rStyle w:val="normaltextrun"/>
          <w:rFonts w:ascii="Yu Gothic" w:eastAsia="Yu Gothic" w:hAnsi="Yu Gothic" w:cs="Segoe UI" w:hint="eastAsia"/>
          <w:sz w:val="28"/>
          <w:szCs w:val="28"/>
        </w:rPr>
        <w:t xml:space="preserve"> </w:t>
      </w:r>
      <w:r>
        <w:rPr>
          <w:rStyle w:val="normaltextrun"/>
          <w:sz w:val="28"/>
          <w:szCs w:val="28"/>
        </w:rPr>
        <w:t>практичних</w:t>
      </w:r>
      <w:r>
        <w:rPr>
          <w:rStyle w:val="normaltextrun"/>
          <w:rFonts w:ascii="Yu Gothic" w:eastAsia="Yu Gothic" w:hAnsi="Yu Gothic" w:cs="Segoe UI" w:hint="eastAsia"/>
          <w:sz w:val="28"/>
          <w:szCs w:val="28"/>
        </w:rPr>
        <w:t xml:space="preserve"> </w:t>
      </w:r>
      <w:r>
        <w:rPr>
          <w:rStyle w:val="normaltextrun"/>
          <w:sz w:val="28"/>
          <w:szCs w:val="28"/>
        </w:rPr>
        <w:t>робіти</w:t>
      </w:r>
      <w:r>
        <w:rPr>
          <w:rStyle w:val="normaltextrun"/>
          <w:rFonts w:ascii="Yu Gothic" w:eastAsia="Yu Gothic" w:hAnsi="Yu Gothic" w:cs="Segoe UI" w:hint="eastAsia"/>
          <w:sz w:val="28"/>
          <w:szCs w:val="28"/>
        </w:rPr>
        <w:t xml:space="preserve"> </w:t>
      </w:r>
      <w:r>
        <w:rPr>
          <w:rStyle w:val="normaltextrun"/>
          <w:sz w:val="28"/>
          <w:szCs w:val="28"/>
        </w:rPr>
        <w:t>з</w:t>
      </w:r>
      <w:r>
        <w:rPr>
          <w:rStyle w:val="normaltextrun"/>
          <w:rFonts w:ascii="Yu Gothic" w:eastAsia="Yu Gothic" w:hAnsi="Yu Gothic" w:cs="Segoe UI" w:hint="eastAsia"/>
          <w:sz w:val="28"/>
          <w:szCs w:val="28"/>
        </w:rPr>
        <w:t xml:space="preserve"> </w:t>
      </w:r>
      <w:r>
        <w:rPr>
          <w:rStyle w:val="normaltextrun"/>
          <w:sz w:val="28"/>
          <w:szCs w:val="28"/>
        </w:rPr>
        <w:t>дисципліни</w:t>
      </w: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Yu Gothic" w:eastAsia="Yu Gothic" w:hAnsi="Yu Gothic" w:cs="Segoe UI" w:hint="eastAsia"/>
          <w:sz w:val="32"/>
          <w:szCs w:val="32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Style w:val="normaltextrun"/>
          <w:sz w:val="28"/>
          <w:szCs w:val="28"/>
        </w:rPr>
        <w:t>Викона</w:t>
      </w:r>
      <w:r>
        <w:rPr>
          <w:rStyle w:val="normaltextrun"/>
          <w:sz w:val="28"/>
          <w:szCs w:val="28"/>
        </w:rPr>
        <w:t>в</w:t>
      </w:r>
      <w:r>
        <w:rPr>
          <w:rStyle w:val="normaltextrun"/>
          <w:sz w:val="28"/>
          <w:szCs w:val="28"/>
        </w:rPr>
        <w:t>:</w:t>
      </w: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</w:rPr>
        <w:t>С</w:t>
      </w:r>
      <w:r>
        <w:rPr>
          <w:rStyle w:val="normaltextrun"/>
          <w:sz w:val="28"/>
          <w:szCs w:val="28"/>
        </w:rPr>
        <w:t>тудент</w:t>
      </w:r>
      <w:r>
        <w:rPr>
          <w:rStyle w:val="normaltextrun"/>
          <w:sz w:val="28"/>
          <w:szCs w:val="28"/>
        </w:rPr>
        <w:t xml:space="preserve"> </w:t>
      </w:r>
      <w:r>
        <w:rPr>
          <w:rStyle w:val="normaltextrun"/>
          <w:sz w:val="28"/>
          <w:szCs w:val="28"/>
        </w:rPr>
        <w:t>групи 124-22-1</w:t>
      </w:r>
      <w:r>
        <w:rPr>
          <w:rStyle w:val="eop"/>
          <w:sz w:val="28"/>
          <w:szCs w:val="28"/>
        </w:rPr>
        <w:t> </w:t>
      </w:r>
    </w:p>
    <w:p w:rsidR="0036383C" w:rsidRPr="0036383C" w:rsidRDefault="0036383C" w:rsidP="0036383C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18"/>
        </w:rPr>
      </w:pPr>
      <w:r w:rsidRPr="0036383C">
        <w:rPr>
          <w:sz w:val="28"/>
          <w:szCs w:val="18"/>
        </w:rPr>
        <w:t xml:space="preserve">Печерський Максим Андрійович </w:t>
      </w:r>
    </w:p>
    <w:p w:rsidR="0036383C" w:rsidRDefault="0036383C" w:rsidP="0036383C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Шевченко Ю.О.</w:t>
      </w: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Перевірили:</w:t>
      </w: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доц. </w:t>
      </w:r>
      <w:proofErr w:type="spellStart"/>
      <w:r>
        <w:rPr>
          <w:rStyle w:val="normaltextrun"/>
          <w:sz w:val="28"/>
          <w:szCs w:val="28"/>
        </w:rPr>
        <w:t>Мінєєв</w:t>
      </w:r>
      <w:proofErr w:type="spellEnd"/>
      <w:r>
        <w:rPr>
          <w:rStyle w:val="normaltextrun"/>
          <w:sz w:val="28"/>
          <w:szCs w:val="28"/>
        </w:rPr>
        <w:t xml:space="preserve"> О.С.</w:t>
      </w:r>
      <w:r>
        <w:rPr>
          <w:rStyle w:val="scxw219133251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sz w:val="28"/>
          <w:szCs w:val="28"/>
        </w:rPr>
        <w:t>ас. Шевченко Ю.О.</w:t>
      </w: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Дніпро</w:t>
      </w: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36383C" w:rsidRDefault="0036383C" w:rsidP="0036383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2025</w:t>
      </w:r>
      <w:r>
        <w:rPr>
          <w:rStyle w:val="eop"/>
          <w:sz w:val="28"/>
          <w:szCs w:val="28"/>
        </w:rPr>
        <w:t> </w:t>
      </w:r>
    </w:p>
    <w:p w:rsidR="0036383C" w:rsidRDefault="0036383C">
      <w:pPr>
        <w:spacing w:after="451"/>
        <w:ind w:left="-5"/>
      </w:pP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Об’єкт тестування: Настільна лампа.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Короткий опис:</w:t>
      </w:r>
    </w:p>
    <w:p w:rsidR="00B53B3A" w:rsidRPr="0036383C" w:rsidRDefault="0036383C">
      <w:pPr>
        <w:spacing w:after="456"/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Настільна лампа складається з таких частин: підстава, стійка, шарнірний механізм, плафон, LED-лампа та кнопка керування. Лампа має функції увімкнення/вимкнення, регулювання яскравості та зміну кута нахилу.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 xml:space="preserve">20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увімкнення лампи.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Pre-condition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під’єднана до живлення.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Кроки: Натиснути кнопку увімкнення.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вмикається.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вимкнення лампи.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Pre-condition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увімкнена.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Кроки: Натиснути кнопку вимкнення.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вимикається.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</w:t>
      </w:r>
      <w:r w:rsidRPr="0036383C">
        <w:rPr>
          <w:rFonts w:ascii="Times New Roman" w:hAnsi="Times New Roman" w:cs="Times New Roman"/>
          <w:sz w:val="28"/>
          <w:szCs w:val="28"/>
        </w:rPr>
        <w:t>ва: Перевірка регулювання яскравості (мінімум).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Кроки: Установити яскравість на мінімум.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Яскравість зменшується до мінімального рівня.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регулювання яскравості (максимум).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Кроки: Установити яскравість на максимум.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</w:t>
      </w:r>
      <w:r w:rsidRPr="0036383C">
        <w:rPr>
          <w:rFonts w:ascii="Times New Roman" w:hAnsi="Times New Roman" w:cs="Times New Roman"/>
          <w:sz w:val="28"/>
          <w:szCs w:val="28"/>
        </w:rPr>
        <w:t>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Яскравість збільшується до максимального рівня.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lastRenderedPageBreak/>
        <w:t>Назва: Перевірка стабільності лампи на поверхні.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Кроки: Встановити лампу на рівну поверхню.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не хитається.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нахилу плафона вперед.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Кроки: Нахилити плафон уперед.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</w:t>
      </w:r>
      <w:r w:rsidRPr="0036383C">
        <w:rPr>
          <w:rFonts w:ascii="Times New Roman" w:hAnsi="Times New Roman" w:cs="Times New Roman"/>
          <w:sz w:val="28"/>
          <w:szCs w:val="28"/>
        </w:rPr>
        <w:t>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Конструкція надійно фіксується.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нахилу плафона назад.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Плафон не провисає, фіксація стабільна.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нагріву лампи після 1 години роботи.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Корпус не перегрівається.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роботи LED після 100 циклів увімкнення/вимкнення.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працює без збоїв.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Негативний тест — увімкнення без живлення.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не вмикається.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цілісності кнопки після 500 натискань.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</w:t>
      </w:r>
      <w:r w:rsidRPr="0036383C">
        <w:rPr>
          <w:rFonts w:ascii="Times New Roman" w:hAnsi="Times New Roman" w:cs="Times New Roman"/>
          <w:sz w:val="28"/>
          <w:szCs w:val="28"/>
        </w:rPr>
        <w:t>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Кнопка працює нормально.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рівномірності світла.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Відсутні мерехтіння.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кабелю на механічні пошкодження.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Кабель цілий.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lastRenderedPageBreak/>
        <w:t>Назва: Перевірка сумісності з іншою LED-лампочкою.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працює.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стійкості при випадковому дотику.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не падає.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максимально можливого кута нахилу.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Лампа не ламається.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функції плавного регулювання яскравості.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</w:t>
      </w:r>
      <w:r w:rsidRPr="0036383C">
        <w:rPr>
          <w:rFonts w:ascii="Times New Roman" w:hAnsi="Times New Roman" w:cs="Times New Roman"/>
          <w:sz w:val="28"/>
          <w:szCs w:val="28"/>
        </w:rPr>
        <w:t>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Немає ривків під час регулювання.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наявності запаху пластику після нагріву.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Немає неприємного запаху.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роботи індикатора живлення.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Індикатор світиться при у</w:t>
      </w:r>
      <w:bookmarkStart w:id="0" w:name="_GoBack"/>
      <w:bookmarkEnd w:id="0"/>
      <w:r w:rsidRPr="0036383C">
        <w:rPr>
          <w:rFonts w:ascii="Times New Roman" w:hAnsi="Times New Roman" w:cs="Times New Roman"/>
          <w:sz w:val="28"/>
          <w:szCs w:val="28"/>
        </w:rPr>
        <w:t>вімкненні.</w:t>
      </w:r>
    </w:p>
    <w:p w:rsidR="00B53B3A" w:rsidRPr="0036383C" w:rsidRDefault="0036383C">
      <w:pPr>
        <w:numPr>
          <w:ilvl w:val="0"/>
          <w:numId w:val="1"/>
        </w:numPr>
        <w:ind w:hanging="382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Назва: Перевірка безпечності — відсутність іскор під час роботи.</w:t>
      </w:r>
    </w:p>
    <w:p w:rsidR="00B53B3A" w:rsidRPr="0036383C" w:rsidRDefault="0036383C">
      <w:pPr>
        <w:spacing w:after="45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: Робота стабільна, іскри відсутні.</w:t>
      </w:r>
    </w:p>
    <w:p w:rsidR="00B53B3A" w:rsidRPr="0036383C" w:rsidRDefault="0036383C">
      <w:pPr>
        <w:ind w:left="-5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Контрольні питання:</w:t>
      </w:r>
    </w:p>
    <w:p w:rsidR="00B53B3A" w:rsidRPr="0036383C" w:rsidRDefault="0036383C">
      <w:pPr>
        <w:numPr>
          <w:ilvl w:val="0"/>
          <w:numId w:val="2"/>
        </w:numPr>
        <w:ind w:hanging="254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 xml:space="preserve">Навіщо потрібні тест-кейси? — Для документування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перевірокфункціональності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продукту.</w:t>
      </w:r>
    </w:p>
    <w:p w:rsidR="00B53B3A" w:rsidRPr="0036383C" w:rsidRDefault="0036383C">
      <w:pPr>
        <w:numPr>
          <w:ilvl w:val="0"/>
          <w:numId w:val="2"/>
        </w:numPr>
        <w:ind w:hanging="254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 xml:space="preserve">Основні атрибути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— Назва,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Pre-condition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Result,Post-condition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.</w:t>
      </w:r>
    </w:p>
    <w:p w:rsidR="00B53B3A" w:rsidRPr="0036383C" w:rsidRDefault="0036383C">
      <w:pPr>
        <w:numPr>
          <w:ilvl w:val="0"/>
          <w:numId w:val="2"/>
        </w:numPr>
        <w:ind w:hanging="254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Типи тест-кейсів — позитивні, негативні, функціональні, нефункціональні.</w:t>
      </w:r>
    </w:p>
    <w:p w:rsidR="00B53B3A" w:rsidRPr="0036383C" w:rsidRDefault="0036383C">
      <w:pPr>
        <w:numPr>
          <w:ilvl w:val="0"/>
          <w:numId w:val="2"/>
        </w:numPr>
        <w:ind w:hanging="254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lastRenderedPageBreak/>
        <w:t>Що таке негативний тест-кейс? — Перевірка некоректних дій або даних.</w:t>
      </w:r>
    </w:p>
    <w:p w:rsidR="00B53B3A" w:rsidRPr="0036383C" w:rsidRDefault="0036383C">
      <w:pPr>
        <w:numPr>
          <w:ilvl w:val="0"/>
          <w:numId w:val="2"/>
        </w:numPr>
        <w:ind w:hanging="254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 xml:space="preserve">Що повинен знати 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тестува</w:t>
      </w:r>
      <w:r w:rsidRPr="0036383C">
        <w:rPr>
          <w:rFonts w:ascii="Times New Roman" w:hAnsi="Times New Roman" w:cs="Times New Roman"/>
          <w:sz w:val="28"/>
          <w:szCs w:val="28"/>
        </w:rPr>
        <w:t>льник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>? — Основи тестування, техніки тест-</w:t>
      </w:r>
      <w:proofErr w:type="spellStart"/>
      <w:r w:rsidRPr="0036383C">
        <w:rPr>
          <w:rFonts w:ascii="Times New Roman" w:hAnsi="Times New Roman" w:cs="Times New Roman"/>
          <w:sz w:val="28"/>
          <w:szCs w:val="28"/>
        </w:rPr>
        <w:t>дизайну,аналітичні</w:t>
      </w:r>
      <w:proofErr w:type="spellEnd"/>
      <w:r w:rsidRPr="0036383C">
        <w:rPr>
          <w:rFonts w:ascii="Times New Roman" w:hAnsi="Times New Roman" w:cs="Times New Roman"/>
          <w:sz w:val="28"/>
          <w:szCs w:val="28"/>
        </w:rPr>
        <w:t xml:space="preserve"> навички.</w:t>
      </w:r>
    </w:p>
    <w:p w:rsidR="00B53B3A" w:rsidRPr="0036383C" w:rsidRDefault="0036383C">
      <w:pPr>
        <w:numPr>
          <w:ilvl w:val="0"/>
          <w:numId w:val="2"/>
        </w:numPr>
        <w:ind w:hanging="254"/>
        <w:rPr>
          <w:rFonts w:ascii="Times New Roman" w:hAnsi="Times New Roman" w:cs="Times New Roman"/>
          <w:sz w:val="28"/>
          <w:szCs w:val="28"/>
        </w:rPr>
      </w:pPr>
      <w:r w:rsidRPr="0036383C">
        <w:rPr>
          <w:rFonts w:ascii="Times New Roman" w:hAnsi="Times New Roman" w:cs="Times New Roman"/>
          <w:sz w:val="28"/>
          <w:szCs w:val="28"/>
        </w:rPr>
        <w:t>Скільки основних принципів тестування — 7.</w:t>
      </w:r>
    </w:p>
    <w:sectPr w:rsidR="00B53B3A" w:rsidRPr="0036383C">
      <w:pgSz w:w="11906" w:h="16838"/>
      <w:pgMar w:top="1608" w:right="1680" w:bottom="1831" w:left="156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B7E85"/>
    <w:multiLevelType w:val="hybridMultilevel"/>
    <w:tmpl w:val="1D826724"/>
    <w:lvl w:ilvl="0" w:tplc="533A39F0">
      <w:start w:val="1"/>
      <w:numFmt w:val="decimal"/>
      <w:lvlText w:val="%1."/>
      <w:lvlJc w:val="left"/>
      <w:pPr>
        <w:ind w:left="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B047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72F6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3ED8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FC24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449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62A5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CA0F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403B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EB4669"/>
    <w:multiLevelType w:val="hybridMultilevel"/>
    <w:tmpl w:val="BBF8886E"/>
    <w:lvl w:ilvl="0" w:tplc="4C9EC90E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56E1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02E6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8C82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CAA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CABD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6C76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8C31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42F9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B3A"/>
    <w:rsid w:val="0036383C"/>
    <w:rsid w:val="00B5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E6473"/>
  <w15:docId w15:val="{4AD86756-0FAA-4623-8A8C-3070891C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13" w:line="265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36383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a0"/>
    <w:rsid w:val="0036383C"/>
  </w:style>
  <w:style w:type="character" w:customStyle="1" w:styleId="eop">
    <w:name w:val="eop"/>
    <w:basedOn w:val="a0"/>
    <w:rsid w:val="0036383C"/>
  </w:style>
  <w:style w:type="character" w:customStyle="1" w:styleId="scxw219133251">
    <w:name w:val="scxw219133251"/>
    <w:basedOn w:val="a0"/>
    <w:rsid w:val="00363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0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2182</Words>
  <Characters>1245</Characters>
  <Application>Microsoft Office Word</Application>
  <DocSecurity>0</DocSecurity>
  <Lines>10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and121379g@gmail.com</cp:lastModifiedBy>
  <cp:revision>2</cp:revision>
  <dcterms:created xsi:type="dcterms:W3CDTF">2025-11-19T18:01:00Z</dcterms:created>
  <dcterms:modified xsi:type="dcterms:W3CDTF">2025-11-19T18:01:00Z</dcterms:modified>
</cp:coreProperties>
</file>