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results</w:t>
      </w:r>
    </w:p>
    <w:p>
      <w:pPr>
        <w:pStyle w:val="FirstParagraph"/>
      </w:pPr>
      <w:r>
        <w:t xml:space="preserve">compare survival curves (input and output)</w:t>
      </w:r>
    </w:p>
    <w:p>
      <w:pPr>
        <w:pStyle w:val="BodyText"/>
      </w:pPr>
      <w:r>
        <w:t xml:space="preserve">time from 1st progression to model start (diagnosis to 1st prog or 1st prog to 2nd prog)</w:t>
      </w:r>
    </w:p>
    <w:p>
      <w:pPr>
        <w:pStyle w:val="BodyText"/>
      </w:pPr>
      <w:r>
        <w:t xml:space="preserve">time to death</w:t>
      </w:r>
    </w:p>
    <w:p>
      <w:pPr>
        <w:pStyle w:val="BodyText"/>
      </w:pPr>
      <w:r>
        <w:t xml:space="preserve">survival curves best/2nd best: choose the one that best reflects clinicians input (rather than AIC/BIC), use Exponential (force things to go down quicker, as clinicians don’t expect the flattening)</w:t>
      </w:r>
    </w:p>
    <w:p>
      <w:pPr>
        <w:pStyle w:val="BodyText"/>
      </w:pPr>
      <w:r>
        <w:t xml:space="preserve">discounting scenarios and 2nd-best distribution</w:t>
      </w:r>
    </w:p>
    <w:bookmarkStart w:id="20" w:name="data-location"/>
    <w:p>
      <w:pPr>
        <w:pStyle w:val="Heading2"/>
      </w:pPr>
      <w:r>
        <w:t xml:space="preserve">Data location</w:t>
      </w:r>
    </w:p>
    <w:p>
      <w:pPr>
        <w:pStyle w:val="FirstParagraph"/>
      </w:pPr>
      <w:r>
        <w:t xml:space="preserve">The files are spread out over 5 folders.</w:t>
      </w:r>
    </w:p>
    <w:bookmarkEnd w:id="20"/>
    <w:bookmarkStart w:id="27" w:name="table-2-abstract"/>
    <w:p>
      <w:pPr>
        <w:pStyle w:val="Heading2"/>
      </w:pPr>
      <w:r>
        <w:t xml:space="preserve">Table 2 &amp; Abstract</w:t>
      </w:r>
    </w:p>
    <w:p>
      <w:pPr>
        <w:pStyle w:val="FirstParagraph"/>
      </w:pPr>
      <w:r>
        <w:t xml:space="preserve">Coding the following:</w:t>
      </w:r>
    </w:p>
    <w:p>
      <w:pPr>
        <w:pStyle w:val="BodyText"/>
      </w:pPr>
      <w:r>
        <w:t xml:space="preserve">Table 2:Estimates of life-years after diagnosis, QALYs (Discounted) and Costs (Discounted) Estimates reported with 95% Confidence Interval in brackets. All costs are given in Canadian dollars.</w:t>
      </w:r>
    </w:p>
    <w:p>
      <w:pPr>
        <w:pStyle w:val="BodyText"/>
      </w:pPr>
      <w:r>
        <w:t xml:space="preserve">Abstract results</w:t>
      </w:r>
    </w:p>
    <w:p>
      <w:pPr>
        <w:pStyle w:val="BodyText"/>
      </w:pPr>
      <w:r>
        <w:rPr>
          <w:bCs/>
          <w:b/>
        </w:rPr>
        <w:t xml:space="preserve">Table 2</w:t>
      </w:r>
      <w:r>
        <w:t xml:space="preserve">: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4236"/>
        <w:tblLook w:firstRow="1" w:lastRow="0" w:firstColumn="0" w:lastColumn="0" w:noHBand="0" w:noVBand="0" w:val="0020"/>
        <w:jc w:val="start"/>
        <w:tblCaption w:val="Table continues below"/>
      </w:tblPr>
      <w:tblGrid>
        <w:gridCol w:w="3080"/>
        <w:gridCol w:w="36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intervention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Life-years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29.63 (19.5;38.16)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QALY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13.19 (8.89;16.79)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Total Cost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$2,698,305</w:t>
            </w:r>
            <w:r>
              <w:t xml:space="preserve"> </w:t>
            </w:r>
            <w:r>
              <w:t xml:space="preserve">($1,866,948;$3,397,022)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Non-Targeted PLGG related</w:t>
            </w:r>
            <w:r>
              <w:t xml:space="preserve"> </w:t>
            </w:r>
            <w:r>
              <w:t xml:space="preserve">costs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$223,956</w:t>
            </w:r>
            <w:r>
              <w:t xml:space="preserve"> </w:t>
            </w:r>
            <w:r>
              <w:t xml:space="preserve">($164,660;$275,894)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AE related costs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$130,264 ($61,210;$199,507)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Targeted costs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$2,344,086</w:t>
            </w:r>
            <w:r>
              <w:t xml:space="preserve"> </w:t>
            </w:r>
            <w:r>
              <w:t xml:space="preserve">($1,536,732;$3,024,149)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Radiation costs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$0 ($0;$0)</w:t>
            </w:r>
          </w:p>
        </w:tc>
      </w:tr>
    </w:tbl>
    <w:p/>
    <w:tbl>
      <w:tblPr>
        <w:tblStyle w:val="Table"/>
        <w:tblW w:type="pct" w:w="4375"/>
        <w:tblLook w:firstRow="1" w:lastRow="0" w:firstColumn="0" w:lastColumn="0" w:noHBand="0" w:noVBand="0" w:val="0020"/>
        <w:jc w:val="start"/>
      </w:tblPr>
      <w:tblGrid>
        <w:gridCol w:w="363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29.17 (18.71;37.96)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 (-0.17;1.19)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12.61 (8.3;16.24)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 (0.24;1.06)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$394,517</w:t>
            </w:r>
            <w:r>
              <w:t xml:space="preserve"> </w:t>
            </w:r>
            <w:r>
              <w:t xml:space="preserve">($368,238;$419,239)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$2,303,788</w:t>
            </w:r>
            <w:r>
              <w:t xml:space="preserve"> </w:t>
            </w:r>
            <w:r>
              <w:t xml:space="preserve">($1,497,916;$2,983,128)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$260,478</w:t>
            </w:r>
            <w:r>
              <w:t xml:space="preserve"> </w:t>
            </w:r>
            <w:r>
              <w:t xml:space="preserve">($202,621;$318,205)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$-36,522</w:t>
            </w:r>
            <w:r>
              <w:t xml:space="preserve"> </w:t>
            </w:r>
            <w:r>
              <w:t xml:space="preserve">($-46,411;$-26,540)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$134,039 ($48,097;$206,633)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$-3,775 ($-8,297;$1,462)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$0 ($0;$0)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$2,344,086</w:t>
            </w:r>
            <w:r>
              <w:t xml:space="preserve"> </w:t>
            </w:r>
            <w:r>
              <w:t xml:space="preserve">($1,536,732;$3,024,149)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$0 ($0;$0)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$0 ($0;$0)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anuscript_results_temp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anuscript_results_temp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supplementary-table-1"/>
    <w:p>
      <w:pPr>
        <w:pStyle w:val="Heading2"/>
      </w:pPr>
      <w:r>
        <w:t xml:space="preserve">Supplementary Table 1</w:t>
      </w:r>
    </w:p>
    <w:p>
      <w:pPr>
        <w:pStyle w:val="FirstParagraph"/>
      </w:pPr>
      <w:r>
        <w:t xml:space="preserve">Supplementary Table 1: Estimates of life-years after diagnosis, QALYs (Discounted) and Costs (Discounted), for fused patients, and fused patients who progressed.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results</dc:title>
  <dc:creator/>
  <cp:keywords/>
  <dcterms:created xsi:type="dcterms:W3CDTF">2024-02-05T03:29:56Z</dcterms:created>
  <dcterms:modified xsi:type="dcterms:W3CDTF">2024-02-05T03:29:56Z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