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28"/>
        </w:rPr>
        <w:t xml:space="preserve">Screening for drought tolerance in </w:t>
      </w:r>
      <w:r>
        <w:rPr>
          <w:rFonts w:ascii="Times New Roman" w:hAnsi="Times New Roman"/>
          <w:b/>
          <w:i/>
          <w:sz w:val="28"/>
        </w:rPr>
        <w:t>Capsicum</w:t>
      </w:r>
      <w:r>
        <w:rPr>
          <w:rFonts w:ascii="Times New Roman" w:hAnsi="Times New Roman"/>
          <w:b/>
          <w:i w:val="0"/>
          <w:sz w:val="28"/>
        </w:rPr>
        <w:t xml:space="preserve"> and the Solanaceae: methodological assumptions, an unresolved predictive link, and a cost-tiered path to markers</w:t>
      </w:r>
    </w:p>
    <w:p>
      <w:pPr>
        <w:spacing w:before="0"/>
        <w:jc w:val="left"/>
      </w:pPr>
      <w:r>
        <w:rPr>
          <w:rFonts w:ascii="Times New Roman" w:hAnsi="Times New Roman"/>
          <w:b w:val="0"/>
          <w:i w:val="0"/>
          <w:sz w:val="20"/>
        </w:rPr>
        <w:t>[Author details removed for blind review]</w:t>
      </w:r>
    </w:p>
    <w:p>
      <w:pPr>
        <w:spacing w:before="0"/>
        <w:jc w:val="left"/>
      </w:pPr>
      <w:r>
        <w:rPr>
          <w:rFonts w:ascii="Times New Roman" w:hAnsi="Times New Roman"/>
          <w:b w:val="0"/>
          <w:i w:val="0"/>
          <w:sz w:val="20"/>
        </w:rPr>
        <w:t>Running title: Drought screening in Capsicum and the Solanaceae</w:t>
      </w:r>
    </w:p>
    <w:p>
      <w:pPr>
        <w:spacing w:before="240" w:after="80"/>
      </w:pPr>
      <w:r>
        <w:rPr>
          <w:rFonts w:ascii="Times New Roman" w:hAnsi="Times New Roman"/>
          <w:b/>
          <w:sz w:val="24"/>
        </w:rPr>
        <w:t>ABSTRACT</w:t>
      </w:r>
    </w:p>
    <w:p>
      <w:pPr>
        <w:spacing w:before="0"/>
        <w:jc w:val="both"/>
      </w:pPr>
      <w:r>
        <w:rPr>
          <w:rFonts w:ascii="Times New Roman" w:hAnsi="Times New Roman"/>
          <w:b w:val="0"/>
          <w:i w:val="0"/>
          <w:sz w:val="24"/>
        </w:rPr>
        <w:t xml:space="preserve">Drought limits productivity across the Solanaceae, and early-stage screening with polyethylene glycol (PEG) has become the standard low-cost route to identifying tolerant genotypes in chilli pepper, tomato and eggplant. It requires no field season and has produced tolerant germplasm in every crop tested. This review assesses what that screening can support. Four findings emerge. First, the physicochemical basis of the treatment is less secure than its customary presentation implies: PEG solutions are non-colligative, their osmotic potential is temperature- and molecular-weight-dependent, and the assumption that PEG does not enter plant tissue is contradicted by direct measurement, including in </w:t>
      </w:r>
      <w:r>
        <w:rPr>
          <w:rFonts w:ascii="Times New Roman" w:hAnsi="Times New Roman"/>
          <w:b w:val="0"/>
          <w:i/>
          <w:sz w:val="24"/>
        </w:rPr>
        <w:t>Capsicum</w:t>
      </w:r>
      <w:r>
        <w:rPr>
          <w:rFonts w:ascii="Times New Roman" w:hAnsi="Times New Roman"/>
          <w:b w:val="0"/>
          <w:i w:val="0"/>
          <w:sz w:val="24"/>
        </w:rPr>
        <w:t xml:space="preserve"> itself. Impurity and detergent effects were tested and rejected decades ago yet are still cited as established artefacts. Second, the field's default statistical treatment of germination data is inappropriate to the conditions osmotic screening creates, driving means toward 0% and 100% where normal-error assumptions fail. Third, whether early-stage rankings predict field performance is unresolved: of studies testing transfer across stages, four support it and four contradict it, and the disagreement tracks design choices rather than biology alone. In </w:t>
      </w:r>
      <w:r>
        <w:rPr>
          <w:rFonts w:ascii="Times New Roman" w:hAnsi="Times New Roman"/>
          <w:b w:val="0"/>
          <w:i/>
          <w:sz w:val="24"/>
        </w:rPr>
        <w:t>Capsicum</w:t>
      </w:r>
      <w:r>
        <w:rPr>
          <w:rFonts w:ascii="Times New Roman" w:hAnsi="Times New Roman"/>
          <w:b w:val="0"/>
          <w:i w:val="0"/>
          <w:sz w:val="24"/>
        </w:rPr>
        <w:t>, the question remains untested. Fourth, the molecular route is more accessible than pepper's transformation recalcitrance suggests: virus-induced gene silencing and heritable gene editing now allow tissue-culture-free validation. We propose a four-stage framework and a fifteen-item reporting standard, six items of which require no additional experiment. The single substantive change — reporting the proportion of screen-selected genotypes that prove superior in the field — would answer that question using data screening programmes already generate.</w:t>
      </w:r>
    </w:p>
    <w:p>
      <w:pPr>
        <w:spacing w:before="0"/>
        <w:jc w:val="both"/>
      </w:pPr>
      <w:r>
        <w:rPr>
          <w:rFonts w:ascii="Times New Roman" w:hAnsi="Times New Roman"/>
          <w:b w:val="0"/>
          <w:i w:val="0"/>
          <w:sz w:val="24"/>
        </w:rPr>
        <w:t xml:space="preserve">Keywords: </w:t>
      </w:r>
      <w:r>
        <w:rPr>
          <w:rFonts w:ascii="Times New Roman" w:hAnsi="Times New Roman"/>
          <w:b w:val="0"/>
          <w:i/>
          <w:sz w:val="24"/>
        </w:rPr>
        <w:t>Capsicum annuum</w:t>
      </w:r>
      <w:r>
        <w:rPr>
          <w:rFonts w:ascii="Times New Roman" w:hAnsi="Times New Roman"/>
          <w:b w:val="0"/>
          <w:i w:val="0"/>
          <w:sz w:val="24"/>
        </w:rPr>
        <w:t>; polyethylene glycol; drought tolerance; genotype screening; Solanaceae; reporting standards</w:t>
      </w:r>
    </w:p>
    <w:p>
      <w:pPr>
        <w:spacing w:before="240" w:after="80"/>
      </w:pPr>
      <w:r>
        <w:rPr>
          <w:rFonts w:ascii="Times New Roman" w:hAnsi="Times New Roman"/>
          <w:b/>
          <w:sz w:val="24"/>
        </w:rPr>
        <w:t>1. INTRODUCTION</w:t>
      </w:r>
    </w:p>
    <w:p>
      <w:pPr>
        <w:spacing w:before="0"/>
        <w:jc w:val="both"/>
      </w:pPr>
      <w:r>
        <w:rPr>
          <w:rFonts w:ascii="Times New Roman" w:hAnsi="Times New Roman"/>
          <w:b w:val="0"/>
          <w:i w:val="0"/>
          <w:sz w:val="24"/>
        </w:rPr>
        <w:t>Genotype screening at germination and the early seedling stage has become the practical entry point. Seeds are germinated in Petri dishes containing an osmoticum — almost always polyethylene glycol (PEG) of molecular weight 6000 or 8000 — at one to four concentrations, and germination and seedling traits are scored. The approach has obvious appeal. It requires no field season and no specialised equipment. A few hundred genotypes can be ranked within weeks at negligible cost. The method has been applied independently by many groups, and it has produced concrete tolerant germplasm in chilli (Sharma et al., 2024), tomato (Yadav et al., 2025) and eggplant (Krommydas et al., 2025) alike.</w:t>
      </w:r>
    </w:p>
    <w:p>
      <w:pPr>
        <w:spacing w:before="0"/>
        <w:jc w:val="both"/>
      </w:pPr>
      <w:r>
        <w:rPr>
          <w:rFonts w:ascii="Times New Roman" w:hAnsi="Times New Roman"/>
          <w:b w:val="0"/>
          <w:i w:val="0"/>
          <w:sz w:val="24"/>
        </w:rPr>
        <w:t xml:space="preserve">That literature is the subject of this review, and the question it addresses is not whether the method works. It does. The question is </w:t>
      </w:r>
      <w:r>
        <w:rPr>
          <w:rFonts w:ascii="Times New Roman" w:hAnsi="Times New Roman"/>
          <w:b/>
          <w:i w:val="0"/>
          <w:sz w:val="24"/>
        </w:rPr>
        <w:t>how far its outputs can be generalised</w:t>
      </w:r>
      <w:r>
        <w:rPr>
          <w:rFonts w:ascii="Times New Roman" w:hAnsi="Times New Roman"/>
          <w:b w:val="0"/>
          <w:i w:val="0"/>
          <w:sz w:val="24"/>
        </w:rPr>
        <w:t>, and specifically whether a genotype ranked as tolerant in a Petri dish is more likely to perform well under field drought at the stage where yield is determined. This question matters because breeding programmes act on screening outputs: genotypes are advanced, crossed and discarded on the basis of rankings obtained at a developmental stage that is not the stage under selection in the field.</w:t>
      </w:r>
    </w:p>
    <w:p>
      <w:pPr>
        <w:spacing w:before="0"/>
        <w:jc w:val="both"/>
      </w:pPr>
      <w:r>
        <w:rPr>
          <w:rFonts w:ascii="Times New Roman" w:hAnsi="Times New Roman"/>
          <w:b w:val="0"/>
          <w:i w:val="0"/>
          <w:sz w:val="24"/>
        </w:rPr>
        <w:t xml:space="preserve">Three features of the current state of knowledge make the question tractable now. The physicochemical behaviour of PEG has been characterised in detail (Lagerwerff et al., 1961; Lawlor, 1970; Michel and Kaufmann, 1973; Money, 1989), including several behaviours that bear directly on how screening results should be interpreted. Sufficient studies now exist that test the same genotypes at more than one developmental stage, which was not the case a decade ago. And the molecular tools available for </w:t>
      </w:r>
      <w:r>
        <w:rPr>
          <w:rFonts w:ascii="Times New Roman" w:hAnsi="Times New Roman"/>
          <w:b w:val="0"/>
          <w:i/>
          <w:sz w:val="24"/>
        </w:rPr>
        <w:t>Capsicum</w:t>
      </w:r>
      <w:r>
        <w:rPr>
          <w:rFonts w:ascii="Times New Roman" w:hAnsi="Times New Roman"/>
          <w:b w:val="0"/>
          <w:i w:val="0"/>
          <w:sz w:val="24"/>
        </w:rPr>
        <w:t xml:space="preserve"> have changed: virus-induced gene silencing and, most recently, heritable virus-induced gene editing now permit functional testing in pepper without the stable transformation that has historically been the crop's principal limitation.</w:t>
      </w:r>
    </w:p>
    <w:p>
      <w:pPr>
        <w:spacing w:before="240" w:after="80"/>
      </w:pPr>
      <w:r>
        <w:rPr>
          <w:rFonts w:ascii="Times New Roman" w:hAnsi="Times New Roman"/>
          <w:b/>
          <w:sz w:val="24"/>
        </w:rPr>
        <w:t>1.1 Scope and boundaries</w:t>
      </w:r>
    </w:p>
    <w:p>
      <w:pPr>
        <w:spacing w:before="0"/>
        <w:jc w:val="both"/>
      </w:pPr>
      <w:r>
        <w:rPr>
          <w:rFonts w:ascii="Times New Roman" w:hAnsi="Times New Roman"/>
          <w:b w:val="0"/>
          <w:i w:val="0"/>
          <w:sz w:val="24"/>
        </w:rPr>
        <w:t xml:space="preserve">The review takes </w:t>
      </w:r>
      <w:r>
        <w:rPr>
          <w:rFonts w:ascii="Times New Roman" w:hAnsi="Times New Roman"/>
          <w:b w:val="0"/>
          <w:i/>
          <w:sz w:val="24"/>
        </w:rPr>
        <w:t>Capsicum annuum</w:t>
      </w:r>
      <w:r>
        <w:rPr>
          <w:rFonts w:ascii="Times New Roman" w:hAnsi="Times New Roman"/>
          <w:b w:val="0"/>
          <w:i w:val="0"/>
          <w:sz w:val="24"/>
        </w:rPr>
        <w:t xml:space="preserve"> as its primary subject and draws comparative evidence from tomato, eggplant and wild </w:t>
      </w:r>
      <w:r>
        <w:rPr>
          <w:rFonts w:ascii="Times New Roman" w:hAnsi="Times New Roman"/>
          <w:b w:val="0"/>
          <w:i/>
          <w:sz w:val="24"/>
        </w:rPr>
        <w:t>Solanum</w:t>
      </w:r>
      <w:r>
        <w:rPr>
          <w:rFonts w:ascii="Times New Roman" w:hAnsi="Times New Roman"/>
          <w:b w:val="0"/>
          <w:i w:val="0"/>
          <w:sz w:val="24"/>
        </w:rPr>
        <w:t xml:space="preserve"> species, for two reasons. The three crops share the screening methodology almost exactly, which makes cross-crop comparison informative; and they differ markedly in the depth of genetic resources available, which makes the comparison diagnostic. Section 5 develops this comparison in detail.</w:t>
      </w:r>
    </w:p>
    <w:p>
      <w:pPr>
        <w:spacing w:before="0"/>
        <w:jc w:val="both"/>
      </w:pPr>
      <w:r>
        <w:rPr>
          <w:rFonts w:ascii="Times New Roman" w:hAnsi="Times New Roman"/>
          <w:b w:val="0"/>
          <w:i w:val="0"/>
          <w:sz w:val="24"/>
        </w:rPr>
        <w:t>The review covers osmotic stress simulation and its physicochemical basis, the germplasm-level screening literature, the evidence on transfer between developmental stages, and low-cost genotyping options for laboratories with limited infrastructure. It does not cover salinity or heat tolerance, transgenic breeding as a strategy, or the quantitative genetics of drought tolerance except as needed to interpret screening outputs.</w:t>
      </w:r>
    </w:p>
    <w:p>
      <w:pPr>
        <w:spacing w:before="240" w:after="80"/>
      </w:pPr>
      <w:r>
        <w:rPr>
          <w:rFonts w:ascii="Times New Roman" w:hAnsi="Times New Roman"/>
          <w:b/>
          <w:sz w:val="24"/>
        </w:rPr>
        <w:t>1.2 Relationship to existing reviews</w:t>
      </w:r>
    </w:p>
    <w:p>
      <w:pPr>
        <w:spacing w:before="0"/>
        <w:jc w:val="both"/>
      </w:pPr>
      <w:r>
        <w:rPr>
          <w:rFonts w:ascii="Times New Roman" w:hAnsi="Times New Roman"/>
          <w:b w:val="0"/>
          <w:i w:val="0"/>
          <w:sz w:val="24"/>
        </w:rPr>
        <w:t>Drought tolerance in the Solanaceae has been reviewed, most comprehensively for molecular and genetic mechanisms across the family (Pang et al., 2024), and separately for tomato omics, non-coding RNAs and genome editing (Taheri et al., 2022). These reviews address the mechanistic and genomic basis of tolerance. This review addresses a different question: what the widely used screening methodology can and cannot support, and how its outputs should be reported so that they accumulate. The distinction is not merely one of emphasis. A protein interaction or a validated locus is a durable result independent of how the study was designed. A genotype ranking derived from a single-stage screen is not, because its value depends entirely on whether the ranking transfers — and that is the question this review examines.</w:t>
      </w:r>
    </w:p>
    <w:p>
      <w:pPr>
        <w:spacing w:before="240" w:after="80"/>
      </w:pPr>
      <w:r>
        <w:rPr>
          <w:rFonts w:ascii="Times New Roman" w:hAnsi="Times New Roman"/>
          <w:b/>
          <w:sz w:val="24"/>
        </w:rPr>
        <w:t>1.3 Method of this review</w:t>
      </w:r>
    </w:p>
    <w:p>
      <w:pPr>
        <w:spacing w:before="0"/>
        <w:jc w:val="both"/>
      </w:pPr>
      <w:r>
        <w:rPr>
          <w:rFonts w:ascii="Times New Roman" w:hAnsi="Times New Roman"/>
          <w:b w:val="0"/>
          <w:i w:val="0"/>
          <w:sz w:val="24"/>
        </w:rPr>
        <w:t xml:space="preserve">This is a critical rather than systematic review. A meta-analysis is not achievable in this area: published screening studies use different PEG concentrations and molecular weights, different trait sets, different tolerance indices, and mostly report no measures of variance, so no common effect size can be extracted. The literature was searched for studies of osmotic or PEG-induced stress screening in </w:t>
      </w:r>
      <w:r>
        <w:rPr>
          <w:rFonts w:ascii="Times New Roman" w:hAnsi="Times New Roman"/>
          <w:b w:val="0"/>
          <w:i/>
          <w:sz w:val="24"/>
        </w:rPr>
        <w:t>Capsicum</w:t>
      </w:r>
      <w:r>
        <w:rPr>
          <w:rFonts w:ascii="Times New Roman" w:hAnsi="Times New Roman"/>
          <w:b w:val="0"/>
          <w:i w:val="0"/>
          <w:sz w:val="24"/>
        </w:rPr>
        <w:t xml:space="preserve">, tomato, eggplant and wild </w:t>
      </w:r>
      <w:r>
        <w:rPr>
          <w:rFonts w:ascii="Times New Roman" w:hAnsi="Times New Roman"/>
          <w:b w:val="0"/>
          <w:i/>
          <w:sz w:val="24"/>
        </w:rPr>
        <w:t>Solanum</w:t>
      </w:r>
      <w:r>
        <w:rPr>
          <w:rFonts w:ascii="Times New Roman" w:hAnsi="Times New Roman"/>
          <w:b w:val="0"/>
          <w:i w:val="0"/>
          <w:sz w:val="24"/>
        </w:rPr>
        <w:t>, and additionally for studies testing the same genotypes at more than one developmental stage in any crop, on the reasoning that cross-stage transfer is a general question for which cereal evidence is informative. Priority was given to studies reporting quantitative outcomes with statistics. The search was not exhaustive and may have missed relevant work; statements about the state of the literature are correspondingly qualified.</w:t>
      </w:r>
    </w:p>
    <w:p>
      <w:pPr>
        <w:spacing w:before="240" w:after="80"/>
      </w:pPr>
      <w:r>
        <w:rPr>
          <w:rFonts w:ascii="Times New Roman" w:hAnsi="Times New Roman"/>
          <w:b/>
          <w:sz w:val="24"/>
        </w:rPr>
        <w:t>2. OSMOTIC STRESS SIMULATION: CHEMISTRY, CONTESTED ASSUMPTIONS AND DOCUMENTED ARTEFACTS</w:t>
      </w:r>
    </w:p>
    <w:p>
      <w:pPr>
        <w:spacing w:before="0"/>
        <w:jc w:val="both"/>
      </w:pPr>
      <w:r>
        <w:rPr>
          <w:rFonts w:ascii="Times New Roman" w:hAnsi="Times New Roman"/>
          <w:b w:val="0"/>
          <w:i w:val="0"/>
          <w:sz w:val="24"/>
        </w:rPr>
        <w:t>Every screening study in this literature rests on the same substitution: water deficit is replaced by an osmoticum applied at a nominal concentration. This section examines that substitution, because the limitations of the treatment determine what the screens can show. It is placed before the screening results for that reason.</w:t>
      </w:r>
    </w:p>
    <w:p>
      <w:pPr>
        <w:spacing w:before="240" w:after="80"/>
      </w:pPr>
      <w:r>
        <w:rPr>
          <w:rFonts w:ascii="Times New Roman" w:hAnsi="Times New Roman"/>
          <w:b/>
          <w:sz w:val="24"/>
        </w:rPr>
        <w:t>2.1 PEG is a polymer series, not a reagent</w:t>
      </w:r>
    </w:p>
    <w:p>
      <w:pPr>
        <w:spacing w:before="0"/>
        <w:jc w:val="both"/>
      </w:pPr>
      <w:r>
        <w:rPr>
          <w:rFonts w:ascii="Times New Roman" w:hAnsi="Times New Roman"/>
          <w:b w:val="0"/>
          <w:i w:val="0"/>
          <w:sz w:val="24"/>
        </w:rPr>
        <w:t>"PEG" describes polymers from molecular weight 200 to 20,000, and the literature treats them as interchangeable. They are not.</w:t>
      </w:r>
    </w:p>
    <w:p>
      <w:pPr>
        <w:spacing w:before="0"/>
        <w:jc w:val="both"/>
      </w:pPr>
      <w:r>
        <w:rPr>
          <w:rFonts w:ascii="Times New Roman" w:hAnsi="Times New Roman"/>
          <w:b w:val="0"/>
          <w:i w:val="0"/>
          <w:sz w:val="24"/>
        </w:rPr>
        <w:t xml:space="preserve">Osmotic pressure at equal mass concentration varies systematically with molecular weight. Measurements across PEGs of </w:t>
      </w:r>
      <w:r>
        <w:rPr>
          <w:rFonts w:ascii="Times New Roman" w:hAnsi="Times New Roman"/>
          <w:b w:val="0"/>
          <w:i/>
          <w:sz w:val="24"/>
        </w:rPr>
        <w:t>M</w:t>
      </w:r>
      <w:r>
        <w:rPr>
          <w:rFonts w:ascii="Times New Roman" w:hAnsi="Times New Roman"/>
          <w:b w:val="0"/>
          <w:i w:val="0"/>
          <w:sz w:val="24"/>
        </w:rPr>
        <w:t>ᵣ 200–10,000 established that low molecular weight PEGs generate higher osmotic pressure than high molecular weight PEGs at the same mass concentration, the relationship being governed by the ratio of concentration to molecular weight. A 15% (w/v) solution of PEG 400 and of PEG 6000 are therefore not equivalent treatments (Money, 1989), yet screening papers routinely report a percentage without stating molecular weight — although the majority use PEG 6000.</w:t>
      </w:r>
    </w:p>
    <w:p>
      <w:pPr>
        <w:spacing w:before="0"/>
        <w:jc w:val="both"/>
      </w:pPr>
      <w:r>
        <w:rPr>
          <w:rFonts w:ascii="Times New Roman" w:hAnsi="Times New Roman"/>
          <w:b w:val="0"/>
          <w:i w:val="0"/>
          <w:sz w:val="24"/>
        </w:rPr>
        <w:t>Molecular weight also determines where the stress acts. In common bean root tips the site of action depends on molecular weight: glycerol and PEG 4000 act mainly in the cytoplasm, whereas PEG 6000 additionally dehydrates the apoplast and reduces cell-wall porosity (Yang et al., 2010). High-molecular-weight PEG is thus not merely excluded from the tissue; it dehydrates a specific compartment.</w:t>
      </w:r>
    </w:p>
    <w:p>
      <w:pPr>
        <w:spacing w:before="0"/>
        <w:jc w:val="both"/>
      </w:pPr>
      <w:r>
        <w:rPr>
          <w:rFonts w:ascii="Times New Roman" w:hAnsi="Times New Roman"/>
          <w:b w:val="0"/>
          <w:i w:val="0"/>
          <w:sz w:val="24"/>
        </w:rPr>
        <w:t xml:space="preserve">The most directly relevant evidence comes from </w:t>
      </w:r>
      <w:r>
        <w:rPr>
          <w:rFonts w:ascii="Times New Roman" w:hAnsi="Times New Roman"/>
          <w:b w:val="0"/>
          <w:i/>
          <w:sz w:val="24"/>
        </w:rPr>
        <w:t>Capsicum</w:t>
      </w:r>
      <w:r>
        <w:rPr>
          <w:rFonts w:ascii="Times New Roman" w:hAnsi="Times New Roman"/>
          <w:b w:val="0"/>
          <w:i w:val="0"/>
          <w:sz w:val="24"/>
        </w:rPr>
        <w:t xml:space="preserve"> itself. Pepper plants were grown in nutrient solutions at −3.0 or −5.0 bar using PEG of molecular weights 400, 600, 1000, 1540 and 4000 (Lagerwerff et al., 1961; Janes, 1974). PEG of 1000 and 1540 was judged most satisfactory as an osmoticum; PEG accumulated in plant tissue in inverse proportion to its molecular weight, increased at lower osmotic potentials, and accumulated over time; and the major proportion of absorbed PEG 4000 was retained in the roots rather than translocated. The osmoticum is not a passive background variable, and this was demonstrated in the review's focal crop fifty years ago.</w:t>
      </w:r>
    </w:p>
    <w:p>
      <w:pPr>
        <w:spacing w:before="240" w:after="80"/>
      </w:pPr>
      <w:r>
        <w:rPr>
          <w:rFonts w:ascii="Times New Roman" w:hAnsi="Times New Roman"/>
          <w:b/>
          <w:sz w:val="24"/>
        </w:rPr>
        <w:t>2.2 Concentration is not osmotic potential, for three reasons</w:t>
      </w:r>
    </w:p>
    <w:p>
      <w:pPr>
        <w:spacing w:before="0"/>
        <w:jc w:val="both"/>
      </w:pPr>
      <w:r>
        <w:rPr>
          <w:rFonts w:ascii="Times New Roman" w:hAnsi="Times New Roman"/>
          <w:b/>
          <w:i w:val="0"/>
          <w:sz w:val="24"/>
        </w:rPr>
        <w:t>PEG solutions are non-colligative.</w:t>
      </w:r>
      <w:r>
        <w:rPr>
          <w:rFonts w:ascii="Times New Roman" w:hAnsi="Times New Roman"/>
          <w:b w:val="0"/>
          <w:i w:val="0"/>
          <w:sz w:val="24"/>
        </w:rPr>
        <w:t xml:space="preserve"> PEG does not behave as an ideal solute. Solution measurements showed that PEG produces a greater osmotic effect than the number of dissolved molecules accounts for (Money, 1989), with the discrepancy correlating with polymer mass and attributed to water sequestration. Freezing-point osmometry overestimates relative to vapour pressure osmometry, partly because PEG inhibits ice crystallisation and thereby distorts the measurement. Nominal concentration-to-potential conversion tables therefore carry an error of unstated magnitude, and applying the standard relation shows how large that can be. At 25 °C, 10% PEG-6000 corresponds to approximately −0.15 MPa and 20% to approximately −0.49 MPa (Figure 2), values that agree with published applications of the equation (Sivakumar et al., 2014). Screens reporting more negative potentials at the same nominal percentage are not necessarily wrong — molecular weight, temperature and w/v versus w/w all shift the answer — but stated potentials should be traced to the primary source before studies are compared.</w:t>
      </w:r>
    </w:p>
    <w:p>
      <w:pPr>
        <w:jc w:val="center"/>
      </w:pPr>
      <w:r>
        <w:drawing>
          <wp:inline xmlns:a="http://schemas.openxmlformats.org/drawingml/2006/main" xmlns:pic="http://schemas.openxmlformats.org/drawingml/2006/picture">
            <wp:extent cx="3780000" cy="3027012"/>
            <wp:docPr id="1" name="Picture 1"/>
            <wp:cNvGraphicFramePr>
              <a:graphicFrameLocks noChangeAspect="1"/>
            </wp:cNvGraphicFramePr>
            <a:graphic>
              <a:graphicData uri="http://schemas.openxmlformats.org/drawingml/2006/picture">
                <pic:pic>
                  <pic:nvPicPr>
                    <pic:cNvPr id="0" name="figure-2-peg-conversion.png"/>
                    <pic:cNvPicPr/>
                  </pic:nvPicPr>
                  <pic:blipFill>
                    <a:blip r:embed="rId9"/>
                    <a:stretch>
                      <a:fillRect/>
                    </a:stretch>
                  </pic:blipFill>
                  <pic:spPr>
                    <a:xfrm>
                      <a:off x="0" y="0"/>
                      <a:ext cx="3780000" cy="3027012"/>
                    </a:xfrm>
                    <a:prstGeom prst="rect"/>
                  </pic:spPr>
                </pic:pic>
              </a:graphicData>
            </a:graphic>
          </wp:inline>
        </w:drawing>
      </w:r>
    </w:p>
    <w:p>
      <w:pPr>
        <w:spacing w:before="0"/>
        <w:jc w:val="both"/>
      </w:pPr>
      <w:r>
        <w:rPr>
          <w:rFonts w:ascii="Times New Roman" w:hAnsi="Times New Roman"/>
          <w:b/>
          <w:i w:val="0"/>
          <w:sz w:val="24"/>
        </w:rPr>
        <w:t>Osmotic potential is temperature-dependent.</w:t>
      </w:r>
      <w:r>
        <w:rPr>
          <w:rFonts w:ascii="Times New Roman" w:hAnsi="Times New Roman"/>
          <w:b w:val="0"/>
          <w:i w:val="0"/>
          <w:sz w:val="24"/>
        </w:rPr>
        <w:t xml:space="preserve"> The standard empirical equation for PEG-6000 expresses osmotic potential as curvilinearly related to concentration and linearly increasing with temperature, over a validity range of 15–35 °C (Michel and Kaufmann, 1973; McClendon, 1981). A screening experiment at 20 °C and one at 30 °C apply different stresses at the same stated concentration. Incubation temperature is a treatment variable that is rarely reported as one.</w:t>
      </w:r>
    </w:p>
    <w:p>
      <w:pPr>
        <w:spacing w:before="0"/>
        <w:jc w:val="both"/>
      </w:pPr>
      <w:r>
        <w:rPr>
          <w:rFonts w:ascii="Times New Roman" w:hAnsi="Times New Roman"/>
          <w:b/>
          <w:i w:val="0"/>
          <w:sz w:val="24"/>
        </w:rPr>
        <w:t>Measurement method determines the answer.</w:t>
      </w:r>
      <w:r>
        <w:rPr>
          <w:rFonts w:ascii="Times New Roman" w:hAnsi="Times New Roman"/>
          <w:b w:val="0"/>
          <w:i w:val="0"/>
          <w:sz w:val="24"/>
        </w:rPr>
        <w:t xml:space="preserve"> The same reference explicitly notes that thermocouple psychrometer readings are more negative than vapour pressure osmometer readings, and judges the psychrometer closer to correct for bulk solutions (Michel and Kaufmann, 1973). Subsequent work has confirmed that differences between osmometer types are large enough to matter. A statement that osmotic potential was measured is therefore incomplete; the instrument must be specified.</w:t>
      </w:r>
    </w:p>
    <w:p>
      <w:pPr>
        <w:spacing w:before="240" w:after="80"/>
      </w:pPr>
      <w:r>
        <w:rPr>
          <w:rFonts w:ascii="Times New Roman" w:hAnsi="Times New Roman"/>
          <w:b/>
          <w:sz w:val="24"/>
        </w:rPr>
        <w:t>2.3 The penetration question: an assumption that does not hold as stated</w:t>
      </w:r>
    </w:p>
    <w:p>
      <w:pPr>
        <w:spacing w:before="0"/>
        <w:jc w:val="both"/>
      </w:pPr>
      <w:r>
        <w:rPr>
          <w:rFonts w:ascii="Times New Roman" w:hAnsi="Times New Roman"/>
          <w:b w:val="0"/>
          <w:i w:val="0"/>
          <w:sz w:val="24"/>
        </w:rPr>
        <w:t>The standard justification for PEG over mannitol or sucrose is that PEG is excluded from plant tissue, so the stress it imposes is purely osmotic with no confounding uptake. This argument appears in the introduction of most PEG screening papers and is the reason PEG displaced mannitol as the osmoticum of choice. The measurements that exist do not support it in the form in which it is usually stated.</w:t>
      </w:r>
    </w:p>
    <w:p>
      <w:pPr>
        <w:spacing w:before="0"/>
        <w:jc w:val="both"/>
      </w:pPr>
      <w:r>
        <w:rPr>
          <w:rFonts w:ascii="Times New Roman" w:hAnsi="Times New Roman"/>
          <w:b w:val="0"/>
          <w:i w:val="0"/>
          <w:sz w:val="24"/>
        </w:rPr>
        <w:t>Direct measurement in maize, bean, cotton and tulip tree found that PEG of molecular weight 1000 and above entered plants at approximately 1 mg per gram leaf fresh weight per week (Lawlor, 1970), with entry substantially increased where roots were mechanically damaged or exposed to low water potentials — that is, under the conditions a drought experiment creates. Autoradiography localised absorbed PEG 4000 initially at leaf margins and subsequently through the mesophyll. As noted above, the same behaviour was documented in pepper (Janes, 1974).</w:t>
      </w:r>
    </w:p>
    <w:p>
      <w:pPr>
        <w:spacing w:before="0"/>
        <w:jc w:val="both"/>
      </w:pPr>
      <w:r>
        <w:rPr>
          <w:rFonts w:ascii="Times New Roman" w:hAnsi="Times New Roman"/>
          <w:b w:val="0"/>
          <w:i w:val="0"/>
          <w:sz w:val="24"/>
        </w:rPr>
        <w:t>Two qualifications should be stated, because the picture is not one-sided. Entry at high molecular weight is slow, and over a 7–10 day germination assay the absolute quantity taken up is small. And much of the applied literature asserts non-penetration as established, which makes the assumption conventional rather than contested. But an assertion repeated in introductions is not a measurement, and the measurements that exist point the other way, at least for lower molecular weights and for stressed or damaged roots.</w:t>
      </w:r>
    </w:p>
    <w:p>
      <w:pPr>
        <w:spacing w:before="0"/>
        <w:jc w:val="both"/>
      </w:pPr>
      <w:r>
        <w:rPr>
          <w:rFonts w:ascii="Times New Roman" w:hAnsi="Times New Roman"/>
          <w:b w:val="0"/>
          <w:i w:val="0"/>
          <w:sz w:val="24"/>
        </w:rPr>
        <w:t>The consequence for interpretation is specific. If PEG can enter tissue, a treatment described as purely osmotic may carry a solute-loading component whose magnitude depends on molecular weight, duration, root integrity and stress intensity — all of which vary across the studies reviewed here. The appropriate conclusion is not that PEG screening is invalid, but that its mechanism of action is less well characterised than the standard justification implies, and that the justification should be presented as an assumption rather than a finding.</w:t>
      </w:r>
    </w:p>
    <w:p>
      <w:pPr>
        <w:spacing w:before="0"/>
        <w:jc w:val="both"/>
      </w:pPr>
      <w:r>
        <w:rPr>
          <w:rFonts w:ascii="Times New Roman" w:hAnsi="Times New Roman"/>
          <w:b w:val="0"/>
          <w:i w:val="0"/>
          <w:sz w:val="24"/>
        </w:rPr>
        <w:t xml:space="preserve">This also means the choice of PEG over mannitol is less decisive than it is usually presented as being. The critique of mannitol — that it is taken up and metabolised — is correct, but the contrast is one of degree rather than kind. The comparative evidence is genuinely mixed. A study across </w:t>
      </w:r>
      <w:r>
        <w:rPr>
          <w:rFonts w:ascii="Times New Roman" w:hAnsi="Times New Roman"/>
          <w:b w:val="0"/>
          <w:i/>
          <w:sz w:val="24"/>
        </w:rPr>
        <w:t>Cucurbita</w:t>
      </w:r>
      <w:r>
        <w:rPr>
          <w:rFonts w:ascii="Times New Roman" w:hAnsi="Times New Roman"/>
          <w:b w:val="0"/>
          <w:i w:val="0"/>
          <w:sz w:val="24"/>
        </w:rPr>
        <w:t xml:space="preserve"> landraces concluded that mannitol simulated osmotic stress better than PEG for most attributes and concentrations (Tajaragh et al., 2022). A durum wheat study reached the opposite conclusion, finding PEG superior and noting that mannitol's effects were reversible, consistent with uptake (Bousba et al., 2021). The ranking of osmotica is unresolved.</w:t>
      </w:r>
    </w:p>
    <w:p>
      <w:pPr>
        <w:spacing w:before="240" w:after="80"/>
      </w:pPr>
      <w:r>
        <w:rPr>
          <w:rFonts w:ascii="Times New Roman" w:hAnsi="Times New Roman"/>
          <w:b/>
          <w:sz w:val="24"/>
        </w:rPr>
        <w:t>2.4 Established artefacts, and two hypotheses that were tested and rejected</w:t>
      </w:r>
    </w:p>
    <w:p>
      <w:pPr>
        <w:spacing w:before="0"/>
        <w:jc w:val="both"/>
      </w:pPr>
      <w:r>
        <w:rPr>
          <w:rFonts w:ascii="Times New Roman" w:hAnsi="Times New Roman"/>
          <w:b w:val="0"/>
          <w:i w:val="0"/>
          <w:sz w:val="24"/>
        </w:rPr>
        <w:t>Separating what is established from what is assumed, and from what has been tested and ruled out, is essential here because the literature does not consistently make this distinction.</w:t>
      </w:r>
    </w:p>
    <w:p>
      <w:pPr>
        <w:spacing w:before="0"/>
        <w:jc w:val="both"/>
      </w:pPr>
      <w:r>
        <w:rPr>
          <w:rFonts w:ascii="Times New Roman" w:hAnsi="Times New Roman"/>
          <w:b/>
          <w:i w:val="0"/>
          <w:sz w:val="24"/>
        </w:rPr>
        <w:t>Established.</w:t>
      </w:r>
      <w:r>
        <w:rPr>
          <w:rFonts w:ascii="Times New Roman" w:hAnsi="Times New Roman"/>
          <w:b w:val="0"/>
          <w:i w:val="0"/>
          <w:sz w:val="24"/>
        </w:rPr>
        <w:t xml:space="preserve"> High concentrations of PEG increase solution viscosity, limiting oxygen diffusion to roots and imposing a hypoxic component that is not part of a water-deficit treatment. This is seldom reported or controlled. More striking, a comparison across three woody species found that PEG-induced stress produced the same decline in water potential as soil drying but significantly greater membrane injury and larger reductions in net photosynthesis and stomatal conductance, with slower recovery after relief; even brief exposure was more damaging than soil drought (Fan and Blake, 1997).</w:t>
      </w:r>
    </w:p>
    <w:p>
      <w:pPr>
        <w:spacing w:before="0"/>
        <w:jc w:val="both"/>
      </w:pPr>
      <w:r>
        <w:rPr>
          <w:rFonts w:ascii="Times New Roman" w:hAnsi="Times New Roman"/>
          <w:b/>
          <w:i w:val="0"/>
          <w:sz w:val="24"/>
        </w:rPr>
        <w:t>Tested and rejected.</w:t>
      </w:r>
      <w:r>
        <w:rPr>
          <w:rFonts w:ascii="Times New Roman" w:hAnsi="Times New Roman"/>
          <w:b w:val="0"/>
          <w:i w:val="0"/>
          <w:sz w:val="24"/>
        </w:rPr>
        <w:t xml:space="preserve"> It is frequently stated that impurities in commercial PEG contribute to its effects. This was tested directly: PEG purified by gel filtration was compared with unpurified material, and maize growth was unaffected (Lawlor, 1970). Sephadex chromatography further showed that passage through the plant did not alter average molecular weight, indicating no selective absorption of contaminant small molecules. It is also stated that PEG's detergent properties cause toxicity; comparison with non-ionic detergents ruled this out (Lawlor, 1970). The mechanism favoured instead was physical blockage of the water-movement pathway, reducing water absorption and desiccating the plant.</w:t>
      </w:r>
    </w:p>
    <w:p>
      <w:pPr>
        <w:spacing w:before="0"/>
        <w:jc w:val="both"/>
      </w:pPr>
      <w:r>
        <w:rPr>
          <w:rFonts w:ascii="Times New Roman" w:hAnsi="Times New Roman"/>
          <w:b/>
          <w:i w:val="0"/>
          <w:sz w:val="24"/>
        </w:rPr>
        <w:t>Counter-evidence must be reported alongside these criticisms.</w:t>
      </w:r>
      <w:r>
        <w:rPr>
          <w:rFonts w:ascii="Times New Roman" w:hAnsi="Times New Roman"/>
          <w:b w:val="0"/>
          <w:i w:val="0"/>
          <w:sz w:val="24"/>
        </w:rPr>
        <w:t xml:space="preserve"> A study simulating drought in five pasture species found that under non-limiting soil contact and water-flow conditions, the equivalence of osmotic and matric potential held for all species examined, and concluded that PEG solutions served as a satisfactory medium for studying the effect of true drought on seed germination (Sharma, 1973). That is a genuine endorsement of PEG for the specific application this review concerns, and it should be weighed against the criticisms in the following section.</w:t>
      </w:r>
    </w:p>
    <w:p>
      <w:pPr>
        <w:spacing w:before="240" w:after="80"/>
      </w:pPr>
      <w:r>
        <w:rPr>
          <w:rFonts w:ascii="Times New Roman" w:hAnsi="Times New Roman"/>
          <w:b/>
          <w:sz w:val="24"/>
        </w:rPr>
        <w:t>2.5 Alternatives</w:t>
      </w:r>
    </w:p>
    <w:p>
      <w:pPr>
        <w:spacing w:before="0"/>
        <w:jc w:val="both"/>
      </w:pPr>
      <w:r>
        <w:rPr>
          <w:rFonts w:ascii="Times New Roman" w:hAnsi="Times New Roman"/>
          <w:b w:val="0"/>
          <w:i w:val="0"/>
          <w:sz w:val="24"/>
        </w:rPr>
        <w:t>Table 1 sets out the osmotica that are actually used, with the documented limitation of each.</w:t>
      </w:r>
    </w:p>
    <w:p>
      <w:pPr>
        <w:spacing w:before="240" w:after="80"/>
      </w:pPr>
      <w:r>
        <w:rPr>
          <w:rFonts w:ascii="Times New Roman" w:hAnsi="Times New Roman"/>
          <w:b/>
          <w:sz w:val="22"/>
        </w:rPr>
        <w:t>Table 1 — Osmotic agents compared</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20"/>
            </w:pPr>
            <w:r>
              <w:rPr>
                <w:rFonts w:ascii="Times New Roman" w:hAnsi="Times New Roman"/>
                <w:b/>
                <w:i w:val="0"/>
                <w:sz w:val="16"/>
              </w:rPr>
              <w:t>Agent</w:t>
            </w:r>
          </w:p>
        </w:tc>
        <w:tc>
          <w:tcPr>
            <w:tcW w:type="dxa" w:w="2351"/>
          </w:tcPr>
          <w:p>
            <w:pPr>
              <w:spacing w:line="240" w:lineRule="auto" w:after="20"/>
            </w:pPr>
            <w:r>
              <w:rPr>
                <w:rFonts w:ascii="Times New Roman" w:hAnsi="Times New Roman"/>
                <w:b/>
                <w:i w:val="0"/>
                <w:sz w:val="16"/>
              </w:rPr>
              <w:t>Mechanism</w:t>
            </w:r>
          </w:p>
        </w:tc>
        <w:tc>
          <w:tcPr>
            <w:tcW w:type="dxa" w:w="2351"/>
          </w:tcPr>
          <w:p>
            <w:pPr>
              <w:spacing w:line="240" w:lineRule="auto" w:after="20"/>
            </w:pPr>
            <w:r>
              <w:rPr>
                <w:rFonts w:ascii="Times New Roman" w:hAnsi="Times New Roman"/>
                <w:b/>
                <w:i w:val="0"/>
                <w:sz w:val="16"/>
              </w:rPr>
              <w:t>Documented limitation</w:t>
            </w:r>
          </w:p>
        </w:tc>
        <w:tc>
          <w:tcPr>
            <w:tcW w:type="dxa" w:w="2351"/>
          </w:tcPr>
          <w:p>
            <w:pPr>
              <w:spacing w:line="240" w:lineRule="auto" w:after="20"/>
            </w:pPr>
            <w:r>
              <w:rPr>
                <w:rFonts w:ascii="Times New Roman" w:hAnsi="Times New Roman"/>
                <w:b/>
                <w:i w:val="0"/>
                <w:sz w:val="16"/>
              </w:rPr>
              <w:t>Key reference</w:t>
            </w:r>
          </w:p>
        </w:tc>
      </w:tr>
      <w:tr>
        <w:tc>
          <w:tcPr>
            <w:tcW w:type="dxa" w:w="2351"/>
          </w:tcPr>
          <w:p>
            <w:pPr>
              <w:spacing w:line="240" w:lineRule="auto" w:after="20"/>
            </w:pPr>
            <w:r>
              <w:rPr>
                <w:rFonts w:ascii="Times New Roman" w:hAnsi="Times New Roman"/>
                <w:b w:val="0"/>
                <w:i w:val="0"/>
                <w:sz w:val="16"/>
              </w:rPr>
              <w:t>PEG 6000 / 8000</w:t>
            </w:r>
          </w:p>
        </w:tc>
        <w:tc>
          <w:tcPr>
            <w:tcW w:type="dxa" w:w="2351"/>
          </w:tcPr>
          <w:p>
            <w:pPr>
              <w:spacing w:line="240" w:lineRule="auto" w:after="20"/>
            </w:pPr>
            <w:r>
              <w:rPr>
                <w:rFonts w:ascii="Times New Roman" w:hAnsi="Times New Roman"/>
                <w:b w:val="0"/>
                <w:i w:val="0"/>
                <w:sz w:val="16"/>
              </w:rPr>
              <w:t>Non-penetrating osmoticum (assumed)</w:t>
            </w:r>
          </w:p>
        </w:tc>
        <w:tc>
          <w:tcPr>
            <w:tcW w:type="dxa" w:w="2351"/>
          </w:tcPr>
          <w:p>
            <w:pPr>
              <w:spacing w:line="240" w:lineRule="auto" w:after="20"/>
            </w:pPr>
            <w:r>
              <w:rPr>
                <w:rFonts w:ascii="Times New Roman" w:hAnsi="Times New Roman"/>
                <w:b w:val="0"/>
                <w:i w:val="0"/>
                <w:sz w:val="16"/>
              </w:rPr>
              <w:t>Non-colligative; temperature-dependent; uptake demonstrated at lower MW; viscosity imposes hypoxia</w:t>
            </w:r>
          </w:p>
        </w:tc>
        <w:tc>
          <w:tcPr>
            <w:tcW w:type="dxa" w:w="2351"/>
          </w:tcPr>
          <w:p>
            <w:pPr>
              <w:spacing w:line="240" w:lineRule="auto" w:after="20"/>
            </w:pPr>
            <w:r>
              <w:rPr>
                <w:rFonts w:ascii="Times New Roman" w:hAnsi="Times New Roman"/>
                <w:b w:val="0"/>
                <w:i w:val="0"/>
                <w:sz w:val="16"/>
              </w:rPr>
              <w:t>Michel and Kaufmann (1973); Money (1989); Lawlor (1970)</w:t>
            </w:r>
          </w:p>
        </w:tc>
      </w:tr>
      <w:tr>
        <w:tc>
          <w:tcPr>
            <w:tcW w:type="dxa" w:w="2351"/>
          </w:tcPr>
          <w:p>
            <w:pPr>
              <w:spacing w:line="240" w:lineRule="auto" w:after="20"/>
            </w:pPr>
            <w:r>
              <w:rPr>
                <w:rFonts w:ascii="Times New Roman" w:hAnsi="Times New Roman"/>
                <w:b w:val="0"/>
                <w:i w:val="0"/>
                <w:sz w:val="16"/>
              </w:rPr>
              <w:t>Mannitol</w:t>
            </w:r>
          </w:p>
        </w:tc>
        <w:tc>
          <w:tcPr>
            <w:tcW w:type="dxa" w:w="2351"/>
          </w:tcPr>
          <w:p>
            <w:pPr>
              <w:spacing w:line="240" w:lineRule="auto" w:after="20"/>
            </w:pPr>
            <w:r>
              <w:rPr>
                <w:rFonts w:ascii="Times New Roman" w:hAnsi="Times New Roman"/>
                <w:b w:val="0"/>
                <w:i w:val="0"/>
                <w:sz w:val="16"/>
              </w:rPr>
              <w:t>Sugar alcohol osmoticum</w:t>
            </w:r>
          </w:p>
        </w:tc>
        <w:tc>
          <w:tcPr>
            <w:tcW w:type="dxa" w:w="2351"/>
          </w:tcPr>
          <w:p>
            <w:pPr>
              <w:spacing w:line="240" w:lineRule="auto" w:after="20"/>
            </w:pPr>
            <w:r>
              <w:rPr>
                <w:rFonts w:ascii="Times New Roman" w:hAnsi="Times New Roman"/>
                <w:b w:val="0"/>
                <w:i w:val="0"/>
                <w:sz w:val="16"/>
              </w:rPr>
              <w:t>Taken up into apoplast and symplast; effects partially reversible</w:t>
            </w:r>
          </w:p>
        </w:tc>
        <w:tc>
          <w:tcPr>
            <w:tcW w:type="dxa" w:w="2351"/>
          </w:tcPr>
          <w:p>
            <w:pPr>
              <w:spacing w:line="240" w:lineRule="auto" w:after="20"/>
            </w:pPr>
            <w:r>
              <w:rPr>
                <w:rFonts w:ascii="Times New Roman" w:hAnsi="Times New Roman"/>
                <w:b w:val="0"/>
                <w:i w:val="0"/>
                <w:sz w:val="16"/>
              </w:rPr>
              <w:t>Tajaragh et al. (2022)</w:t>
            </w:r>
          </w:p>
        </w:tc>
      </w:tr>
      <w:tr>
        <w:tc>
          <w:tcPr>
            <w:tcW w:type="dxa" w:w="2351"/>
          </w:tcPr>
          <w:p>
            <w:pPr>
              <w:spacing w:line="240" w:lineRule="auto" w:after="20"/>
            </w:pPr>
            <w:r>
              <w:rPr>
                <w:rFonts w:ascii="Times New Roman" w:hAnsi="Times New Roman"/>
                <w:b w:val="0"/>
                <w:i w:val="0"/>
                <w:sz w:val="16"/>
              </w:rPr>
              <w:t>Sorbitol</w:t>
            </w:r>
          </w:p>
        </w:tc>
        <w:tc>
          <w:tcPr>
            <w:tcW w:type="dxa" w:w="2351"/>
          </w:tcPr>
          <w:p>
            <w:pPr>
              <w:spacing w:line="240" w:lineRule="auto" w:after="20"/>
            </w:pPr>
            <w:r>
              <w:rPr>
                <w:rFonts w:ascii="Times New Roman" w:hAnsi="Times New Roman"/>
                <w:b w:val="0"/>
                <w:i w:val="0"/>
                <w:sz w:val="16"/>
              </w:rPr>
              <w:t>Sugar alcohol</w:t>
            </w:r>
          </w:p>
        </w:tc>
        <w:tc>
          <w:tcPr>
            <w:tcW w:type="dxa" w:w="2351"/>
          </w:tcPr>
          <w:p>
            <w:pPr>
              <w:spacing w:line="240" w:lineRule="auto" w:after="20"/>
            </w:pPr>
            <w:r>
              <w:rPr>
                <w:rFonts w:ascii="Times New Roman" w:hAnsi="Times New Roman"/>
                <w:b w:val="0"/>
                <w:i w:val="0"/>
                <w:sz w:val="16"/>
              </w:rPr>
              <w:t>Same class of problem; metabolisable</w:t>
            </w:r>
          </w:p>
        </w:tc>
        <w:tc>
          <w:tcPr>
            <w:tcW w:type="dxa" w:w="2351"/>
          </w:tcPr>
          <w:p>
            <w:pPr>
              <w:spacing w:line="240" w:lineRule="auto" w:after="20"/>
            </w:pPr>
            <w:r>
              <w:rPr>
                <w:rFonts w:ascii="Times New Roman" w:hAnsi="Times New Roman"/>
                <w:b w:val="0"/>
                <w:i w:val="0"/>
                <w:sz w:val="16"/>
              </w:rPr>
              <w:t>Sajid and Aftab (2022)</w:t>
            </w:r>
          </w:p>
        </w:tc>
      </w:tr>
      <w:tr>
        <w:tc>
          <w:tcPr>
            <w:tcW w:type="dxa" w:w="2351"/>
          </w:tcPr>
          <w:p>
            <w:pPr>
              <w:spacing w:line="240" w:lineRule="auto" w:after="20"/>
            </w:pPr>
            <w:r>
              <w:rPr>
                <w:rFonts w:ascii="Times New Roman" w:hAnsi="Times New Roman"/>
                <w:b w:val="0"/>
                <w:i w:val="0"/>
                <w:sz w:val="16"/>
              </w:rPr>
              <w:t>Sucrose</w:t>
            </w:r>
          </w:p>
        </w:tc>
        <w:tc>
          <w:tcPr>
            <w:tcW w:type="dxa" w:w="2351"/>
          </w:tcPr>
          <w:p>
            <w:pPr>
              <w:spacing w:line="240" w:lineRule="auto" w:after="20"/>
            </w:pPr>
            <w:r>
              <w:rPr>
                <w:rFonts w:ascii="Times New Roman" w:hAnsi="Times New Roman"/>
                <w:b w:val="0"/>
                <w:i w:val="0"/>
                <w:sz w:val="16"/>
              </w:rPr>
              <w:t>Metabolite and osmoticum</w:t>
            </w:r>
          </w:p>
        </w:tc>
        <w:tc>
          <w:tcPr>
            <w:tcW w:type="dxa" w:w="2351"/>
          </w:tcPr>
          <w:p>
            <w:pPr>
              <w:spacing w:line="240" w:lineRule="auto" w:after="20"/>
            </w:pPr>
            <w:r>
              <w:rPr>
                <w:rFonts w:ascii="Times New Roman" w:hAnsi="Times New Roman"/>
                <w:b w:val="0"/>
                <w:i w:val="0"/>
                <w:sz w:val="16"/>
              </w:rPr>
              <w:t>Supplies carbon as well as lowering water potential</w:t>
            </w:r>
          </w:p>
        </w:tc>
        <w:tc>
          <w:tcPr>
            <w:tcW w:type="dxa" w:w="2351"/>
          </w:tcPr>
          <w:p>
            <w:pPr>
              <w:spacing w:line="240" w:lineRule="auto" w:after="20"/>
            </w:pPr>
            <w:r>
              <w:rPr>
                <w:rFonts w:ascii="Times New Roman" w:hAnsi="Times New Roman"/>
                <w:b w:val="0"/>
                <w:i w:val="0"/>
                <w:sz w:val="16"/>
              </w:rPr>
              <w:t>Sajid and Aftab (2022)</w:t>
            </w:r>
          </w:p>
        </w:tc>
      </w:tr>
      <w:tr>
        <w:tc>
          <w:tcPr>
            <w:tcW w:type="dxa" w:w="2351"/>
          </w:tcPr>
          <w:p>
            <w:pPr>
              <w:spacing w:line="240" w:lineRule="auto" w:after="20"/>
            </w:pPr>
            <w:r>
              <w:rPr>
                <w:rFonts w:ascii="Times New Roman" w:hAnsi="Times New Roman"/>
                <w:b w:val="0"/>
                <w:i w:val="0"/>
                <w:sz w:val="16"/>
              </w:rPr>
              <w:t>NaCl</w:t>
            </w:r>
          </w:p>
        </w:tc>
        <w:tc>
          <w:tcPr>
            <w:tcW w:type="dxa" w:w="2351"/>
          </w:tcPr>
          <w:p>
            <w:pPr>
              <w:spacing w:line="240" w:lineRule="auto" w:after="20"/>
            </w:pPr>
            <w:r>
              <w:rPr>
                <w:rFonts w:ascii="Times New Roman" w:hAnsi="Times New Roman"/>
                <w:b w:val="0"/>
                <w:i w:val="0"/>
                <w:sz w:val="16"/>
              </w:rPr>
              <w:t>Ionic osmoticum</w:t>
            </w:r>
          </w:p>
        </w:tc>
        <w:tc>
          <w:tcPr>
            <w:tcW w:type="dxa" w:w="2351"/>
          </w:tcPr>
          <w:p>
            <w:pPr>
              <w:spacing w:line="240" w:lineRule="auto" w:after="20"/>
            </w:pPr>
            <w:r>
              <w:rPr>
                <w:rFonts w:ascii="Times New Roman" w:hAnsi="Times New Roman"/>
                <w:b w:val="0"/>
                <w:i w:val="0"/>
                <w:sz w:val="16"/>
              </w:rPr>
              <w:t>Adds ion toxicity; a different stress rather than a substitute</w:t>
            </w:r>
          </w:p>
        </w:tc>
        <w:tc>
          <w:tcPr>
            <w:tcW w:type="dxa" w:w="2351"/>
          </w:tcPr>
          <w:p>
            <w:pPr>
              <w:spacing w:line="240" w:lineRule="auto" w:after="20"/>
            </w:pPr>
            <w:r>
              <w:rPr>
                <w:rFonts w:ascii="Times New Roman" w:hAnsi="Times New Roman"/>
                <w:b w:val="0"/>
                <w:i w:val="0"/>
                <w:sz w:val="16"/>
              </w:rPr>
              <w:t>Sharma (1973)</w:t>
            </w:r>
          </w:p>
        </w:tc>
      </w:tr>
      <w:tr>
        <w:tc>
          <w:tcPr>
            <w:tcW w:type="dxa" w:w="2351"/>
          </w:tcPr>
          <w:p>
            <w:pPr>
              <w:spacing w:line="240" w:lineRule="auto" w:after="20"/>
            </w:pPr>
            <w:r>
              <w:rPr>
                <w:rFonts w:ascii="Times New Roman" w:hAnsi="Times New Roman"/>
                <w:b w:val="0"/>
                <w:i w:val="0"/>
                <w:sz w:val="16"/>
              </w:rPr>
              <w:t>Solidified PEG; raft-and-membrane systems</w:t>
            </w:r>
          </w:p>
        </w:tc>
        <w:tc>
          <w:tcPr>
            <w:tcW w:type="dxa" w:w="2351"/>
          </w:tcPr>
          <w:p>
            <w:pPr>
              <w:spacing w:line="240" w:lineRule="auto" w:after="20"/>
            </w:pPr>
            <w:r>
              <w:rPr>
                <w:rFonts w:ascii="Times New Roman" w:hAnsi="Times New Roman"/>
                <w:b w:val="0"/>
                <w:i w:val="0"/>
                <w:sz w:val="16"/>
              </w:rPr>
              <w:t>Prevent PEG uptake while imposing osmotic stress</w:t>
            </w:r>
          </w:p>
        </w:tc>
        <w:tc>
          <w:tcPr>
            <w:tcW w:type="dxa" w:w="2351"/>
          </w:tcPr>
          <w:p>
            <w:pPr>
              <w:spacing w:line="240" w:lineRule="auto" w:after="20"/>
            </w:pPr>
            <w:r>
              <w:rPr>
                <w:rFonts w:ascii="Times New Roman" w:hAnsi="Times New Roman"/>
                <w:b w:val="0"/>
                <w:i w:val="0"/>
                <w:sz w:val="16"/>
              </w:rPr>
              <w:t>Designed to solve the penetration problem; rarely used in Solanaceae screening</w:t>
            </w:r>
          </w:p>
        </w:tc>
        <w:tc>
          <w:tcPr>
            <w:tcW w:type="dxa" w:w="2351"/>
          </w:tcPr>
          <w:p>
            <w:pPr>
              <w:spacing w:line="240" w:lineRule="auto" w:after="20"/>
            </w:pPr>
            <w:r>
              <w:rPr>
                <w:rFonts w:ascii="Times New Roman" w:hAnsi="Times New Roman"/>
                <w:b w:val="0"/>
                <w:i w:val="0"/>
                <w:sz w:val="16"/>
              </w:rPr>
              <w:t>Comeau et al. (2010)</w:t>
            </w:r>
          </w:p>
        </w:tc>
      </w:tr>
      <w:tr>
        <w:tc>
          <w:tcPr>
            <w:tcW w:type="dxa" w:w="2351"/>
          </w:tcPr>
          <w:p>
            <w:pPr>
              <w:spacing w:line="240" w:lineRule="auto" w:after="20"/>
            </w:pPr>
            <w:r>
              <w:rPr>
                <w:rFonts w:ascii="Times New Roman" w:hAnsi="Times New Roman"/>
                <w:b w:val="0"/>
                <w:i w:val="0"/>
                <w:sz w:val="16"/>
              </w:rPr>
              <w:t>Soil or vermiculite drying</w:t>
            </w:r>
          </w:p>
        </w:tc>
        <w:tc>
          <w:tcPr>
            <w:tcW w:type="dxa" w:w="2351"/>
          </w:tcPr>
          <w:p>
            <w:pPr>
              <w:spacing w:line="240" w:lineRule="auto" w:after="20"/>
            </w:pPr>
            <w:r>
              <w:rPr>
                <w:rFonts w:ascii="Times New Roman" w:hAnsi="Times New Roman"/>
                <w:b w:val="0"/>
                <w:i w:val="0"/>
                <w:sz w:val="16"/>
              </w:rPr>
              <w:t>Matric stress imposed directly</w:t>
            </w:r>
          </w:p>
        </w:tc>
        <w:tc>
          <w:tcPr>
            <w:tcW w:type="dxa" w:w="2351"/>
          </w:tcPr>
          <w:p>
            <w:pPr>
              <w:spacing w:line="240" w:lineRule="auto" w:after="20"/>
            </w:pPr>
            <w:r>
              <w:rPr>
                <w:rFonts w:ascii="Times New Roman" w:hAnsi="Times New Roman"/>
                <w:b w:val="0"/>
                <w:i w:val="0"/>
                <w:sz w:val="16"/>
              </w:rPr>
              <w:t>Most realistic; least high-throughput; inherently more variable</w:t>
            </w:r>
          </w:p>
        </w:tc>
        <w:tc>
          <w:tcPr>
            <w:tcW w:type="dxa" w:w="2351"/>
          </w:tcPr>
          <w:p>
            <w:pPr>
              <w:spacing w:line="240" w:lineRule="auto" w:after="20"/>
            </w:pPr>
            <w:r>
              <w:rPr>
                <w:rFonts w:ascii="Times New Roman" w:hAnsi="Times New Roman"/>
                <w:b w:val="0"/>
                <w:i w:val="0"/>
                <w:sz w:val="16"/>
              </w:rPr>
              <w:t>Sharma (1973)</w:t>
            </w:r>
          </w:p>
        </w:tc>
      </w:tr>
    </w:tbl>
    <w:p/>
    <w:p>
      <w:pPr>
        <w:spacing w:before="0"/>
        <w:jc w:val="both"/>
      </w:pPr>
      <w:r>
        <w:rPr>
          <w:rFonts w:ascii="Times New Roman" w:hAnsi="Times New Roman"/>
          <w:b w:val="0"/>
          <w:i w:val="0"/>
          <w:sz w:val="24"/>
        </w:rPr>
        <w:t>The raft and solidified-media approaches deserve attention precisely because they were designed in response to the penetration problem described in Section 2.3, and they remain almost unused in the Solanaceae work this review catalogues. That is a specific and inexpensive methodological gap.</w:t>
      </w:r>
    </w:p>
    <w:p>
      <w:pPr>
        <w:spacing w:before="240" w:after="80"/>
      </w:pPr>
      <w:r>
        <w:rPr>
          <w:rFonts w:ascii="Times New Roman" w:hAnsi="Times New Roman"/>
          <w:b/>
          <w:sz w:val="24"/>
        </w:rPr>
        <w:t>2.6 Verdict</w:t>
      </w:r>
    </w:p>
    <w:p>
      <w:pPr>
        <w:spacing w:before="0"/>
        <w:jc w:val="both"/>
      </w:pPr>
      <w:r>
        <w:rPr>
          <w:rFonts w:ascii="Times New Roman" w:hAnsi="Times New Roman"/>
          <w:b w:val="0"/>
          <w:i w:val="0"/>
          <w:sz w:val="24"/>
        </w:rPr>
        <w:t>PEG-induced osmotic stress is fit for relative ranking of genotypes under a defined, artificial, non-drought treatment, provided the osmoticum, molecular weight, concentration, temperature and duration are stated. It is not a mechanistic model of field drought. Recent authoritative treatment of this question is unambiguous: PEG application triggers plant dehydration but does not accurately simulate drought, and describing such experiments as drought or water stress misleads readers (Kylyshbayeva et al., 2025).</w:t>
      </w:r>
    </w:p>
    <w:p>
      <w:pPr>
        <w:spacing w:before="0"/>
        <w:jc w:val="both"/>
      </w:pPr>
      <w:r>
        <w:rPr>
          <w:rFonts w:ascii="Times New Roman" w:hAnsi="Times New Roman"/>
          <w:b/>
          <w:i w:val="0"/>
          <w:sz w:val="24"/>
        </w:rPr>
        <w:t>Table 1</w:t>
      </w:r>
      <w:r>
        <w:rPr>
          <w:rFonts w:ascii="Times New Roman" w:hAnsi="Times New Roman"/>
          <w:b w:val="0"/>
          <w:i w:val="0"/>
          <w:sz w:val="24"/>
        </w:rPr>
        <w:t xml:space="preserve"> — Osmotic agents compared: agent, molecular weight, typical concentration, mechanism, documented limitations, suitability and key reference.</w:t>
        <w:br/>
      </w:r>
      <w:r>
        <w:rPr>
          <w:rFonts w:ascii="Times New Roman" w:hAnsi="Times New Roman"/>
          <w:b/>
          <w:i w:val="0"/>
          <w:sz w:val="24"/>
        </w:rPr>
        <w:t>Figure 2</w:t>
      </w:r>
      <w:r>
        <w:rPr>
          <w:rFonts w:ascii="Times New Roman" w:hAnsi="Times New Roman"/>
          <w:b w:val="0"/>
          <w:i w:val="0"/>
          <w:sz w:val="24"/>
        </w:rPr>
        <w:t xml:space="preserve"> — PEG-6000 concentration against osmotic potential, compiled from published relationships and annotated with the temperature validity range and the measurement-method discrepancy. Compiled, not experimental.</w:t>
      </w:r>
    </w:p>
    <w:p>
      <w:pPr>
        <w:spacing w:before="240" w:after="80"/>
      </w:pPr>
      <w:r>
        <w:rPr>
          <w:rFonts w:ascii="Times New Roman" w:hAnsi="Times New Roman"/>
          <w:b/>
          <w:sz w:val="24"/>
        </w:rPr>
        <w:t>3. SCREENING IN THE SOLANACEAE: WHAT HAS BEEN REPORTED</w:t>
      </w:r>
    </w:p>
    <w:p>
      <w:pPr>
        <w:spacing w:before="240" w:after="80"/>
      </w:pPr>
      <w:r>
        <w:rPr>
          <w:rFonts w:ascii="Times New Roman" w:hAnsi="Times New Roman"/>
          <w:b/>
          <w:sz w:val="24"/>
        </w:rPr>
        <w:t>3.1 The shape of the literature</w:t>
      </w:r>
    </w:p>
    <w:p>
      <w:pPr>
        <w:spacing w:before="0"/>
        <w:jc w:val="both"/>
      </w:pPr>
      <w:r>
        <w:rPr>
          <w:rFonts w:ascii="Times New Roman" w:hAnsi="Times New Roman"/>
          <w:b w:val="0"/>
          <w:i w:val="0"/>
          <w:sz w:val="24"/>
        </w:rPr>
        <w:t>The screening literature has a consistent architecture. Genotypes are exposed to an osmoticum at one to four concentrations spanning roughly 5–20% (w/v), with germination and early seedling traits scored over 7–14 days. Almost all studies use a completely randomised design with three or four replications (e.g. Sharma et al., 2024). Most report germination percentage, germination rate or index, root and shoot length, seedling fresh and dry weight, and a derived vigour index; a minority add proline, relative water content, membrane stability or antioxidant activity.</w:t>
      </w:r>
    </w:p>
    <w:p>
      <w:pPr>
        <w:spacing w:before="0"/>
        <w:jc w:val="both"/>
      </w:pPr>
      <w:r>
        <w:rPr>
          <w:rFonts w:ascii="Times New Roman" w:hAnsi="Times New Roman"/>
          <w:b w:val="0"/>
          <w:i w:val="0"/>
          <w:sz w:val="24"/>
        </w:rPr>
        <w:t>The three crops differ in emphasis rather than approach (Table 9).</w:t>
      </w:r>
    </w:p>
    <w:p>
      <w:pPr>
        <w:spacing w:before="0"/>
        <w:jc w:val="both"/>
      </w:pPr>
      <w:r>
        <w:rPr>
          <w:rFonts w:ascii="Times New Roman" w:hAnsi="Times New Roman"/>
          <w:b/>
          <w:i w:val="0"/>
          <w:sz w:val="24"/>
        </w:rPr>
        <w:t>Table 9.</w:t>
      </w:r>
      <w:r>
        <w:rPr>
          <w:rFonts w:ascii="Times New Roman" w:hAnsi="Times New Roman"/>
          <w:b w:val="0"/>
          <w:i w:val="0"/>
          <w:sz w:val="24"/>
        </w:rPr>
        <w:t xml:space="preserve"> Distinguishing features of the screening literature by crop.</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20"/>
            </w:pPr>
            <w:r>
              <w:rPr>
                <w:rFonts w:ascii="Times New Roman" w:hAnsi="Times New Roman"/>
                <w:b/>
                <w:i w:val="0"/>
                <w:sz w:val="16"/>
              </w:rPr>
              <w:t>Crop</w:t>
            </w:r>
          </w:p>
        </w:tc>
        <w:tc>
          <w:tcPr>
            <w:tcW w:type="dxa" w:w="3135"/>
          </w:tcPr>
          <w:p>
            <w:pPr>
              <w:spacing w:line="240" w:lineRule="auto" w:after="20"/>
            </w:pPr>
            <w:r>
              <w:rPr>
                <w:rFonts w:ascii="Times New Roman" w:hAnsi="Times New Roman"/>
                <w:b/>
                <w:i w:val="0"/>
                <w:sz w:val="16"/>
              </w:rPr>
              <w:t>Screening stage</w:t>
            </w:r>
          </w:p>
        </w:tc>
        <w:tc>
          <w:tcPr>
            <w:tcW w:type="dxa" w:w="3135"/>
          </w:tcPr>
          <w:p>
            <w:pPr>
              <w:spacing w:line="240" w:lineRule="auto" w:after="20"/>
            </w:pPr>
            <w:r>
              <w:rPr>
                <w:rFonts w:ascii="Times New Roman" w:hAnsi="Times New Roman"/>
                <w:b/>
                <w:i w:val="0"/>
                <w:sz w:val="16"/>
              </w:rPr>
              <w:t>Distinguishing feature</w:t>
            </w:r>
          </w:p>
        </w:tc>
      </w:tr>
      <w:tr>
        <w:tc>
          <w:tcPr>
            <w:tcW w:type="dxa" w:w="3135"/>
          </w:tcPr>
          <w:p>
            <w:pPr>
              <w:spacing w:line="240" w:lineRule="auto" w:after="20"/>
            </w:pPr>
            <w:r>
              <w:rPr>
                <w:rFonts w:ascii="Times New Roman" w:hAnsi="Times New Roman"/>
                <w:b w:val="0"/>
                <w:i/>
                <w:sz w:val="16"/>
              </w:rPr>
              <w:t>Capsicum</w:t>
            </w:r>
          </w:p>
        </w:tc>
        <w:tc>
          <w:tcPr>
            <w:tcW w:type="dxa" w:w="3135"/>
          </w:tcPr>
          <w:p>
            <w:pPr>
              <w:spacing w:line="240" w:lineRule="auto" w:after="20"/>
            </w:pPr>
            <w:r>
              <w:rPr>
                <w:rFonts w:ascii="Times New Roman" w:hAnsi="Times New Roman"/>
                <w:b w:val="0"/>
                <w:i w:val="0"/>
                <w:sz w:val="16"/>
              </w:rPr>
              <w:t>Germination and early seedling</w:t>
            </w:r>
          </w:p>
        </w:tc>
        <w:tc>
          <w:tcPr>
            <w:tcW w:type="dxa" w:w="3135"/>
          </w:tcPr>
          <w:p>
            <w:pPr>
              <w:spacing w:line="240" w:lineRule="auto" w:after="20"/>
            </w:pPr>
            <w:r>
              <w:rPr>
                <w:rFonts w:ascii="Times New Roman" w:hAnsi="Times New Roman"/>
                <w:b w:val="0"/>
                <w:i w:val="0"/>
                <w:sz w:val="16"/>
              </w:rPr>
              <w:t>Largest number of independent genotype panels; predominantly cultivar and breeding-line material</w:t>
            </w:r>
          </w:p>
        </w:tc>
      </w:tr>
      <w:tr>
        <w:tc>
          <w:tcPr>
            <w:tcW w:type="dxa" w:w="3135"/>
          </w:tcPr>
          <w:p>
            <w:pPr>
              <w:spacing w:line="240" w:lineRule="auto" w:after="20"/>
            </w:pPr>
            <w:r>
              <w:rPr>
                <w:rFonts w:ascii="Times New Roman" w:hAnsi="Times New Roman"/>
                <w:b w:val="0"/>
                <w:i w:val="0"/>
                <w:sz w:val="16"/>
              </w:rPr>
              <w:t>Tomato</w:t>
            </w:r>
          </w:p>
        </w:tc>
        <w:tc>
          <w:tcPr>
            <w:tcW w:type="dxa" w:w="3135"/>
          </w:tcPr>
          <w:p>
            <w:pPr>
              <w:spacing w:line="240" w:lineRule="auto" w:after="20"/>
            </w:pPr>
            <w:r>
              <w:rPr>
                <w:rFonts w:ascii="Times New Roman" w:hAnsi="Times New Roman"/>
                <w:b w:val="0"/>
                <w:i w:val="0"/>
                <w:sz w:val="16"/>
              </w:rPr>
              <w:t>Germination, seedling, and callus culture</w:t>
            </w:r>
          </w:p>
        </w:tc>
        <w:tc>
          <w:tcPr>
            <w:tcW w:type="dxa" w:w="3135"/>
          </w:tcPr>
          <w:p>
            <w:pPr>
              <w:spacing w:line="240" w:lineRule="auto" w:after="20"/>
            </w:pPr>
            <w:r>
              <w:rPr>
                <w:rFonts w:ascii="Times New Roman" w:hAnsi="Times New Roman"/>
                <w:b w:val="0"/>
                <w:i w:val="0"/>
                <w:sz w:val="16"/>
              </w:rPr>
              <w:t xml:space="preserve">The only crop with </w:t>
            </w:r>
            <w:r>
              <w:rPr>
                <w:rFonts w:ascii="Times New Roman" w:hAnsi="Times New Roman"/>
                <w:b w:val="0"/>
                <w:i/>
                <w:sz w:val="16"/>
              </w:rPr>
              <w:t>in vitro</w:t>
            </w:r>
            <w:r>
              <w:rPr>
                <w:rFonts w:ascii="Times New Roman" w:hAnsi="Times New Roman"/>
                <w:b w:val="0"/>
                <w:i w:val="0"/>
                <w:sz w:val="16"/>
              </w:rPr>
              <w:t xml:space="preserve"> selection at the callus level; larger panels and more indices</w:t>
            </w:r>
          </w:p>
        </w:tc>
      </w:tr>
      <w:tr>
        <w:tc>
          <w:tcPr>
            <w:tcW w:type="dxa" w:w="3135"/>
          </w:tcPr>
          <w:p>
            <w:pPr>
              <w:spacing w:line="240" w:lineRule="auto" w:after="20"/>
            </w:pPr>
            <w:r>
              <w:rPr>
                <w:rFonts w:ascii="Times New Roman" w:hAnsi="Times New Roman"/>
                <w:b w:val="0"/>
                <w:i w:val="0"/>
                <w:sz w:val="16"/>
              </w:rPr>
              <w:t xml:space="preserve">Eggplant and wild </w:t>
            </w:r>
            <w:r>
              <w:rPr>
                <w:rFonts w:ascii="Times New Roman" w:hAnsi="Times New Roman"/>
                <w:b w:val="0"/>
                <w:i/>
                <w:sz w:val="16"/>
              </w:rPr>
              <w:t>Solanum</w:t>
            </w:r>
          </w:p>
        </w:tc>
        <w:tc>
          <w:tcPr>
            <w:tcW w:type="dxa" w:w="3135"/>
          </w:tcPr>
          <w:p>
            <w:pPr>
              <w:spacing w:line="240" w:lineRule="auto" w:after="20"/>
            </w:pPr>
            <w:r>
              <w:rPr>
                <w:rFonts w:ascii="Times New Roman" w:hAnsi="Times New Roman"/>
                <w:b w:val="0"/>
                <w:i w:val="0"/>
                <w:sz w:val="16"/>
              </w:rPr>
              <w:t>Vegetative and whole-plant</w:t>
            </w:r>
          </w:p>
        </w:tc>
        <w:tc>
          <w:tcPr>
            <w:tcW w:type="dxa" w:w="3135"/>
          </w:tcPr>
          <w:p>
            <w:pPr>
              <w:spacing w:line="240" w:lineRule="auto" w:after="20"/>
            </w:pPr>
            <w:r>
              <w:rPr>
                <w:rFonts w:ascii="Times New Roman" w:hAnsi="Times New Roman"/>
                <w:b w:val="0"/>
                <w:i w:val="0"/>
                <w:sz w:val="16"/>
              </w:rPr>
              <w:t>Wild relatives screened routinely alongside cultivars</w:t>
            </w:r>
          </w:p>
        </w:tc>
      </w:tr>
    </w:tbl>
    <w:p/>
    <w:p>
      <w:pPr>
        <w:spacing w:before="0"/>
        <w:jc w:val="both"/>
      </w:pPr>
      <w:r>
        <w:rPr>
          <w:rFonts w:ascii="Times New Roman" w:hAnsi="Times New Roman"/>
          <w:b w:val="0"/>
          <w:i w:val="0"/>
          <w:sz w:val="24"/>
        </w:rPr>
        <w:t xml:space="preserve">The eggplant contrast frames Section 5 and is worth stating at the outset: eggplant screening panels routinely include wild relatives, while </w:t>
      </w:r>
      <w:r>
        <w:rPr>
          <w:rFonts w:ascii="Times New Roman" w:hAnsi="Times New Roman"/>
          <w:b w:val="0"/>
          <w:i/>
          <w:sz w:val="24"/>
        </w:rPr>
        <w:t>Capsicum</w:t>
      </w:r>
      <w:r>
        <w:rPr>
          <w:rFonts w:ascii="Times New Roman" w:hAnsi="Times New Roman"/>
          <w:b w:val="0"/>
          <w:i w:val="0"/>
          <w:sz w:val="24"/>
        </w:rPr>
        <w:t xml:space="preserve"> panels almost never do — despite a pepper pan-genome that has identified abiotic stress tolerance genes carried in </w:t>
      </w:r>
      <w:r>
        <w:rPr>
          <w:rFonts w:ascii="Times New Roman" w:hAnsi="Times New Roman"/>
          <w:b w:val="0"/>
          <w:i/>
          <w:sz w:val="24"/>
        </w:rPr>
        <w:t>C. baccatum</w:t>
      </w:r>
      <w:r>
        <w:rPr>
          <w:rFonts w:ascii="Times New Roman" w:hAnsi="Times New Roman"/>
          <w:b w:val="0"/>
          <w:i w:val="0"/>
          <w:sz w:val="24"/>
        </w:rPr>
        <w:t xml:space="preserve"> introgressions (Liu et al., 2023). The tolerance germplasm appears to be present and largely unexamined in pepper's screening literature.</w:t>
      </w:r>
    </w:p>
    <w:p>
      <w:pPr>
        <w:spacing w:before="240" w:after="80"/>
      </w:pPr>
      <w:r>
        <w:rPr>
          <w:rFonts w:ascii="Times New Roman" w:hAnsi="Times New Roman"/>
          <w:b/>
          <w:sz w:val="24"/>
        </w:rPr>
        <w:t>3.2 Traits and indices</w:t>
      </w:r>
    </w:p>
    <w:p>
      <w:pPr>
        <w:spacing w:before="0"/>
        <w:jc w:val="both"/>
      </w:pPr>
      <w:r>
        <w:rPr>
          <w:rFonts w:ascii="Times New Roman" w:hAnsi="Times New Roman"/>
          <w:b w:val="0"/>
          <w:i w:val="0"/>
          <w:sz w:val="24"/>
        </w:rPr>
        <w:t>The trait set is largely settled across the field, which is a strength for comparability. The index set is not.</w:t>
      </w:r>
    </w:p>
    <w:p>
      <w:pPr>
        <w:spacing w:before="0"/>
        <w:jc w:val="both"/>
      </w:pPr>
      <w:r>
        <w:rPr>
          <w:rFonts w:ascii="Times New Roman" w:hAnsi="Times New Roman"/>
          <w:b w:val="0"/>
          <w:i w:val="0"/>
          <w:sz w:val="24"/>
        </w:rPr>
        <w:t>Germination percentage is the near-universal primary trait and carries the most interpretive weight in conclusions. Germination rate, mean germination time and germination index capture the timing dimension that a final percentage obscures. Root length, shoot length and the root:shoot ratio are the standard morphological traits, with root traits frequently advanced as mechanistically relevant because greater root length permits access to water at depth. Seedling dry weight and the derived vigour index integrate growth across the assay.</w:t>
      </w:r>
    </w:p>
    <w:p>
      <w:pPr>
        <w:spacing w:before="0"/>
        <w:jc w:val="both"/>
      </w:pPr>
      <w:r>
        <w:rPr>
          <w:rFonts w:ascii="Times New Roman" w:hAnsi="Times New Roman"/>
          <w:b w:val="0"/>
          <w:i w:val="0"/>
          <w:sz w:val="24"/>
        </w:rPr>
        <w:t>Tolerance indices are used interchangeably and are not interchangeable. In the wider literature, productivity-oriented indices (STI, GMP, harmonic mean, yield stability index) correlate strongly with yield under both stress and non-stress conditions, whereas susceptibility-oriented indices (SSI, TOL, stress susceptibility percentage index) primarily reflect the magnitude of stress-induced loss. They can rank the same genotypes differently. An integration study in maize makes the consequence explicit: index choice directly influences genotype ranking and selection decisions (Muzafarov et al., 2026). The same inconsistency is documented in chickpea, where several indices produced conflicting rankings (Basavaraj et al., 2025).</w:t>
      </w:r>
    </w:p>
    <w:p>
      <w:pPr>
        <w:spacing w:before="0"/>
        <w:jc w:val="both"/>
      </w:pPr>
      <w:r>
        <w:rPr>
          <w:rFonts w:ascii="Times New Roman" w:hAnsi="Times New Roman"/>
          <w:b/>
          <w:i w:val="0"/>
          <w:sz w:val="24"/>
        </w:rPr>
        <w:t>Table 3</w:t>
      </w:r>
      <w:r>
        <w:rPr>
          <w:rFonts w:ascii="Times New Roman" w:hAnsi="Times New Roman"/>
          <w:b w:val="0"/>
          <w:i w:val="0"/>
          <w:sz w:val="24"/>
        </w:rPr>
        <w:t xml:space="preserve"> sets out each index with its formula, what it captures, and its characteristic failure mode. The most tractable fix is also the cheapest: report at least one productivity-oriented and one susceptibility-oriented index, and state the reason for the choice.</w:t>
      </w:r>
    </w:p>
    <w:p>
      <w:pPr>
        <w:spacing w:before="240" w:after="80"/>
      </w:pPr>
      <w:r>
        <w:rPr>
          <w:rFonts w:ascii="Times New Roman" w:hAnsi="Times New Roman"/>
          <w:b/>
          <w:sz w:val="22"/>
        </w:rPr>
        <w:t>Table 3 — Tolerance indices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20"/>
            </w:pPr>
            <w:r>
              <w:rPr>
                <w:rFonts w:ascii="Times New Roman" w:hAnsi="Times New Roman"/>
                <w:b/>
                <w:i w:val="0"/>
                <w:sz w:val="16"/>
              </w:rPr>
              <w:t>Index</w:t>
            </w:r>
          </w:p>
        </w:tc>
        <w:tc>
          <w:tcPr>
            <w:tcW w:type="dxa" w:w="1881"/>
          </w:tcPr>
          <w:p>
            <w:pPr>
              <w:spacing w:line="240" w:lineRule="auto" w:after="20"/>
            </w:pPr>
            <w:r>
              <w:rPr>
                <w:rFonts w:ascii="Times New Roman" w:hAnsi="Times New Roman"/>
                <w:b/>
                <w:i w:val="0"/>
                <w:sz w:val="16"/>
              </w:rPr>
              <w:t>Formula</w:t>
            </w:r>
          </w:p>
        </w:tc>
        <w:tc>
          <w:tcPr>
            <w:tcW w:type="dxa" w:w="1881"/>
          </w:tcPr>
          <w:p>
            <w:pPr>
              <w:spacing w:line="240" w:lineRule="auto" w:after="20"/>
            </w:pPr>
            <w:r>
              <w:rPr>
                <w:rFonts w:ascii="Times New Roman" w:hAnsi="Times New Roman"/>
                <w:b/>
                <w:i w:val="0"/>
                <w:sz w:val="16"/>
              </w:rPr>
              <w:t>What it measures</w:t>
            </w:r>
          </w:p>
        </w:tc>
        <w:tc>
          <w:tcPr>
            <w:tcW w:type="dxa" w:w="1881"/>
          </w:tcPr>
          <w:p>
            <w:pPr>
              <w:spacing w:line="240" w:lineRule="auto" w:after="20"/>
            </w:pPr>
            <w:r>
              <w:rPr>
                <w:rFonts w:ascii="Times New Roman" w:hAnsi="Times New Roman"/>
                <w:b/>
                <w:i w:val="0"/>
                <w:sz w:val="16"/>
              </w:rPr>
              <w:t>Characteristic failure mode</w:t>
            </w:r>
          </w:p>
        </w:tc>
        <w:tc>
          <w:tcPr>
            <w:tcW w:type="dxa" w:w="1881"/>
          </w:tcPr>
          <w:p>
            <w:pPr>
              <w:spacing w:line="240" w:lineRule="auto" w:after="20"/>
            </w:pPr>
            <w:r>
              <w:rPr>
                <w:rFonts w:ascii="Times New Roman" w:hAnsi="Times New Roman"/>
                <w:b/>
                <w:i w:val="0"/>
                <w:sz w:val="16"/>
              </w:rPr>
              <w:t>Appropriate use</w:t>
            </w:r>
          </w:p>
        </w:tc>
      </w:tr>
      <w:tr>
        <w:tc>
          <w:tcPr>
            <w:tcW w:type="dxa" w:w="1881"/>
          </w:tcPr>
          <w:p>
            <w:pPr>
              <w:spacing w:line="240" w:lineRule="auto" w:after="20"/>
            </w:pPr>
            <w:r>
              <w:rPr>
                <w:rFonts w:ascii="Times New Roman" w:hAnsi="Times New Roman"/>
                <w:b/>
                <w:i w:val="0"/>
                <w:sz w:val="16"/>
              </w:rPr>
              <w:t>TOL</w:t>
            </w:r>
            <w:r>
              <w:rPr>
                <w:rFonts w:ascii="Times New Roman" w:hAnsi="Times New Roman"/>
                <w:b w:val="0"/>
                <w:i w:val="0"/>
                <w:sz w:val="16"/>
              </w:rPr>
              <w:t xml:space="preserve"> (tolerance)</w:t>
            </w:r>
          </w:p>
        </w:tc>
        <w:tc>
          <w:tcPr>
            <w:tcW w:type="dxa" w:w="1881"/>
          </w:tcPr>
          <w:p>
            <w:pPr>
              <w:spacing w:line="240" w:lineRule="auto" w:after="20"/>
            </w:pPr>
            <w:r>
              <w:rPr>
                <w:rFonts w:ascii="Times New Roman" w:hAnsi="Times New Roman"/>
                <w:b w:val="0"/>
                <w:i w:val="0"/>
                <w:sz w:val="16"/>
              </w:rPr>
              <w:t>Yp − Ys</w:t>
            </w:r>
          </w:p>
        </w:tc>
        <w:tc>
          <w:tcPr>
            <w:tcW w:type="dxa" w:w="1881"/>
          </w:tcPr>
          <w:p>
            <w:pPr>
              <w:spacing w:line="240" w:lineRule="auto" w:after="20"/>
            </w:pPr>
            <w:r>
              <w:rPr>
                <w:rFonts w:ascii="Times New Roman" w:hAnsi="Times New Roman"/>
                <w:b w:val="0"/>
                <w:i w:val="0"/>
                <w:sz w:val="16"/>
              </w:rPr>
              <w:t>Absolute yield loss under stress</w:t>
            </w:r>
          </w:p>
        </w:tc>
        <w:tc>
          <w:tcPr>
            <w:tcW w:type="dxa" w:w="1881"/>
          </w:tcPr>
          <w:p>
            <w:pPr>
              <w:spacing w:line="240" w:lineRule="auto" w:after="20"/>
            </w:pPr>
            <w:r>
              <w:rPr>
                <w:rFonts w:ascii="Times New Roman" w:hAnsi="Times New Roman"/>
                <w:b w:val="0"/>
                <w:i w:val="0"/>
                <w:sz w:val="16"/>
              </w:rPr>
              <w:t>Scale-dependent: values in yield units, so not comparable across trials or crops</w:t>
            </w:r>
          </w:p>
        </w:tc>
        <w:tc>
          <w:tcPr>
            <w:tcW w:type="dxa" w:w="1881"/>
          </w:tcPr>
          <w:p>
            <w:pPr>
              <w:spacing w:line="240" w:lineRule="auto" w:after="20"/>
            </w:pPr>
            <w:r>
              <w:rPr>
                <w:rFonts w:ascii="Times New Roman" w:hAnsi="Times New Roman"/>
                <w:b w:val="0"/>
                <w:i w:val="0"/>
                <w:sz w:val="16"/>
              </w:rPr>
              <w:t>Comparing genotypes within one trial at one site</w:t>
            </w:r>
          </w:p>
        </w:tc>
      </w:tr>
      <w:tr>
        <w:tc>
          <w:tcPr>
            <w:tcW w:type="dxa" w:w="1881"/>
          </w:tcPr>
          <w:p>
            <w:pPr>
              <w:spacing w:line="240" w:lineRule="auto" w:after="20"/>
            </w:pPr>
            <w:r>
              <w:rPr>
                <w:rFonts w:ascii="Times New Roman" w:hAnsi="Times New Roman"/>
                <w:b/>
                <w:i w:val="0"/>
                <w:sz w:val="16"/>
              </w:rPr>
              <w:t>SSI</w:t>
            </w:r>
            <w:r>
              <w:rPr>
                <w:rFonts w:ascii="Times New Roman" w:hAnsi="Times New Roman"/>
                <w:b w:val="0"/>
                <w:i w:val="0"/>
                <w:sz w:val="16"/>
              </w:rPr>
              <w:t xml:space="preserve"> (stress susceptibility index)</w:t>
            </w:r>
          </w:p>
        </w:tc>
        <w:tc>
          <w:tcPr>
            <w:tcW w:type="dxa" w:w="1881"/>
          </w:tcPr>
          <w:p>
            <w:pPr>
              <w:spacing w:line="240" w:lineRule="auto" w:after="20"/>
            </w:pPr>
            <w:r>
              <w:rPr>
                <w:rFonts w:ascii="Times New Roman" w:hAnsi="Times New Roman"/>
                <w:b w:val="0"/>
                <w:i w:val="0"/>
                <w:sz w:val="16"/>
              </w:rPr>
              <w:t>(1 − Ys/Yp) / (1 − Ȳs/Ȳp)</w:t>
            </w:r>
          </w:p>
        </w:tc>
        <w:tc>
          <w:tcPr>
            <w:tcW w:type="dxa" w:w="1881"/>
          </w:tcPr>
          <w:p>
            <w:pPr>
              <w:spacing w:line="240" w:lineRule="auto" w:after="20"/>
            </w:pPr>
            <w:r>
              <w:rPr>
                <w:rFonts w:ascii="Times New Roman" w:hAnsi="Times New Roman"/>
                <w:b w:val="0"/>
                <w:i w:val="0"/>
                <w:sz w:val="16"/>
              </w:rPr>
              <w:t>Yield loss relative to the trial's mean loss; &lt;1 indicates tolerance</w:t>
            </w:r>
          </w:p>
        </w:tc>
        <w:tc>
          <w:tcPr>
            <w:tcW w:type="dxa" w:w="1881"/>
          </w:tcPr>
          <w:p>
            <w:pPr>
              <w:spacing w:line="240" w:lineRule="auto" w:after="20"/>
            </w:pPr>
            <w:r>
              <w:rPr>
                <w:rFonts w:ascii="Times New Roman" w:hAnsi="Times New Roman"/>
                <w:b w:val="0"/>
                <w:i w:val="0"/>
                <w:sz w:val="16"/>
              </w:rPr>
              <w:t>Sensitive to the trial mean; a genotype's score moves with the panel it is tested in</w:t>
            </w:r>
          </w:p>
        </w:tc>
        <w:tc>
          <w:tcPr>
            <w:tcW w:type="dxa" w:w="1881"/>
          </w:tcPr>
          <w:p>
            <w:pPr>
              <w:spacing w:line="240" w:lineRule="auto" w:after="20"/>
            </w:pPr>
            <w:r>
              <w:rPr>
                <w:rFonts w:ascii="Times New Roman" w:hAnsi="Times New Roman"/>
                <w:b w:val="0"/>
                <w:i w:val="0"/>
                <w:sz w:val="16"/>
              </w:rPr>
              <w:t>Comparing stress response across environments, within one panel</w:t>
            </w:r>
          </w:p>
        </w:tc>
      </w:tr>
      <w:tr>
        <w:tc>
          <w:tcPr>
            <w:tcW w:type="dxa" w:w="1881"/>
          </w:tcPr>
          <w:p>
            <w:pPr>
              <w:spacing w:line="240" w:lineRule="auto" w:after="20"/>
            </w:pPr>
            <w:r>
              <w:rPr>
                <w:rFonts w:ascii="Times New Roman" w:hAnsi="Times New Roman"/>
                <w:b/>
                <w:i w:val="0"/>
                <w:sz w:val="16"/>
              </w:rPr>
              <w:t>SSPI</w:t>
            </w:r>
            <w:r>
              <w:rPr>
                <w:rFonts w:ascii="Times New Roman" w:hAnsi="Times New Roman"/>
                <w:b w:val="0"/>
                <w:i w:val="0"/>
                <w:sz w:val="16"/>
              </w:rPr>
              <w:t xml:space="preserve"> (stress susceptibility percentage index)</w:t>
            </w:r>
          </w:p>
        </w:tc>
        <w:tc>
          <w:tcPr>
            <w:tcW w:type="dxa" w:w="1881"/>
          </w:tcPr>
          <w:p>
            <w:pPr>
              <w:spacing w:line="240" w:lineRule="auto" w:after="20"/>
            </w:pPr>
            <w:r>
              <w:rPr>
                <w:rFonts w:ascii="Times New Roman" w:hAnsi="Times New Roman"/>
                <w:b w:val="0"/>
                <w:i w:val="0"/>
                <w:sz w:val="16"/>
              </w:rPr>
              <w:t>[(Yp − Ys) / (2Ȳp)] × 100</w:t>
            </w:r>
          </w:p>
        </w:tc>
        <w:tc>
          <w:tcPr>
            <w:tcW w:type="dxa" w:w="1881"/>
          </w:tcPr>
          <w:p>
            <w:pPr>
              <w:spacing w:line="240" w:lineRule="auto" w:after="20"/>
            </w:pPr>
            <w:r>
              <w:rPr>
                <w:rFonts w:ascii="Times New Roman" w:hAnsi="Times New Roman"/>
                <w:b w:val="0"/>
                <w:i w:val="0"/>
                <w:sz w:val="16"/>
              </w:rPr>
              <w:t>Percentage yield reduction, trial-normalised</w:t>
            </w:r>
          </w:p>
        </w:tc>
        <w:tc>
          <w:tcPr>
            <w:tcW w:type="dxa" w:w="1881"/>
          </w:tcPr>
          <w:p>
            <w:pPr>
              <w:spacing w:line="240" w:lineRule="auto" w:after="20"/>
            </w:pPr>
            <w:r>
              <w:rPr>
                <w:rFonts w:ascii="Times New Roman" w:hAnsi="Times New Roman"/>
                <w:b w:val="0"/>
                <w:i w:val="0"/>
                <w:sz w:val="16"/>
              </w:rPr>
              <w:t>Inherits the mean-dependence of SSI</w:t>
            </w:r>
          </w:p>
        </w:tc>
        <w:tc>
          <w:tcPr>
            <w:tcW w:type="dxa" w:w="1881"/>
          </w:tcPr>
          <w:p>
            <w:pPr>
              <w:spacing w:line="240" w:lineRule="auto" w:after="20"/>
            </w:pPr>
            <w:r>
              <w:rPr>
                <w:rFonts w:ascii="Times New Roman" w:hAnsi="Times New Roman"/>
                <w:b w:val="0"/>
                <w:i w:val="0"/>
                <w:sz w:val="16"/>
              </w:rPr>
              <w:t>Reporting percentage loss in a form comparable across trials</w:t>
            </w:r>
          </w:p>
        </w:tc>
      </w:tr>
      <w:tr>
        <w:tc>
          <w:tcPr>
            <w:tcW w:type="dxa" w:w="1881"/>
          </w:tcPr>
          <w:p>
            <w:pPr>
              <w:spacing w:line="240" w:lineRule="auto" w:after="20"/>
            </w:pPr>
            <w:r>
              <w:rPr>
                <w:rFonts w:ascii="Times New Roman" w:hAnsi="Times New Roman"/>
                <w:b/>
                <w:i w:val="0"/>
                <w:sz w:val="16"/>
              </w:rPr>
              <w:t>MP</w:t>
            </w:r>
            <w:r>
              <w:rPr>
                <w:rFonts w:ascii="Times New Roman" w:hAnsi="Times New Roman"/>
                <w:b w:val="0"/>
                <w:i w:val="0"/>
                <w:sz w:val="16"/>
              </w:rPr>
              <w:t xml:space="preserve"> (mean productivity)</w:t>
            </w:r>
          </w:p>
        </w:tc>
        <w:tc>
          <w:tcPr>
            <w:tcW w:type="dxa" w:w="1881"/>
          </w:tcPr>
          <w:p>
            <w:pPr>
              <w:spacing w:line="240" w:lineRule="auto" w:after="20"/>
            </w:pPr>
            <w:r>
              <w:rPr>
                <w:rFonts w:ascii="Times New Roman" w:hAnsi="Times New Roman"/>
                <w:b w:val="0"/>
                <w:i w:val="0"/>
                <w:sz w:val="16"/>
              </w:rPr>
              <w:t>(Ys + Yp) / 2</w:t>
            </w:r>
          </w:p>
        </w:tc>
        <w:tc>
          <w:tcPr>
            <w:tcW w:type="dxa" w:w="1881"/>
          </w:tcPr>
          <w:p>
            <w:pPr>
              <w:spacing w:line="240" w:lineRule="auto" w:after="20"/>
            </w:pPr>
            <w:r>
              <w:rPr>
                <w:rFonts w:ascii="Times New Roman" w:hAnsi="Times New Roman"/>
                <w:b w:val="0"/>
                <w:i w:val="0"/>
                <w:sz w:val="16"/>
              </w:rPr>
              <w:t>Average performance across both conditions</w:t>
            </w:r>
          </w:p>
        </w:tc>
        <w:tc>
          <w:tcPr>
            <w:tcW w:type="dxa" w:w="1881"/>
          </w:tcPr>
          <w:p>
            <w:pPr>
              <w:spacing w:line="240" w:lineRule="auto" w:after="20"/>
            </w:pPr>
            <w:r>
              <w:rPr>
                <w:rFonts w:ascii="Times New Roman" w:hAnsi="Times New Roman"/>
                <w:b w:val="0"/>
                <w:i w:val="0"/>
                <w:sz w:val="16"/>
              </w:rPr>
              <w:t>Rises with yield potential; selects for high-yielding genotypes whether or not they resist stress</w:t>
            </w:r>
          </w:p>
        </w:tc>
        <w:tc>
          <w:tcPr>
            <w:tcW w:type="dxa" w:w="1881"/>
          </w:tcPr>
          <w:p>
            <w:pPr>
              <w:spacing w:line="240" w:lineRule="auto" w:after="20"/>
            </w:pPr>
            <w:r>
              <w:rPr>
                <w:rFonts w:ascii="Times New Roman" w:hAnsi="Times New Roman"/>
                <w:b w:val="0"/>
                <w:i w:val="0"/>
                <w:sz w:val="16"/>
              </w:rPr>
              <w:t>Selecting for performance in both conditions when stress is moderate</w:t>
            </w:r>
          </w:p>
        </w:tc>
      </w:tr>
      <w:tr>
        <w:tc>
          <w:tcPr>
            <w:tcW w:type="dxa" w:w="1881"/>
          </w:tcPr>
          <w:p>
            <w:pPr>
              <w:spacing w:line="240" w:lineRule="auto" w:after="20"/>
            </w:pPr>
            <w:r>
              <w:rPr>
                <w:rFonts w:ascii="Times New Roman" w:hAnsi="Times New Roman"/>
                <w:b/>
                <w:i w:val="0"/>
                <w:sz w:val="16"/>
              </w:rPr>
              <w:t>GMP</w:t>
            </w:r>
            <w:r>
              <w:rPr>
                <w:rFonts w:ascii="Times New Roman" w:hAnsi="Times New Roman"/>
                <w:b w:val="0"/>
                <w:i w:val="0"/>
                <w:sz w:val="16"/>
              </w:rPr>
              <w:t xml:space="preserve"> (geometric mean productivity)</w:t>
            </w:r>
          </w:p>
        </w:tc>
        <w:tc>
          <w:tcPr>
            <w:tcW w:type="dxa" w:w="1881"/>
          </w:tcPr>
          <w:p>
            <w:pPr>
              <w:spacing w:line="240" w:lineRule="auto" w:after="20"/>
            </w:pPr>
            <w:r>
              <w:rPr>
                <w:rFonts w:ascii="Times New Roman" w:hAnsi="Times New Roman"/>
                <w:b w:val="0"/>
                <w:i w:val="0"/>
                <w:sz w:val="16"/>
              </w:rPr>
              <w:t>√(Ys × Yp)</w:t>
            </w:r>
          </w:p>
        </w:tc>
        <w:tc>
          <w:tcPr>
            <w:tcW w:type="dxa" w:w="1881"/>
          </w:tcPr>
          <w:p>
            <w:pPr>
              <w:spacing w:line="240" w:lineRule="auto" w:after="20"/>
            </w:pPr>
            <w:r>
              <w:rPr>
                <w:rFonts w:ascii="Times New Roman" w:hAnsi="Times New Roman"/>
                <w:b w:val="0"/>
                <w:i w:val="0"/>
                <w:sz w:val="16"/>
              </w:rPr>
              <w:t>Performance across both conditions, penalising imbalance</w:t>
            </w:r>
          </w:p>
        </w:tc>
        <w:tc>
          <w:tcPr>
            <w:tcW w:type="dxa" w:w="1881"/>
          </w:tcPr>
          <w:p>
            <w:pPr>
              <w:spacing w:line="240" w:lineRule="auto" w:after="20"/>
            </w:pPr>
            <w:r>
              <w:rPr>
                <w:rFonts w:ascii="Times New Roman" w:hAnsi="Times New Roman"/>
                <w:b w:val="0"/>
                <w:i w:val="0"/>
                <w:sz w:val="16"/>
              </w:rPr>
              <w:t>Same direction of bias as MP, more conservative</w:t>
            </w:r>
          </w:p>
        </w:tc>
        <w:tc>
          <w:tcPr>
            <w:tcW w:type="dxa" w:w="1881"/>
          </w:tcPr>
          <w:p>
            <w:pPr>
              <w:spacing w:line="240" w:lineRule="auto" w:after="20"/>
            </w:pPr>
            <w:r>
              <w:rPr>
                <w:rFonts w:ascii="Times New Roman" w:hAnsi="Times New Roman"/>
                <w:b w:val="0"/>
                <w:i w:val="0"/>
                <w:sz w:val="16"/>
              </w:rPr>
              <w:t>Where a genotype must not collapse in one condition</w:t>
            </w:r>
          </w:p>
        </w:tc>
      </w:tr>
      <w:tr>
        <w:tc>
          <w:tcPr>
            <w:tcW w:type="dxa" w:w="1881"/>
          </w:tcPr>
          <w:p>
            <w:pPr>
              <w:spacing w:line="240" w:lineRule="auto" w:after="20"/>
            </w:pPr>
            <w:r>
              <w:rPr>
                <w:rFonts w:ascii="Times New Roman" w:hAnsi="Times New Roman"/>
                <w:b/>
                <w:i w:val="0"/>
                <w:sz w:val="16"/>
              </w:rPr>
              <w:t>STI</w:t>
            </w:r>
            <w:r>
              <w:rPr>
                <w:rFonts w:ascii="Times New Roman" w:hAnsi="Times New Roman"/>
                <w:b w:val="0"/>
                <w:i w:val="0"/>
                <w:sz w:val="16"/>
              </w:rPr>
              <w:t xml:space="preserve"> (stress tolerance index)</w:t>
            </w:r>
          </w:p>
        </w:tc>
        <w:tc>
          <w:tcPr>
            <w:tcW w:type="dxa" w:w="1881"/>
          </w:tcPr>
          <w:p>
            <w:pPr>
              <w:spacing w:line="240" w:lineRule="auto" w:after="20"/>
            </w:pPr>
            <w:r>
              <w:rPr>
                <w:rFonts w:ascii="Times New Roman" w:hAnsi="Times New Roman"/>
                <w:b w:val="0"/>
                <w:i w:val="0"/>
                <w:sz w:val="16"/>
              </w:rPr>
              <w:t>(Ys × Yp) / Ȳp²</w:t>
            </w:r>
          </w:p>
        </w:tc>
        <w:tc>
          <w:tcPr>
            <w:tcW w:type="dxa" w:w="1881"/>
          </w:tcPr>
          <w:p>
            <w:pPr>
              <w:spacing w:line="240" w:lineRule="auto" w:after="20"/>
            </w:pPr>
            <w:r>
              <w:rPr>
                <w:rFonts w:ascii="Times New Roman" w:hAnsi="Times New Roman"/>
                <w:b w:val="0"/>
                <w:i w:val="0"/>
                <w:sz w:val="16"/>
              </w:rPr>
              <w:t>Tolerance scaled to the panel's non-stress potential</w:t>
            </w:r>
          </w:p>
        </w:tc>
        <w:tc>
          <w:tcPr>
            <w:tcW w:type="dxa" w:w="1881"/>
          </w:tcPr>
          <w:p>
            <w:pPr>
              <w:spacing w:line="240" w:lineRule="auto" w:after="20"/>
            </w:pPr>
            <w:r>
              <w:rPr>
                <w:rFonts w:ascii="Times New Roman" w:hAnsi="Times New Roman"/>
                <w:b w:val="0"/>
                <w:i w:val="0"/>
                <w:sz w:val="16"/>
              </w:rPr>
              <w:t>Highly correlated with yield potential under non-stress; discriminates poorly when stress is mild</w:t>
            </w:r>
          </w:p>
        </w:tc>
        <w:tc>
          <w:tcPr>
            <w:tcW w:type="dxa" w:w="1881"/>
          </w:tcPr>
          <w:p>
            <w:pPr>
              <w:spacing w:line="240" w:lineRule="auto" w:after="20"/>
            </w:pPr>
            <w:r>
              <w:rPr>
                <w:rFonts w:ascii="Times New Roman" w:hAnsi="Times New Roman"/>
                <w:b w:val="0"/>
                <w:i w:val="0"/>
                <w:sz w:val="16"/>
              </w:rPr>
              <w:t>Ranking when stress intensity is known and moderate to severe</w:t>
            </w:r>
          </w:p>
        </w:tc>
      </w:tr>
      <w:tr>
        <w:tc>
          <w:tcPr>
            <w:tcW w:type="dxa" w:w="1881"/>
          </w:tcPr>
          <w:p>
            <w:pPr>
              <w:spacing w:line="240" w:lineRule="auto" w:after="20"/>
            </w:pPr>
            <w:r>
              <w:rPr>
                <w:rFonts w:ascii="Times New Roman" w:hAnsi="Times New Roman"/>
                <w:b/>
                <w:i w:val="0"/>
                <w:sz w:val="16"/>
              </w:rPr>
              <w:t>YSI</w:t>
            </w:r>
            <w:r>
              <w:rPr>
                <w:rFonts w:ascii="Times New Roman" w:hAnsi="Times New Roman"/>
                <w:b w:val="0"/>
                <w:i w:val="0"/>
                <w:sz w:val="16"/>
              </w:rPr>
              <w:t xml:space="preserve"> (yield stability index)</w:t>
            </w:r>
          </w:p>
        </w:tc>
        <w:tc>
          <w:tcPr>
            <w:tcW w:type="dxa" w:w="1881"/>
          </w:tcPr>
          <w:p>
            <w:pPr>
              <w:spacing w:line="240" w:lineRule="auto" w:after="20"/>
            </w:pPr>
            <w:r>
              <w:rPr>
                <w:rFonts w:ascii="Times New Roman" w:hAnsi="Times New Roman"/>
                <w:b w:val="0"/>
                <w:i w:val="0"/>
                <w:sz w:val="16"/>
              </w:rPr>
              <w:t>Ys / Yp</w:t>
            </w:r>
          </w:p>
        </w:tc>
        <w:tc>
          <w:tcPr>
            <w:tcW w:type="dxa" w:w="1881"/>
          </w:tcPr>
          <w:p>
            <w:pPr>
              <w:spacing w:line="240" w:lineRule="auto" w:after="20"/>
            </w:pPr>
            <w:r>
              <w:rPr>
                <w:rFonts w:ascii="Times New Roman" w:hAnsi="Times New Roman"/>
                <w:b w:val="0"/>
                <w:i w:val="0"/>
                <w:sz w:val="16"/>
              </w:rPr>
              <w:t>Proportional retention of yield under stress</w:t>
            </w:r>
          </w:p>
        </w:tc>
        <w:tc>
          <w:tcPr>
            <w:tcW w:type="dxa" w:w="1881"/>
          </w:tcPr>
          <w:p>
            <w:pPr>
              <w:spacing w:line="240" w:lineRule="auto" w:after="20"/>
            </w:pPr>
            <w:r>
              <w:rPr>
                <w:rFonts w:ascii="Times New Roman" w:hAnsi="Times New Roman"/>
                <w:b w:val="0"/>
                <w:i w:val="0"/>
                <w:sz w:val="16"/>
              </w:rPr>
              <w:t>Uses a single stress level; no measure of variance across environments</w:t>
            </w:r>
          </w:p>
        </w:tc>
        <w:tc>
          <w:tcPr>
            <w:tcW w:type="dxa" w:w="1881"/>
          </w:tcPr>
          <w:p>
            <w:pPr>
              <w:spacing w:line="240" w:lineRule="auto" w:after="20"/>
            </w:pPr>
            <w:r>
              <w:rPr>
                <w:rFonts w:ascii="Times New Roman" w:hAnsi="Times New Roman"/>
                <w:b w:val="0"/>
                <w:i w:val="0"/>
                <w:sz w:val="16"/>
              </w:rPr>
              <w:t>Simple screening where one stress treatment is available</w:t>
            </w:r>
          </w:p>
        </w:tc>
      </w:tr>
    </w:tbl>
    <w:p/>
    <w:p>
      <w:pPr>
        <w:spacing w:before="240" w:after="80"/>
      </w:pPr>
      <w:r>
        <w:rPr>
          <w:rFonts w:ascii="Times New Roman" w:hAnsi="Times New Roman"/>
          <w:b/>
          <w:sz w:val="24"/>
        </w:rPr>
        <w:t>3.3 What the literature has achieved</w:t>
      </w:r>
    </w:p>
    <w:p>
      <w:pPr>
        <w:spacing w:before="0"/>
        <w:jc w:val="both"/>
      </w:pPr>
      <w:r>
        <w:rPr>
          <w:rFonts w:ascii="Times New Roman" w:hAnsi="Times New Roman"/>
          <w:b w:val="0"/>
          <w:i w:val="0"/>
          <w:sz w:val="24"/>
        </w:rPr>
        <w:t>This should be stated directly, because the sections that follow examine limitations that would otherwise read as a general dismissal.</w:t>
      </w:r>
    </w:p>
    <w:p>
      <w:pPr>
        <w:spacing w:before="0"/>
        <w:jc w:val="both"/>
      </w:pPr>
      <w:r>
        <w:rPr>
          <w:rFonts w:ascii="Times New Roman" w:hAnsi="Times New Roman"/>
          <w:b w:val="0"/>
          <w:i w:val="0"/>
          <w:sz w:val="24"/>
        </w:rPr>
        <w:t xml:space="preserve">The screening literature has produced usable tolerant germplasm. In </w:t>
      </w:r>
      <w:r>
        <w:rPr>
          <w:rFonts w:ascii="Times New Roman" w:hAnsi="Times New Roman"/>
          <w:b w:val="0"/>
          <w:i/>
          <w:sz w:val="24"/>
        </w:rPr>
        <w:t>Capsicum</w:t>
      </w:r>
      <w:r>
        <w:rPr>
          <w:rFonts w:ascii="Times New Roman" w:hAnsi="Times New Roman"/>
          <w:b w:val="0"/>
          <w:i w:val="0"/>
          <w:sz w:val="24"/>
        </w:rPr>
        <w:t xml:space="preserve">, a 16-genotype screen across three PEG levels identified UARChH 42, UARChH 43 and Arka Swetha as tolerant (Sharma et al., 2024). A 47-genotype emergence screen identified five tolerant lines and five susceptible ones, resolving four clusters by agglomerative clustering at a cophenetic correlation of 0.668 (Molla et al., 2019). A 22-genotype study identified C7 as tolerant across all measured traits (Millah et al., 2021). In tomato, a five-genotype screen identified NGRCO9569, Monoprecos and Khumal 2 as maintaining germination, vigour and biomass under stress, while a susceptible genotype failed to germinate entirely at 6% PEG (Yadav et al., 2025). In </w:t>
      </w:r>
      <w:r>
        <w:rPr>
          <w:rFonts w:ascii="Times New Roman" w:hAnsi="Times New Roman"/>
          <w:b w:val="0"/>
          <w:i/>
          <w:sz w:val="24"/>
        </w:rPr>
        <w:t>Capsicum</w:t>
      </w:r>
      <w:r>
        <w:rPr>
          <w:rFonts w:ascii="Times New Roman" w:hAnsi="Times New Roman"/>
          <w:b w:val="0"/>
          <w:i w:val="0"/>
          <w:sz w:val="24"/>
        </w:rPr>
        <w:t xml:space="preserve"> germplasm more broadly, a 100-accession vegetative-stage screen identified three accessions as resistant through 21 days of water withholding, corroborated under greenhouse conditions (Thin et al., 2026).</w:t>
      </w:r>
    </w:p>
    <w:p>
      <w:pPr>
        <w:spacing w:before="0"/>
        <w:jc w:val="both"/>
      </w:pPr>
      <w:r>
        <w:rPr>
          <w:rFonts w:ascii="Times New Roman" w:hAnsi="Times New Roman"/>
          <w:b w:val="0"/>
          <w:i w:val="0"/>
          <w:sz w:val="24"/>
        </w:rPr>
        <w:t>None of this would exist without the screening approach. The method is cheap, requires no field season, discriminates among genotypes, and has produced converging evidence from independent groups that genetic variation for early-stage osmotic tolerance exists and is substantial. The question this review addresses is how far those outputs generalise, not whether the method produces them.</w:t>
      </w:r>
    </w:p>
    <w:p>
      <w:pPr>
        <w:spacing w:before="0"/>
        <w:jc w:val="both"/>
      </w:pPr>
      <w:r>
        <w:rPr>
          <w:rFonts w:ascii="Times New Roman" w:hAnsi="Times New Roman"/>
          <w:b w:val="0"/>
          <w:i w:val="0"/>
          <w:sz w:val="24"/>
        </w:rPr>
        <w:t>A methodological good practice also deserves credit. A recent tomato callus-selection study determined a genotype-specific sub-lethal PEG concentration for each line rather than applying one arbitrary threshold to all, on the reasoning that a fixed concentration may lie above or below the informative range for a given genotype. The reasoning is sound and the approach is the single most transferable methodological improvement identified in this review (Alnaddaf et al., 2026).</w:t>
      </w:r>
    </w:p>
    <w:p>
      <w:pPr>
        <w:spacing w:before="240" w:after="80"/>
      </w:pPr>
      <w:r>
        <w:rPr>
          <w:rFonts w:ascii="Times New Roman" w:hAnsi="Times New Roman"/>
          <w:b/>
          <w:sz w:val="24"/>
        </w:rPr>
        <w:t>3.4 Statistical practice</w:t>
      </w:r>
    </w:p>
    <w:p>
      <w:pPr>
        <w:spacing w:before="0"/>
        <w:jc w:val="both"/>
      </w:pPr>
      <w:r>
        <w:rPr>
          <w:rFonts w:ascii="Times New Roman" w:hAnsi="Times New Roman"/>
          <w:b w:val="0"/>
          <w:i w:val="0"/>
          <w:sz w:val="24"/>
        </w:rPr>
        <w:t>Germination percentage is binomial: a count of successes from a fixed number of trials, bounded at 0 and 100%. Analysis of variance assumes normally distributed errors with homogeneous variance, and these assumptions are violated by such data, often severely, particularly when means approach the boundaries.</w:t>
      </w:r>
    </w:p>
    <w:p>
      <w:pPr>
        <w:spacing w:before="0"/>
        <w:jc w:val="both"/>
      </w:pPr>
      <w:r>
        <w:rPr>
          <w:rFonts w:ascii="Times New Roman" w:hAnsi="Times New Roman"/>
          <w:b w:val="0"/>
          <w:i w:val="0"/>
          <w:sz w:val="24"/>
        </w:rPr>
        <w:t>This is not an impression formed from reading a subset of papers. A systematic critique of statistical practice in seed germination and viability research examined 429 studies and reported the distribution in Table 10 (Sileshi, 2012).</w:t>
      </w:r>
    </w:p>
    <w:p>
      <w:pPr>
        <w:spacing w:before="0"/>
        <w:jc w:val="both"/>
      </w:pPr>
      <w:r>
        <w:rPr>
          <w:rFonts w:ascii="Times New Roman" w:hAnsi="Times New Roman"/>
          <w:b/>
          <w:i w:val="0"/>
          <w:sz w:val="24"/>
        </w:rPr>
        <w:t>Table 10.</w:t>
      </w:r>
      <w:r>
        <w:rPr>
          <w:rFonts w:ascii="Times New Roman" w:hAnsi="Times New Roman"/>
          <w:b w:val="0"/>
          <w:i w:val="0"/>
          <w:sz w:val="24"/>
        </w:rPr>
        <w:t xml:space="preserve"> Statistical practice in germination and viability studies, after Sileshi (2012).</w:t>
      </w:r>
    </w:p>
    <w:tbl>
      <w:tblPr>
        <w:tblStyle w:val="TableGrid"/>
        <w:tblW w:type="auto" w:w="0"/>
        <w:tblLook w:firstColumn="1" w:firstRow="1" w:lastColumn="0" w:lastRow="0" w:noHBand="0" w:noVBand="1" w:val="04A0"/>
      </w:tblPr>
      <w:tblGrid>
        <w:gridCol w:w="4703"/>
        <w:gridCol w:w="4703"/>
      </w:tblGrid>
      <w:tr>
        <w:tc>
          <w:tcPr>
            <w:tcW w:type="dxa" w:w="4703"/>
          </w:tcPr>
          <w:p>
            <w:pPr>
              <w:spacing w:line="240" w:lineRule="auto" w:after="20"/>
            </w:pPr>
            <w:r>
              <w:rPr>
                <w:rFonts w:ascii="Times New Roman" w:hAnsi="Times New Roman"/>
                <w:b/>
                <w:i w:val="0"/>
                <w:sz w:val="16"/>
              </w:rPr>
              <w:t>Practice</w:t>
            </w:r>
          </w:p>
        </w:tc>
        <w:tc>
          <w:tcPr>
            <w:tcW w:type="dxa" w:w="4703"/>
          </w:tcPr>
          <w:p>
            <w:pPr>
              <w:spacing w:line="240" w:lineRule="auto" w:after="20"/>
            </w:pPr>
            <w:r>
              <w:rPr>
                <w:rFonts w:ascii="Times New Roman" w:hAnsi="Times New Roman"/>
                <w:b/>
                <w:i w:val="0"/>
                <w:sz w:val="16"/>
              </w:rPr>
              <w:t>Proportion of studies</w:t>
            </w:r>
          </w:p>
        </w:tc>
      </w:tr>
      <w:tr>
        <w:tc>
          <w:tcPr>
            <w:tcW w:type="dxa" w:w="4703"/>
          </w:tcPr>
          <w:p>
            <w:pPr>
              <w:spacing w:line="240" w:lineRule="auto" w:after="20"/>
            </w:pPr>
            <w:r>
              <w:rPr>
                <w:rFonts w:ascii="Times New Roman" w:hAnsi="Times New Roman"/>
                <w:b w:val="0"/>
                <w:i w:val="0"/>
                <w:sz w:val="16"/>
              </w:rPr>
              <w:t>Analysis of variance</w:t>
            </w:r>
          </w:p>
        </w:tc>
        <w:tc>
          <w:tcPr>
            <w:tcW w:type="dxa" w:w="4703"/>
          </w:tcPr>
          <w:p>
            <w:pPr>
              <w:spacing w:line="240" w:lineRule="auto" w:after="20"/>
            </w:pPr>
            <w:r>
              <w:rPr>
                <w:rFonts w:ascii="Times New Roman" w:hAnsi="Times New Roman"/>
                <w:b w:val="0"/>
                <w:i w:val="0"/>
                <w:sz w:val="16"/>
              </w:rPr>
              <w:t>70%</w:t>
            </w:r>
          </w:p>
        </w:tc>
      </w:tr>
      <w:tr>
        <w:tc>
          <w:tcPr>
            <w:tcW w:type="dxa" w:w="4703"/>
          </w:tcPr>
          <w:p>
            <w:pPr>
              <w:spacing w:line="240" w:lineRule="auto" w:after="20"/>
            </w:pPr>
            <w:r>
              <w:rPr>
                <w:rFonts w:ascii="Times New Roman" w:hAnsi="Times New Roman"/>
                <w:b w:val="0"/>
                <w:i w:val="0"/>
                <w:sz w:val="16"/>
              </w:rPr>
              <w:t>Generalised linear models</w:t>
            </w:r>
          </w:p>
        </w:tc>
        <w:tc>
          <w:tcPr>
            <w:tcW w:type="dxa" w:w="4703"/>
          </w:tcPr>
          <w:p>
            <w:pPr>
              <w:spacing w:line="240" w:lineRule="auto" w:after="20"/>
            </w:pPr>
            <w:r>
              <w:rPr>
                <w:rFonts w:ascii="Times New Roman" w:hAnsi="Times New Roman"/>
                <w:b w:val="0"/>
                <w:i w:val="0"/>
                <w:sz w:val="16"/>
              </w:rPr>
              <w:t>13%</w:t>
            </w:r>
          </w:p>
        </w:tc>
      </w:tr>
      <w:tr>
        <w:tc>
          <w:tcPr>
            <w:tcW w:type="dxa" w:w="4703"/>
          </w:tcPr>
          <w:p>
            <w:pPr>
              <w:spacing w:line="240" w:lineRule="auto" w:after="20"/>
            </w:pPr>
            <w:r>
              <w:rPr>
                <w:rFonts w:ascii="Times New Roman" w:hAnsi="Times New Roman"/>
                <w:b w:val="0"/>
                <w:i w:val="0"/>
                <w:sz w:val="16"/>
              </w:rPr>
              <w:t>Non-parametric tests</w:t>
            </w:r>
          </w:p>
        </w:tc>
        <w:tc>
          <w:tcPr>
            <w:tcW w:type="dxa" w:w="4703"/>
          </w:tcPr>
          <w:p>
            <w:pPr>
              <w:spacing w:line="240" w:lineRule="auto" w:after="20"/>
            </w:pPr>
            <w:r>
              <w:rPr>
                <w:rFonts w:ascii="Times New Roman" w:hAnsi="Times New Roman"/>
                <w:b w:val="0"/>
                <w:i w:val="0"/>
                <w:sz w:val="16"/>
              </w:rPr>
              <w:t>11%</w:t>
            </w:r>
          </w:p>
        </w:tc>
      </w:tr>
      <w:tr>
        <w:tc>
          <w:tcPr>
            <w:tcW w:type="dxa" w:w="4703"/>
          </w:tcPr>
          <w:p>
            <w:pPr>
              <w:spacing w:line="240" w:lineRule="auto" w:after="20"/>
            </w:pPr>
            <w:r>
              <w:rPr>
                <w:rFonts w:ascii="Times New Roman" w:hAnsi="Times New Roman"/>
                <w:b w:val="0"/>
                <w:i w:val="0"/>
                <w:sz w:val="16"/>
              </w:rPr>
              <w:t>Generalised linear mixed models</w:t>
            </w:r>
          </w:p>
        </w:tc>
        <w:tc>
          <w:tcPr>
            <w:tcW w:type="dxa" w:w="4703"/>
          </w:tcPr>
          <w:p>
            <w:pPr>
              <w:spacing w:line="240" w:lineRule="auto" w:after="20"/>
            </w:pPr>
            <w:r>
              <w:rPr>
                <w:rFonts w:ascii="Times New Roman" w:hAnsi="Times New Roman"/>
                <w:b w:val="0"/>
                <w:i w:val="0"/>
                <w:sz w:val="16"/>
              </w:rPr>
              <w:t>4%</w:t>
            </w:r>
          </w:p>
        </w:tc>
      </w:tr>
      <w:tr>
        <w:tc>
          <w:tcPr>
            <w:tcW w:type="dxa" w:w="4703"/>
          </w:tcPr>
          <w:p>
            <w:pPr>
              <w:spacing w:line="240" w:lineRule="auto" w:after="20"/>
            </w:pPr>
            <w:r>
              <w:rPr>
                <w:rFonts w:ascii="Times New Roman" w:hAnsi="Times New Roman"/>
                <w:b w:val="0"/>
                <w:i w:val="0"/>
                <w:sz w:val="16"/>
              </w:rPr>
              <w:t>Linear mixed models</w:t>
            </w:r>
          </w:p>
        </w:tc>
        <w:tc>
          <w:tcPr>
            <w:tcW w:type="dxa" w:w="4703"/>
          </w:tcPr>
          <w:p>
            <w:pPr>
              <w:spacing w:line="240" w:lineRule="auto" w:after="20"/>
            </w:pPr>
            <w:r>
              <w:rPr>
                <w:rFonts w:ascii="Times New Roman" w:hAnsi="Times New Roman"/>
                <w:b w:val="0"/>
                <w:i w:val="0"/>
                <w:sz w:val="16"/>
              </w:rPr>
              <w:t>2%</w:t>
            </w:r>
          </w:p>
        </w:tc>
      </w:tr>
    </w:tbl>
    <w:p/>
    <w:p>
      <w:pPr>
        <w:spacing w:before="0"/>
        <w:jc w:val="both"/>
      </w:pPr>
      <w:r>
        <w:rPr>
          <w:rFonts w:ascii="Times New Roman" w:hAnsi="Times New Roman"/>
          <w:b w:val="0"/>
          <w:i w:val="0"/>
          <w:sz w:val="24"/>
        </w:rPr>
        <w:t>Among studies that transformed their data, arcsine transformation was used in 87.6% — a transformation now specifically discouraged for binomial data on the grounds that logistic regression offers greater interpretability and higher power, and that the transformation produces nonsensical predictions for non-binomial proportions (Warton and Hui, 2011). The same review found that in 15 of 429 studies the number of replicates was not stated at all; that a single replication per treatment was used in 4.4% of studies; that pseudoreplication was recorded in 17.4% of studies using logistic regression, where treatments were applied to a single Petri dish and each seed was treated as a replicate; and that only 9.6% of studies using transformation checked whether the transformation had achieved its intended effect. Lack of emphasis on effect sizes was identified as a further area of concern. The reviewer's own conclusion — that the prevalence of these problems risks building a body of knowledge on a shaky ground — applies directly to the screening literature reviewed here.</w:t>
      </w:r>
    </w:p>
    <w:p>
      <w:pPr>
        <w:spacing w:before="0"/>
        <w:jc w:val="both"/>
      </w:pPr>
      <w:r>
        <w:rPr>
          <w:rFonts w:ascii="Times New Roman" w:hAnsi="Times New Roman"/>
          <w:b w:val="0"/>
          <w:i w:val="0"/>
          <w:sz w:val="24"/>
        </w:rPr>
        <w:t>Practice in this crop conforms to the pattern. The 16-genotype chilli screen described in Section 3.3 used a completely randomised factorial design with three replications and analysed its results by analysis of variance (Sharma et al., 2024); the tomato screen cited above fitted ANOVA to germination percentage, germination rate and vigour index across a genotype × concentration factorial (Yadav et al., 2025). Neither reports an alternative model or a check on the distributional assumption.</w:t>
      </w:r>
    </w:p>
    <w:p>
      <w:pPr>
        <w:spacing w:before="0"/>
        <w:jc w:val="both"/>
      </w:pPr>
      <w:r>
        <w:rPr>
          <w:rFonts w:ascii="Times New Roman" w:hAnsi="Times New Roman"/>
          <w:b w:val="0"/>
          <w:i w:val="0"/>
          <w:sz w:val="24"/>
        </w:rPr>
        <w:t>The qualification matters, because the issue is not simple and the choice was not unreasonable. Analysis of variance is not automatically wrong for these data. Where germination falls within roughly 30–70%, the response is approximately linear, variance heterogeneity is modest, and classical ANOVA with equal group sizes is reasonably robust. Where the number of observations per group is large, the binomial distribution approximates the normal. A tractable treatment of germination data makes the boundary explicit: wide differences in variance do not arise for purely binomial data in the 0.3–0.7 range of proportions, where analysis of variance is defensible, whereas data outside that range require an angular transformation or a different model altogether (Gianinetti, 2020).</w:t>
      </w:r>
    </w:p>
    <w:p>
      <w:pPr>
        <w:spacing w:before="0"/>
        <w:jc w:val="both"/>
      </w:pPr>
      <w:r>
        <w:rPr>
          <w:rFonts w:ascii="Times New Roman" w:hAnsi="Times New Roman"/>
          <w:b w:val="0"/>
          <w:i w:val="0"/>
          <w:sz w:val="24"/>
        </w:rPr>
        <w:t>The problem is not the use of ANOVA but its use in the conditions where it fails. Drought screening specifically drives germination percentages toward the boundaries — toward 100% in the control and toward 0% under severe stress — which is precisely the region where normal-error assumptions break down and where arcsine transformation performs worst. A screen at 0%, 5% and 15% PEG will produce a control near 100% and a severe-stress treatment near 0%; that is the worst-case configuration for the analysis method the field uses by default. The appropriate alternative is a generalised linear model with a binomial family and logit link, ideally with Petri dish as a random effect to account for within-dish correlation, and with the dish rather than the seed as the experimental unit. This is a change in analysis, not in experimental design, and it requires no additional resources.</w:t>
      </w:r>
    </w:p>
    <w:p>
      <w:pPr>
        <w:spacing w:before="0"/>
        <w:jc w:val="both"/>
      </w:pPr>
      <w:r>
        <w:rPr>
          <w:rFonts w:ascii="Times New Roman" w:hAnsi="Times New Roman"/>
          <w:b w:val="0"/>
          <w:i w:val="0"/>
          <w:sz w:val="24"/>
        </w:rPr>
        <w:t>A related issue is the ceiling effect. In a 32-genotype tomato screen, most genotypes failed to germinate at all at −0.35 MPa, and even the best-performing line fell from 100% germination in the control to 60% at that potential (Sivakumar et al., 2014). In an independent five-genotype study the most susceptible line reached 0% at −0.36 MPa (Yadav et al., 2025). Comparable floor effects are reported in wheat and barley at high PEG concentrations (El-Rawy and Hassan, 2014; Slawin et al., 2024). Where a stress level drives all genotypes to zero, it produces no information about relative tolerance, yet such treatments are frequently reported and interpreted. This is a further argument for genotype-specific stress levels.</w:t>
      </w:r>
    </w:p>
    <w:p>
      <w:pPr>
        <w:spacing w:before="0"/>
        <w:jc w:val="both"/>
      </w:pPr>
      <w:r>
        <w:rPr>
          <w:rFonts w:ascii="Times New Roman" w:hAnsi="Times New Roman"/>
          <w:b/>
          <w:i w:val="0"/>
          <w:sz w:val="24"/>
        </w:rPr>
        <w:t>Table 3</w:t>
      </w:r>
      <w:r>
        <w:rPr>
          <w:rFonts w:ascii="Times New Roman" w:hAnsi="Times New Roman"/>
          <w:b w:val="0"/>
          <w:i w:val="0"/>
          <w:sz w:val="24"/>
        </w:rPr>
        <w:t xml:space="preserve"> — Tolerance indices: formula, what each measures, characteristic failure mode, and appropriate use.</w:t>
        <w:br/>
      </w:r>
      <w:r>
        <w:rPr>
          <w:rFonts w:ascii="Times New Roman" w:hAnsi="Times New Roman"/>
          <w:b/>
          <w:i w:val="0"/>
          <w:sz w:val="24"/>
        </w:rPr>
        <w:t>Table 2</w:t>
      </w:r>
      <w:r>
        <w:rPr>
          <w:rFonts w:ascii="Times New Roman" w:hAnsi="Times New Roman"/>
          <w:b w:val="0"/>
          <w:i w:val="0"/>
          <w:sz w:val="24"/>
        </w:rPr>
        <w:t xml:space="preserve"> — Published screening studies by crop, with design, traits, indices, identified genotypes and stated limitations.</w:t>
      </w:r>
    </w:p>
    <w:p>
      <w:pPr>
        <w:spacing w:before="240" w:after="80"/>
      </w:pPr>
      <w:r>
        <w:rPr>
          <w:rFonts w:ascii="Times New Roman" w:hAnsi="Times New Roman"/>
          <w:b/>
          <w:sz w:val="22"/>
        </w:rPr>
        <w:t>Table 2 — Osmotic / PEG screening studies in the Solanaceae</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line="240" w:lineRule="auto" w:after="20"/>
            </w:pPr>
            <w:r>
              <w:rPr>
                <w:rFonts w:ascii="Times New Roman" w:hAnsi="Times New Roman"/>
                <w:b/>
                <w:i w:val="0"/>
                <w:sz w:val="16"/>
              </w:rPr>
              <w:t>#</w:t>
            </w:r>
          </w:p>
        </w:tc>
        <w:tc>
          <w:tcPr>
            <w:tcW w:type="dxa" w:w="1344"/>
          </w:tcPr>
          <w:p>
            <w:pPr>
              <w:spacing w:line="240" w:lineRule="auto" w:after="20"/>
            </w:pPr>
            <w:r>
              <w:rPr>
                <w:rFonts w:ascii="Times New Roman" w:hAnsi="Times New Roman"/>
                <w:b/>
                <w:i w:val="0"/>
                <w:sz w:val="16"/>
              </w:rPr>
              <w:t>Study</w:t>
            </w:r>
          </w:p>
        </w:tc>
        <w:tc>
          <w:tcPr>
            <w:tcW w:type="dxa" w:w="1344"/>
          </w:tcPr>
          <w:p>
            <w:pPr>
              <w:spacing w:line="240" w:lineRule="auto" w:after="20"/>
            </w:pPr>
            <w:r>
              <w:rPr>
                <w:rFonts w:ascii="Times New Roman" w:hAnsi="Times New Roman"/>
                <w:b/>
                <w:i w:val="0"/>
                <w:sz w:val="16"/>
              </w:rPr>
              <w:t>Crop</w:t>
            </w:r>
          </w:p>
        </w:tc>
        <w:tc>
          <w:tcPr>
            <w:tcW w:type="dxa" w:w="1344"/>
          </w:tcPr>
          <w:p>
            <w:pPr>
              <w:spacing w:line="240" w:lineRule="auto" w:after="20"/>
            </w:pPr>
            <w:r>
              <w:rPr>
                <w:rFonts w:ascii="Times New Roman" w:hAnsi="Times New Roman"/>
                <w:b/>
                <w:i w:val="0"/>
                <w:sz w:val="16"/>
              </w:rPr>
              <w:t>n</w:t>
            </w:r>
          </w:p>
        </w:tc>
        <w:tc>
          <w:tcPr>
            <w:tcW w:type="dxa" w:w="1344"/>
          </w:tcPr>
          <w:p>
            <w:pPr>
              <w:spacing w:line="240" w:lineRule="auto" w:after="20"/>
            </w:pPr>
            <w:r>
              <w:rPr>
                <w:rFonts w:ascii="Times New Roman" w:hAnsi="Times New Roman"/>
                <w:b/>
                <w:i w:val="0"/>
                <w:sz w:val="16"/>
              </w:rPr>
              <w:t>Stage</w:t>
            </w:r>
          </w:p>
        </w:tc>
        <w:tc>
          <w:tcPr>
            <w:tcW w:type="dxa" w:w="1344"/>
          </w:tcPr>
          <w:p>
            <w:pPr>
              <w:spacing w:line="240" w:lineRule="auto" w:after="20"/>
            </w:pPr>
            <w:r>
              <w:rPr>
                <w:rFonts w:ascii="Times New Roman" w:hAnsi="Times New Roman"/>
                <w:b/>
                <w:i w:val="0"/>
                <w:sz w:val="16"/>
              </w:rPr>
              <w:t>PEG level(s)</w:t>
            </w:r>
          </w:p>
        </w:tc>
        <w:tc>
          <w:tcPr>
            <w:tcW w:type="dxa" w:w="1344"/>
          </w:tcPr>
          <w:p>
            <w:pPr>
              <w:spacing w:line="240" w:lineRule="auto" w:after="20"/>
            </w:pPr>
            <w:r>
              <w:rPr>
                <w:rFonts w:ascii="Times New Roman" w:hAnsi="Times New Roman"/>
                <w:b/>
                <w:i w:val="0"/>
                <w:sz w:val="16"/>
              </w:rPr>
              <w:t>Genotypes identified</w:t>
            </w:r>
          </w:p>
        </w:tc>
      </w:tr>
      <w:tr>
        <w:tc>
          <w:tcPr>
            <w:tcW w:type="dxa" w:w="1344"/>
          </w:tcPr>
          <w:p>
            <w:pPr>
              <w:spacing w:line="240" w:lineRule="auto" w:after="20"/>
            </w:pPr>
            <w:r>
              <w:rPr>
                <w:rFonts w:ascii="Times New Roman" w:hAnsi="Times New Roman"/>
                <w:b w:val="0"/>
                <w:i w:val="0"/>
                <w:sz w:val="16"/>
              </w:rPr>
              <w:t>1</w:t>
            </w:r>
          </w:p>
        </w:tc>
        <w:tc>
          <w:tcPr>
            <w:tcW w:type="dxa" w:w="1344"/>
          </w:tcPr>
          <w:p>
            <w:pPr>
              <w:spacing w:line="240" w:lineRule="auto" w:after="20"/>
            </w:pPr>
            <w:r>
              <w:rPr>
                <w:rFonts w:ascii="Times New Roman" w:hAnsi="Times New Roman"/>
                <w:b w:val="0"/>
                <w:i w:val="0"/>
                <w:sz w:val="16"/>
              </w:rPr>
              <w:t>Sharma et al. (2024)</w:t>
            </w:r>
          </w:p>
        </w:tc>
        <w:tc>
          <w:tcPr>
            <w:tcW w:type="dxa" w:w="1344"/>
          </w:tcPr>
          <w:p>
            <w:pPr>
              <w:spacing w:line="240" w:lineRule="auto" w:after="20"/>
            </w:pPr>
            <w:r>
              <w:rPr>
                <w:rFonts w:ascii="Times New Roman" w:hAnsi="Times New Roman"/>
                <w:b w:val="0"/>
                <w:i/>
                <w:sz w:val="16"/>
              </w:rPr>
              <w:t>C. annuum</w:t>
            </w:r>
          </w:p>
        </w:tc>
        <w:tc>
          <w:tcPr>
            <w:tcW w:type="dxa" w:w="1344"/>
          </w:tcPr>
          <w:p>
            <w:pPr>
              <w:spacing w:line="240" w:lineRule="auto" w:after="20"/>
            </w:pPr>
            <w:r>
              <w:rPr>
                <w:rFonts w:ascii="Times New Roman" w:hAnsi="Times New Roman"/>
                <w:b w:val="0"/>
                <w:i w:val="0"/>
                <w:sz w:val="16"/>
              </w:rPr>
              <w:t>16</w:t>
            </w:r>
          </w:p>
        </w:tc>
        <w:tc>
          <w:tcPr>
            <w:tcW w:type="dxa" w:w="1344"/>
          </w:tcPr>
          <w:p>
            <w:pPr>
              <w:spacing w:line="240" w:lineRule="auto" w:after="20"/>
            </w:pPr>
            <w:r>
              <w:rPr>
                <w:rFonts w:ascii="Times New Roman" w:hAnsi="Times New Roman"/>
                <w:b w:val="0"/>
                <w:i w:val="0"/>
                <w:sz w:val="16"/>
              </w:rPr>
              <w:t>Seedling</w:t>
            </w:r>
          </w:p>
        </w:tc>
        <w:tc>
          <w:tcPr>
            <w:tcW w:type="dxa" w:w="1344"/>
          </w:tcPr>
          <w:p>
            <w:pPr>
              <w:spacing w:line="240" w:lineRule="auto" w:after="20"/>
            </w:pPr>
            <w:r>
              <w:rPr>
                <w:rFonts w:ascii="Times New Roman" w:hAnsi="Times New Roman"/>
                <w:b w:val="0"/>
                <w:i w:val="0"/>
                <w:sz w:val="16"/>
              </w:rPr>
              <w:t>5, 10, 15% (−0.3, −0.6, −0.9 MPa)</w:t>
            </w:r>
          </w:p>
        </w:tc>
        <w:tc>
          <w:tcPr>
            <w:tcW w:type="dxa" w:w="1344"/>
          </w:tcPr>
          <w:p>
            <w:pPr>
              <w:spacing w:line="240" w:lineRule="auto" w:after="20"/>
            </w:pPr>
            <w:r>
              <w:rPr>
                <w:rFonts w:ascii="Times New Roman" w:hAnsi="Times New Roman"/>
                <w:b/>
                <w:i w:val="0"/>
                <w:sz w:val="16"/>
              </w:rPr>
              <w:t>Tolerant:</w:t>
            </w:r>
            <w:r>
              <w:rPr>
                <w:rFonts w:ascii="Times New Roman" w:hAnsi="Times New Roman"/>
                <w:b w:val="0"/>
                <w:i w:val="0"/>
                <w:sz w:val="16"/>
              </w:rPr>
              <w:t xml:space="preserve"> UARChH 42, UARChH 43, Arka Swetha</w:t>
            </w:r>
          </w:p>
        </w:tc>
      </w:tr>
      <w:tr>
        <w:tc>
          <w:tcPr>
            <w:tcW w:type="dxa" w:w="1344"/>
          </w:tcPr>
          <w:p>
            <w:pPr>
              <w:spacing w:line="240" w:lineRule="auto" w:after="20"/>
            </w:pPr>
            <w:r>
              <w:rPr>
                <w:rFonts w:ascii="Times New Roman" w:hAnsi="Times New Roman"/>
                <w:b w:val="0"/>
                <w:i w:val="0"/>
                <w:sz w:val="16"/>
              </w:rPr>
              <w:t>2</w:t>
            </w:r>
          </w:p>
        </w:tc>
        <w:tc>
          <w:tcPr>
            <w:tcW w:type="dxa" w:w="1344"/>
          </w:tcPr>
          <w:p>
            <w:pPr>
              <w:spacing w:line="240" w:lineRule="auto" w:after="20"/>
            </w:pPr>
            <w:r>
              <w:rPr>
                <w:rFonts w:ascii="Times New Roman" w:hAnsi="Times New Roman"/>
                <w:b w:val="0"/>
                <w:i w:val="0"/>
                <w:sz w:val="16"/>
              </w:rPr>
              <w:t>Millah et al. (2021)</w:t>
            </w:r>
          </w:p>
        </w:tc>
        <w:tc>
          <w:tcPr>
            <w:tcW w:type="dxa" w:w="1344"/>
          </w:tcPr>
          <w:p>
            <w:pPr>
              <w:spacing w:line="240" w:lineRule="auto" w:after="20"/>
            </w:pPr>
            <w:r>
              <w:rPr>
                <w:rFonts w:ascii="Times New Roman" w:hAnsi="Times New Roman"/>
                <w:b w:val="0"/>
                <w:i/>
                <w:sz w:val="16"/>
              </w:rPr>
              <w:t>C. annuum</w:t>
            </w:r>
          </w:p>
        </w:tc>
        <w:tc>
          <w:tcPr>
            <w:tcW w:type="dxa" w:w="1344"/>
          </w:tcPr>
          <w:p>
            <w:pPr>
              <w:spacing w:line="240" w:lineRule="auto" w:after="20"/>
            </w:pPr>
            <w:r>
              <w:rPr>
                <w:rFonts w:ascii="Times New Roman" w:hAnsi="Times New Roman"/>
                <w:b w:val="0"/>
                <w:i w:val="0"/>
                <w:sz w:val="16"/>
              </w:rPr>
              <w:t>22</w:t>
            </w:r>
          </w:p>
        </w:tc>
        <w:tc>
          <w:tcPr>
            <w:tcW w:type="dxa" w:w="1344"/>
          </w:tcPr>
          <w:p>
            <w:pPr>
              <w:spacing w:line="240" w:lineRule="auto" w:after="20"/>
            </w:pPr>
            <w:r>
              <w:rPr>
                <w:rFonts w:ascii="Times New Roman" w:hAnsi="Times New Roman"/>
                <w:b w:val="0"/>
                <w:i w:val="0"/>
                <w:sz w:val="16"/>
              </w:rPr>
              <w:t>Germination</w:t>
            </w:r>
          </w:p>
        </w:tc>
        <w:tc>
          <w:tcPr>
            <w:tcW w:type="dxa" w:w="1344"/>
          </w:tcPr>
          <w:p>
            <w:pPr>
              <w:spacing w:line="240" w:lineRule="auto" w:after="20"/>
            </w:pPr>
            <w:r>
              <w:rPr>
                <w:rFonts w:ascii="Times New Roman" w:hAnsi="Times New Roman"/>
                <w:b w:val="0"/>
                <w:i w:val="0"/>
                <w:sz w:val="16"/>
              </w:rPr>
              <w:t>15%</w:t>
            </w:r>
          </w:p>
        </w:tc>
        <w:tc>
          <w:tcPr>
            <w:tcW w:type="dxa" w:w="1344"/>
          </w:tcPr>
          <w:p>
            <w:pPr>
              <w:spacing w:line="240" w:lineRule="auto" w:after="20"/>
            </w:pPr>
            <w:r>
              <w:rPr>
                <w:rFonts w:ascii="Times New Roman" w:hAnsi="Times New Roman"/>
                <w:b/>
                <w:i w:val="0"/>
                <w:sz w:val="16"/>
              </w:rPr>
              <w:t>Tolerant:</w:t>
            </w:r>
            <w:r>
              <w:rPr>
                <w:rFonts w:ascii="Times New Roman" w:hAnsi="Times New Roman"/>
                <w:b w:val="0"/>
                <w:i w:val="0"/>
                <w:sz w:val="16"/>
              </w:rPr>
              <w:t xml:space="preserve"> C7 (all traits); C120, C37, C18</w:t>
            </w:r>
          </w:p>
        </w:tc>
      </w:tr>
      <w:tr>
        <w:tc>
          <w:tcPr>
            <w:tcW w:type="dxa" w:w="1344"/>
          </w:tcPr>
          <w:p>
            <w:pPr>
              <w:spacing w:line="240" w:lineRule="auto" w:after="20"/>
            </w:pPr>
            <w:r>
              <w:rPr>
                <w:rFonts w:ascii="Times New Roman" w:hAnsi="Times New Roman"/>
                <w:b w:val="0"/>
                <w:i w:val="0"/>
                <w:sz w:val="16"/>
              </w:rPr>
              <w:t>3</w:t>
            </w:r>
          </w:p>
        </w:tc>
        <w:tc>
          <w:tcPr>
            <w:tcW w:type="dxa" w:w="1344"/>
          </w:tcPr>
          <w:p>
            <w:pPr>
              <w:spacing w:line="240" w:lineRule="auto" w:after="20"/>
            </w:pPr>
            <w:r>
              <w:rPr>
                <w:rFonts w:ascii="Times New Roman" w:hAnsi="Times New Roman"/>
                <w:b w:val="0"/>
                <w:i w:val="0"/>
                <w:sz w:val="16"/>
              </w:rPr>
              <w:t>Molla et al. (2019)</w:t>
            </w:r>
          </w:p>
        </w:tc>
        <w:tc>
          <w:tcPr>
            <w:tcW w:type="dxa" w:w="1344"/>
          </w:tcPr>
          <w:p>
            <w:pPr>
              <w:spacing w:line="240" w:lineRule="auto" w:after="20"/>
            </w:pPr>
            <w:r>
              <w:rPr>
                <w:rFonts w:ascii="Times New Roman" w:hAnsi="Times New Roman"/>
                <w:b w:val="0"/>
                <w:i/>
                <w:sz w:val="16"/>
              </w:rPr>
              <w:t>C. annuum</w:t>
            </w:r>
          </w:p>
        </w:tc>
        <w:tc>
          <w:tcPr>
            <w:tcW w:type="dxa" w:w="1344"/>
          </w:tcPr>
          <w:p>
            <w:pPr>
              <w:spacing w:line="240" w:lineRule="auto" w:after="20"/>
            </w:pPr>
            <w:r>
              <w:rPr>
                <w:rFonts w:ascii="Times New Roman" w:hAnsi="Times New Roman"/>
                <w:b w:val="0"/>
                <w:i w:val="0"/>
                <w:sz w:val="16"/>
              </w:rPr>
              <w:t>47</w:t>
            </w:r>
          </w:p>
        </w:tc>
        <w:tc>
          <w:tcPr>
            <w:tcW w:type="dxa" w:w="1344"/>
          </w:tcPr>
          <w:p>
            <w:pPr>
              <w:spacing w:line="240" w:lineRule="auto" w:after="20"/>
            </w:pPr>
            <w:r>
              <w:rPr>
                <w:rFonts w:ascii="Times New Roman" w:hAnsi="Times New Roman"/>
                <w:b w:val="0"/>
                <w:i w:val="0"/>
                <w:sz w:val="16"/>
              </w:rPr>
              <w:t>Germination / emergence</w:t>
            </w:r>
          </w:p>
        </w:tc>
        <w:tc>
          <w:tcPr>
            <w:tcW w:type="dxa" w:w="1344"/>
          </w:tcPr>
          <w:p>
            <w:pPr>
              <w:spacing w:line="240" w:lineRule="auto" w:after="20"/>
            </w:pPr>
            <w:r>
              <w:rPr>
                <w:rFonts w:ascii="Times New Roman" w:hAnsi="Times New Roman"/>
                <w:b w:val="0"/>
                <w:i w:val="0"/>
                <w:sz w:val="16"/>
              </w:rPr>
              <w:t>12.5%</w:t>
            </w:r>
          </w:p>
        </w:tc>
        <w:tc>
          <w:tcPr>
            <w:tcW w:type="dxa" w:w="1344"/>
          </w:tcPr>
          <w:p>
            <w:pPr>
              <w:spacing w:line="240" w:lineRule="auto" w:after="20"/>
            </w:pPr>
            <w:r>
              <w:rPr>
                <w:rFonts w:ascii="Times New Roman" w:hAnsi="Times New Roman"/>
                <w:b/>
                <w:i w:val="0"/>
                <w:sz w:val="16"/>
              </w:rPr>
              <w:t>Tolerant:</w:t>
            </w:r>
            <w:r>
              <w:rPr>
                <w:rFonts w:ascii="Times New Roman" w:hAnsi="Times New Roman"/>
                <w:b w:val="0"/>
                <w:i w:val="0"/>
                <w:sz w:val="16"/>
              </w:rPr>
              <w:t xml:space="preserve"> BD-10906, BD-10912, BD-10911, BD-10916, BD-10913</w:t>
            </w:r>
          </w:p>
        </w:tc>
      </w:tr>
      <w:tr>
        <w:tc>
          <w:tcPr>
            <w:tcW w:type="dxa" w:w="1344"/>
          </w:tcPr>
          <w:p>
            <w:pPr>
              <w:spacing w:line="240" w:lineRule="auto" w:after="20"/>
            </w:pPr>
            <w:r>
              <w:rPr>
                <w:rFonts w:ascii="Times New Roman" w:hAnsi="Times New Roman"/>
                <w:b w:val="0"/>
                <w:i w:val="0"/>
                <w:sz w:val="16"/>
              </w:rPr>
              <w:t>4</w:t>
            </w:r>
          </w:p>
        </w:tc>
        <w:tc>
          <w:tcPr>
            <w:tcW w:type="dxa" w:w="1344"/>
          </w:tcPr>
          <w:p>
            <w:pPr>
              <w:spacing w:line="240" w:lineRule="auto" w:after="20"/>
            </w:pPr>
            <w:r>
              <w:rPr>
                <w:rFonts w:ascii="Times New Roman" w:hAnsi="Times New Roman"/>
                <w:b w:val="0"/>
                <w:i w:val="0"/>
                <w:sz w:val="16"/>
              </w:rPr>
              <w:t>Yadav et al. (2025)</w:t>
            </w:r>
          </w:p>
        </w:tc>
        <w:tc>
          <w:tcPr>
            <w:tcW w:type="dxa" w:w="1344"/>
          </w:tcPr>
          <w:p>
            <w:pPr>
              <w:spacing w:line="240" w:lineRule="auto" w:after="20"/>
            </w:pPr>
            <w:r>
              <w:rPr>
                <w:rFonts w:ascii="Times New Roman" w:hAnsi="Times New Roman"/>
                <w:b w:val="0"/>
                <w:i w:val="0"/>
                <w:sz w:val="16"/>
              </w:rPr>
              <w:t>Tomato</w:t>
            </w:r>
          </w:p>
        </w:tc>
        <w:tc>
          <w:tcPr>
            <w:tcW w:type="dxa" w:w="1344"/>
          </w:tcPr>
          <w:p>
            <w:pPr>
              <w:spacing w:line="240" w:lineRule="auto" w:after="20"/>
            </w:pPr>
            <w:r>
              <w:rPr>
                <w:rFonts w:ascii="Times New Roman" w:hAnsi="Times New Roman"/>
                <w:b w:val="0"/>
                <w:i w:val="0"/>
                <w:sz w:val="16"/>
              </w:rPr>
              <w:t>5</w:t>
            </w:r>
          </w:p>
        </w:tc>
        <w:tc>
          <w:tcPr>
            <w:tcW w:type="dxa" w:w="1344"/>
          </w:tcPr>
          <w:p>
            <w:pPr>
              <w:spacing w:line="240" w:lineRule="auto" w:after="20"/>
            </w:pPr>
            <w:r>
              <w:rPr>
                <w:rFonts w:ascii="Times New Roman" w:hAnsi="Times New Roman"/>
                <w:b w:val="0"/>
                <w:i w:val="0"/>
                <w:sz w:val="16"/>
              </w:rPr>
              <w:t>Germination / seedling</w:t>
            </w:r>
          </w:p>
        </w:tc>
        <w:tc>
          <w:tcPr>
            <w:tcW w:type="dxa" w:w="1344"/>
          </w:tcPr>
          <w:p>
            <w:pPr>
              <w:spacing w:line="240" w:lineRule="auto" w:after="20"/>
            </w:pPr>
            <w:r>
              <w:rPr>
                <w:rFonts w:ascii="Times New Roman" w:hAnsi="Times New Roman"/>
                <w:b w:val="0"/>
                <w:i w:val="0"/>
                <w:sz w:val="16"/>
              </w:rPr>
              <w:t>3% (−0.18 MPa)</w:t>
            </w:r>
          </w:p>
        </w:tc>
        <w:tc>
          <w:tcPr>
            <w:tcW w:type="dxa" w:w="1344"/>
          </w:tcPr>
          <w:p>
            <w:pPr>
              <w:spacing w:line="240" w:lineRule="auto" w:after="20"/>
            </w:pPr>
            <w:r>
              <w:rPr>
                <w:rFonts w:ascii="Times New Roman" w:hAnsi="Times New Roman"/>
                <w:b/>
                <w:i w:val="0"/>
                <w:sz w:val="16"/>
              </w:rPr>
              <w:t>Tolerant:</w:t>
            </w:r>
            <w:r>
              <w:rPr>
                <w:rFonts w:ascii="Times New Roman" w:hAnsi="Times New Roman"/>
                <w:b w:val="0"/>
                <w:i w:val="0"/>
                <w:sz w:val="16"/>
              </w:rPr>
              <w:t xml:space="preserve"> NGRCO9569, Monoprecos, Khumal 2</w:t>
            </w:r>
          </w:p>
        </w:tc>
      </w:tr>
      <w:tr>
        <w:tc>
          <w:tcPr>
            <w:tcW w:type="dxa" w:w="1344"/>
          </w:tcPr>
          <w:p>
            <w:pPr>
              <w:spacing w:line="240" w:lineRule="auto" w:after="20"/>
            </w:pPr>
            <w:r>
              <w:rPr>
                <w:rFonts w:ascii="Times New Roman" w:hAnsi="Times New Roman"/>
                <w:b w:val="0"/>
                <w:i w:val="0"/>
                <w:sz w:val="16"/>
              </w:rPr>
              <w:t>5</w:t>
            </w:r>
          </w:p>
        </w:tc>
        <w:tc>
          <w:tcPr>
            <w:tcW w:type="dxa" w:w="1344"/>
          </w:tcPr>
          <w:p>
            <w:pPr>
              <w:spacing w:line="240" w:lineRule="auto" w:after="20"/>
            </w:pPr>
            <w:r>
              <w:rPr>
                <w:rFonts w:ascii="Times New Roman" w:hAnsi="Times New Roman"/>
                <w:b w:val="0"/>
                <w:i w:val="0"/>
                <w:sz w:val="16"/>
              </w:rPr>
              <w:t>Alnaddaf et al. (2026)</w:t>
            </w:r>
          </w:p>
        </w:tc>
        <w:tc>
          <w:tcPr>
            <w:tcW w:type="dxa" w:w="1344"/>
          </w:tcPr>
          <w:p>
            <w:pPr>
              <w:spacing w:line="240" w:lineRule="auto" w:after="20"/>
            </w:pPr>
            <w:r>
              <w:rPr>
                <w:rFonts w:ascii="Times New Roman" w:hAnsi="Times New Roman"/>
                <w:b w:val="0"/>
                <w:i w:val="0"/>
                <w:sz w:val="16"/>
              </w:rPr>
              <w:t>Tomato</w:t>
            </w:r>
          </w:p>
        </w:tc>
        <w:tc>
          <w:tcPr>
            <w:tcW w:type="dxa" w:w="1344"/>
          </w:tcPr>
          <w:p>
            <w:pPr>
              <w:spacing w:line="240" w:lineRule="auto" w:after="20"/>
            </w:pPr>
            <w:r>
              <w:rPr>
                <w:rFonts w:ascii="Times New Roman" w:hAnsi="Times New Roman"/>
                <w:b w:val="0"/>
                <w:i w:val="0"/>
                <w:sz w:val="16"/>
              </w:rPr>
              <w:t>multi</w:t>
            </w:r>
          </w:p>
        </w:tc>
        <w:tc>
          <w:tcPr>
            <w:tcW w:type="dxa" w:w="1344"/>
          </w:tcPr>
          <w:p>
            <w:pPr>
              <w:spacing w:line="240" w:lineRule="auto" w:after="20"/>
            </w:pPr>
            <w:r>
              <w:rPr>
                <w:rFonts w:ascii="Times New Roman" w:hAnsi="Times New Roman"/>
                <w:b/>
                <w:i w:val="0"/>
                <w:sz w:val="16"/>
              </w:rPr>
              <w:t>Callus</w:t>
            </w:r>
          </w:p>
        </w:tc>
        <w:tc>
          <w:tcPr>
            <w:tcW w:type="dxa" w:w="1344"/>
          </w:tcPr>
          <w:p>
            <w:pPr>
              <w:spacing w:line="240" w:lineRule="auto" w:after="20"/>
            </w:pPr>
            <w:r>
              <w:rPr>
                <w:rFonts w:ascii="Times New Roman" w:hAnsi="Times New Roman"/>
                <w:b/>
                <w:i w:val="0"/>
                <w:sz w:val="16"/>
              </w:rPr>
              <w:t>0–8%</w:t>
            </w:r>
            <w:r>
              <w:rPr>
                <w:rFonts w:ascii="Times New Roman" w:hAnsi="Times New Roman"/>
                <w:b w:val="0"/>
                <w:i w:val="0"/>
                <w:sz w:val="16"/>
              </w:rPr>
              <w:t>, genotype-specific LC50</w:t>
            </w:r>
          </w:p>
        </w:tc>
        <w:tc>
          <w:tcPr>
            <w:tcW w:type="dxa" w:w="1344"/>
          </w:tcPr>
          <w:p>
            <w:pPr>
              <w:spacing w:line="240" w:lineRule="auto" w:after="20"/>
            </w:pPr>
            <w:r>
              <w:rPr>
                <w:rFonts w:ascii="Times New Roman" w:hAnsi="Times New Roman"/>
                <w:b w:val="0"/>
                <w:i w:val="0"/>
                <w:sz w:val="16"/>
              </w:rPr>
              <w:t>Daraa, Brieh (best RGR maintenance)</w:t>
            </w:r>
          </w:p>
        </w:tc>
      </w:tr>
      <w:tr>
        <w:tc>
          <w:tcPr>
            <w:tcW w:type="dxa" w:w="1344"/>
          </w:tcPr>
          <w:p>
            <w:pPr>
              <w:spacing w:line="240" w:lineRule="auto" w:after="20"/>
            </w:pPr>
            <w:r>
              <w:rPr>
                <w:rFonts w:ascii="Times New Roman" w:hAnsi="Times New Roman"/>
                <w:b w:val="0"/>
                <w:i w:val="0"/>
                <w:sz w:val="16"/>
              </w:rPr>
              <w:t>6</w:t>
            </w:r>
          </w:p>
        </w:tc>
        <w:tc>
          <w:tcPr>
            <w:tcW w:type="dxa" w:w="1344"/>
          </w:tcPr>
          <w:p>
            <w:pPr>
              <w:spacing w:line="240" w:lineRule="auto" w:after="20"/>
            </w:pPr>
            <w:r>
              <w:rPr>
                <w:rFonts w:ascii="Times New Roman" w:hAnsi="Times New Roman"/>
                <w:b w:val="0"/>
                <w:i w:val="0"/>
                <w:sz w:val="16"/>
              </w:rPr>
              <w:t>Thin et al. (2026)</w:t>
            </w:r>
          </w:p>
        </w:tc>
        <w:tc>
          <w:tcPr>
            <w:tcW w:type="dxa" w:w="1344"/>
          </w:tcPr>
          <w:p>
            <w:pPr>
              <w:spacing w:line="240" w:lineRule="auto" w:after="20"/>
            </w:pPr>
            <w:r>
              <w:rPr>
                <w:rFonts w:ascii="Times New Roman" w:hAnsi="Times New Roman"/>
                <w:b w:val="0"/>
                <w:i/>
                <w:sz w:val="16"/>
              </w:rPr>
              <w:t>Capsicum</w:t>
            </w:r>
            <w:r>
              <w:rPr>
                <w:rFonts w:ascii="Times New Roman" w:hAnsi="Times New Roman"/>
                <w:b w:val="0"/>
                <w:i w:val="0"/>
                <w:sz w:val="16"/>
              </w:rPr>
              <w:t xml:space="preserve"> spp.</w:t>
            </w:r>
          </w:p>
        </w:tc>
        <w:tc>
          <w:tcPr>
            <w:tcW w:type="dxa" w:w="1344"/>
          </w:tcPr>
          <w:p>
            <w:pPr>
              <w:spacing w:line="240" w:lineRule="auto" w:after="20"/>
            </w:pPr>
            <w:r>
              <w:rPr>
                <w:rFonts w:ascii="Times New Roman" w:hAnsi="Times New Roman"/>
                <w:b w:val="0"/>
                <w:i w:val="0"/>
                <w:sz w:val="16"/>
              </w:rPr>
              <w:t>100</w:t>
            </w:r>
          </w:p>
        </w:tc>
        <w:tc>
          <w:tcPr>
            <w:tcW w:type="dxa" w:w="1344"/>
          </w:tcPr>
          <w:p>
            <w:pPr>
              <w:spacing w:line="240" w:lineRule="auto" w:after="20"/>
            </w:pPr>
            <w:r>
              <w:rPr>
                <w:rFonts w:ascii="Times New Roman" w:hAnsi="Times New Roman"/>
                <w:b w:val="0"/>
                <w:i w:val="0"/>
                <w:sz w:val="16"/>
              </w:rPr>
              <w:t>Vegetative</w:t>
            </w:r>
          </w:p>
        </w:tc>
        <w:tc>
          <w:tcPr>
            <w:tcW w:type="dxa" w:w="1344"/>
          </w:tcPr>
          <w:p>
            <w:pPr>
              <w:spacing w:line="240" w:lineRule="auto" w:after="20"/>
            </w:pPr>
            <w:r>
              <w:rPr>
                <w:rFonts w:ascii="Times New Roman" w:hAnsi="Times New Roman"/>
                <w:b w:val="0"/>
                <w:i w:val="0"/>
                <w:sz w:val="16"/>
              </w:rPr>
              <w:t>Water withholding (21 d)</w:t>
            </w:r>
          </w:p>
        </w:tc>
        <w:tc>
          <w:tcPr>
            <w:tcW w:type="dxa" w:w="1344"/>
          </w:tcPr>
          <w:p>
            <w:pPr>
              <w:spacing w:line="240" w:lineRule="auto" w:after="20"/>
            </w:pPr>
            <w:r>
              <w:rPr>
                <w:rFonts w:ascii="Times New Roman" w:hAnsi="Times New Roman"/>
                <w:b/>
                <w:i w:val="0"/>
                <w:sz w:val="16"/>
              </w:rPr>
              <w:t>Resistant:</w:t>
            </w:r>
            <w:r>
              <w:rPr>
                <w:rFonts w:ascii="Times New Roman" w:hAnsi="Times New Roman"/>
                <w:b w:val="0"/>
                <w:i w:val="0"/>
                <w:sz w:val="16"/>
              </w:rPr>
              <w:t xml:space="preserve"> IT308761, IT250221, IT158637</w:t>
            </w:r>
          </w:p>
        </w:tc>
      </w:tr>
      <w:tr>
        <w:tc>
          <w:tcPr>
            <w:tcW w:type="dxa" w:w="1344"/>
          </w:tcPr>
          <w:p>
            <w:pPr>
              <w:spacing w:line="240" w:lineRule="auto" w:after="20"/>
            </w:pPr>
            <w:r>
              <w:rPr>
                <w:rFonts w:ascii="Times New Roman" w:hAnsi="Times New Roman"/>
                <w:b w:val="0"/>
                <w:i w:val="0"/>
                <w:sz w:val="16"/>
              </w:rPr>
              <w:t>7</w:t>
            </w:r>
          </w:p>
        </w:tc>
        <w:tc>
          <w:tcPr>
            <w:tcW w:type="dxa" w:w="1344"/>
          </w:tcPr>
          <w:p>
            <w:pPr>
              <w:spacing w:line="240" w:lineRule="auto" w:after="20"/>
            </w:pPr>
            <w:r>
              <w:rPr>
                <w:rFonts w:ascii="Times New Roman" w:hAnsi="Times New Roman"/>
                <w:b w:val="0"/>
                <w:i w:val="0"/>
                <w:sz w:val="16"/>
              </w:rPr>
              <w:t>Krommydas et al. (2025)</w:t>
            </w:r>
          </w:p>
        </w:tc>
        <w:tc>
          <w:tcPr>
            <w:tcW w:type="dxa" w:w="1344"/>
          </w:tcPr>
          <w:p>
            <w:pPr>
              <w:spacing w:line="240" w:lineRule="auto" w:after="20"/>
            </w:pPr>
            <w:r>
              <w:rPr>
                <w:rFonts w:ascii="Times New Roman" w:hAnsi="Times New Roman"/>
                <w:b w:val="0"/>
                <w:i/>
                <w:sz w:val="16"/>
              </w:rPr>
              <w:t>S. melongena</w:t>
            </w:r>
            <w:r>
              <w:rPr>
                <w:rFonts w:ascii="Times New Roman" w:hAnsi="Times New Roman"/>
                <w:b w:val="0"/>
                <w:i w:val="0"/>
                <w:sz w:val="16"/>
              </w:rPr>
              <w:t xml:space="preserve"> × wild </w:t>
            </w:r>
            <w:r>
              <w:rPr>
                <w:rFonts w:ascii="Times New Roman" w:hAnsi="Times New Roman"/>
                <w:b w:val="0"/>
                <w:i/>
                <w:sz w:val="16"/>
              </w:rPr>
              <w:t>Solanum</w:t>
            </w:r>
          </w:p>
        </w:tc>
        <w:tc>
          <w:tcPr>
            <w:tcW w:type="dxa" w:w="1344"/>
          </w:tcPr>
          <w:p>
            <w:pPr>
              <w:spacing w:line="240" w:lineRule="auto" w:after="20"/>
            </w:pPr>
            <w:r>
              <w:rPr>
                <w:rFonts w:ascii="Times New Roman" w:hAnsi="Times New Roman"/>
                <w:b w:val="0"/>
                <w:i w:val="0"/>
                <w:sz w:val="16"/>
              </w:rPr>
              <w:t>4 + hybrids</w:t>
            </w:r>
          </w:p>
        </w:tc>
        <w:tc>
          <w:tcPr>
            <w:tcW w:type="dxa" w:w="1344"/>
          </w:tcPr>
          <w:p>
            <w:pPr>
              <w:spacing w:line="240" w:lineRule="auto" w:after="20"/>
            </w:pPr>
            <w:r>
              <w:rPr>
                <w:rFonts w:ascii="Times New Roman" w:hAnsi="Times New Roman"/>
                <w:b w:val="0"/>
                <w:i w:val="0"/>
                <w:sz w:val="16"/>
              </w:rPr>
              <w:t>Vegetative (4 wk)</w:t>
            </w:r>
          </w:p>
        </w:tc>
        <w:tc>
          <w:tcPr>
            <w:tcW w:type="dxa" w:w="1344"/>
          </w:tcPr>
          <w:p>
            <w:pPr>
              <w:spacing w:line="240" w:lineRule="auto" w:after="20"/>
            </w:pPr>
            <w:r>
              <w:rPr>
                <w:rFonts w:ascii="Times New Roman" w:hAnsi="Times New Roman"/>
                <w:b w:val="0"/>
                <w:i w:val="0"/>
                <w:sz w:val="16"/>
              </w:rPr>
              <w:t>Water stress</w:t>
            </w:r>
          </w:p>
        </w:tc>
        <w:tc>
          <w:tcPr>
            <w:tcW w:type="dxa" w:w="1344"/>
          </w:tcPr>
          <w:p>
            <w:pPr>
              <w:spacing w:line="240" w:lineRule="auto" w:after="20"/>
            </w:pPr>
            <w:r>
              <w:rPr>
                <w:rFonts w:ascii="Times New Roman" w:hAnsi="Times New Roman"/>
                <w:b w:val="0"/>
                <w:i/>
                <w:sz w:val="16"/>
              </w:rPr>
              <w:t>S. macrocarpon</w:t>
            </w:r>
            <w:r>
              <w:rPr>
                <w:rFonts w:ascii="Times New Roman" w:hAnsi="Times New Roman"/>
                <w:b w:val="0"/>
                <w:i w:val="0"/>
                <w:sz w:val="16"/>
              </w:rPr>
              <w:t xml:space="preserve"> tolerant; </w:t>
            </w:r>
            <w:r>
              <w:rPr>
                <w:rFonts w:ascii="Times New Roman" w:hAnsi="Times New Roman"/>
                <w:b w:val="0"/>
                <w:i/>
                <w:sz w:val="16"/>
              </w:rPr>
              <w:t>S. dasyphyllum</w:t>
            </w:r>
            <w:r>
              <w:rPr>
                <w:rFonts w:ascii="Times New Roman" w:hAnsi="Times New Roman"/>
                <w:b w:val="0"/>
                <w:i w:val="0"/>
                <w:sz w:val="16"/>
              </w:rPr>
              <w:t xml:space="preserve"> intermediate; cultivated </w:t>
            </w:r>
            <w:r>
              <w:rPr>
                <w:rFonts w:ascii="Times New Roman" w:hAnsi="Times New Roman"/>
                <w:b w:val="0"/>
                <w:i/>
                <w:sz w:val="16"/>
              </w:rPr>
              <w:t>S. melongena</w:t>
            </w:r>
            <w:r>
              <w:rPr>
                <w:rFonts w:ascii="Times New Roman" w:hAnsi="Times New Roman"/>
                <w:b w:val="0"/>
                <w:i w:val="0"/>
                <w:sz w:val="16"/>
              </w:rPr>
              <w:t xml:space="preserve"> sensitive</w:t>
            </w:r>
          </w:p>
        </w:tc>
      </w:tr>
      <w:tr>
        <w:tc>
          <w:tcPr>
            <w:tcW w:type="dxa" w:w="1344"/>
          </w:tcPr>
          <w:p>
            <w:pPr>
              <w:spacing w:line="240" w:lineRule="auto" w:after="20"/>
            </w:pPr>
            <w:r>
              <w:rPr>
                <w:rFonts w:ascii="Times New Roman" w:hAnsi="Times New Roman"/>
                <w:b w:val="0"/>
                <w:i w:val="0"/>
                <w:sz w:val="16"/>
              </w:rPr>
              <w:t>8</w:t>
            </w:r>
          </w:p>
        </w:tc>
        <w:tc>
          <w:tcPr>
            <w:tcW w:type="dxa" w:w="1344"/>
          </w:tcPr>
          <w:p>
            <w:pPr>
              <w:spacing w:line="240" w:lineRule="auto" w:after="20"/>
            </w:pPr>
            <w:r>
              <w:rPr>
                <w:rFonts w:ascii="Times New Roman" w:hAnsi="Times New Roman"/>
                <w:b w:val="0"/>
                <w:i w:val="0"/>
                <w:sz w:val="16"/>
              </w:rPr>
              <w:t>Anagha et al. (2026)</w:t>
            </w:r>
          </w:p>
        </w:tc>
        <w:tc>
          <w:tcPr>
            <w:tcW w:type="dxa" w:w="1344"/>
          </w:tcPr>
          <w:p>
            <w:pPr>
              <w:spacing w:line="240" w:lineRule="auto" w:after="20"/>
            </w:pPr>
            <w:r>
              <w:rPr>
                <w:rFonts w:ascii="Times New Roman" w:hAnsi="Times New Roman"/>
                <w:b w:val="0"/>
                <w:i w:val="0"/>
                <w:sz w:val="16"/>
              </w:rPr>
              <w:t xml:space="preserve">15 </w:t>
            </w:r>
            <w:r>
              <w:rPr>
                <w:rFonts w:ascii="Times New Roman" w:hAnsi="Times New Roman"/>
                <w:b w:val="0"/>
                <w:i/>
                <w:sz w:val="16"/>
              </w:rPr>
              <w:t>Solanum</w:t>
            </w:r>
            <w:r>
              <w:rPr>
                <w:rFonts w:ascii="Times New Roman" w:hAnsi="Times New Roman"/>
                <w:b w:val="0"/>
                <w:i w:val="0"/>
                <w:sz w:val="16"/>
              </w:rPr>
              <w:t xml:space="preserve"> spp.</w:t>
            </w:r>
          </w:p>
        </w:tc>
        <w:tc>
          <w:tcPr>
            <w:tcW w:type="dxa" w:w="1344"/>
          </w:tcPr>
          <w:p>
            <w:pPr>
              <w:spacing w:line="240" w:lineRule="auto" w:after="20"/>
            </w:pPr>
            <w:r>
              <w:rPr>
                <w:rFonts w:ascii="Times New Roman" w:hAnsi="Times New Roman"/>
                <w:b w:val="0"/>
                <w:i w:val="0"/>
                <w:sz w:val="16"/>
              </w:rPr>
              <w:t>24</w:t>
            </w:r>
          </w:p>
        </w:tc>
        <w:tc>
          <w:tcPr>
            <w:tcW w:type="dxa" w:w="1344"/>
          </w:tcPr>
          <w:p>
            <w:pPr>
              <w:spacing w:line="240" w:lineRule="auto" w:after="20"/>
            </w:pPr>
            <w:r>
              <w:rPr>
                <w:rFonts w:ascii="Times New Roman" w:hAnsi="Times New Roman"/>
                <w:b w:val="0"/>
                <w:i w:val="0"/>
                <w:sz w:val="16"/>
              </w:rPr>
              <w:t>Whole plant</w:t>
            </w:r>
          </w:p>
        </w:tc>
        <w:tc>
          <w:tcPr>
            <w:tcW w:type="dxa" w:w="1344"/>
          </w:tcPr>
          <w:p>
            <w:pPr>
              <w:spacing w:line="240" w:lineRule="auto" w:after="20"/>
            </w:pPr>
            <w:r>
              <w:rPr>
                <w:rFonts w:ascii="Times New Roman" w:hAnsi="Times New Roman"/>
                <w:b w:val="0"/>
                <w:i w:val="0"/>
                <w:sz w:val="16"/>
              </w:rPr>
              <w:t>100% vs 35% water</w:t>
            </w:r>
          </w:p>
        </w:tc>
        <w:tc>
          <w:tcPr>
            <w:tcW w:type="dxa" w:w="1344"/>
          </w:tcPr>
          <w:p>
            <w:pPr>
              <w:spacing w:line="240" w:lineRule="auto" w:after="20"/>
            </w:pPr>
            <w:r>
              <w:rPr>
                <w:rFonts w:ascii="Times New Roman" w:hAnsi="Times New Roman"/>
                <w:b/>
                <w:i w:val="0"/>
                <w:sz w:val="16"/>
              </w:rPr>
              <w:t>Tolerant:</w:t>
            </w:r>
            <w:r>
              <w:rPr>
                <w:rFonts w:ascii="Times New Roman" w:hAnsi="Times New Roman"/>
                <w:b w:val="0"/>
                <w:i w:val="0"/>
                <w:sz w:val="16"/>
              </w:rPr>
              <w:t xml:space="preserve"> </w:t>
            </w:r>
            <w:r>
              <w:rPr>
                <w:rFonts w:ascii="Times New Roman" w:hAnsi="Times New Roman"/>
                <w:b w:val="0"/>
                <w:i/>
                <w:sz w:val="16"/>
              </w:rPr>
              <w:t>S. torvum</w:t>
            </w:r>
            <w:r>
              <w:rPr>
                <w:rFonts w:ascii="Times New Roman" w:hAnsi="Times New Roman"/>
                <w:b w:val="0"/>
                <w:i w:val="0"/>
                <w:sz w:val="16"/>
              </w:rPr>
              <w:t xml:space="preserve">, </w:t>
            </w:r>
            <w:r>
              <w:rPr>
                <w:rFonts w:ascii="Times New Roman" w:hAnsi="Times New Roman"/>
                <w:b w:val="0"/>
                <w:i/>
                <w:sz w:val="16"/>
              </w:rPr>
              <w:t>S. viarum</w:t>
            </w:r>
            <w:r>
              <w:rPr>
                <w:rFonts w:ascii="Times New Roman" w:hAnsi="Times New Roman"/>
                <w:b w:val="0"/>
                <w:i w:val="0"/>
                <w:sz w:val="16"/>
              </w:rPr>
              <w:t xml:space="preserve">, </w:t>
            </w:r>
            <w:r>
              <w:rPr>
                <w:rFonts w:ascii="Times New Roman" w:hAnsi="Times New Roman"/>
                <w:b w:val="0"/>
                <w:i/>
                <w:sz w:val="16"/>
              </w:rPr>
              <w:t>S. violaceum</w:t>
            </w:r>
            <w:r>
              <w:rPr>
                <w:rFonts w:ascii="Times New Roman" w:hAnsi="Times New Roman"/>
                <w:b w:val="0"/>
                <w:i w:val="0"/>
                <w:sz w:val="16"/>
              </w:rPr>
              <w:t xml:space="preserve">, </w:t>
            </w:r>
            <w:r>
              <w:rPr>
                <w:rFonts w:ascii="Times New Roman" w:hAnsi="Times New Roman"/>
                <w:b w:val="0"/>
                <w:i/>
                <w:sz w:val="16"/>
              </w:rPr>
              <w:t>S. aethiopicum</w:t>
            </w:r>
          </w:p>
        </w:tc>
      </w:tr>
      <w:tr>
        <w:tc>
          <w:tcPr>
            <w:tcW w:type="dxa" w:w="1344"/>
          </w:tcPr>
          <w:p>
            <w:pPr>
              <w:spacing w:line="240" w:lineRule="auto" w:after="20"/>
            </w:pPr>
            <w:r>
              <w:rPr>
                <w:rFonts w:ascii="Times New Roman" w:hAnsi="Times New Roman"/>
                <w:b w:val="0"/>
                <w:i w:val="0"/>
                <w:sz w:val="16"/>
              </w:rPr>
              <w:t>9</w:t>
            </w:r>
          </w:p>
        </w:tc>
        <w:tc>
          <w:tcPr>
            <w:tcW w:type="dxa" w:w="1344"/>
          </w:tcPr>
          <w:p>
            <w:pPr>
              <w:spacing w:line="240" w:lineRule="auto" w:after="20"/>
            </w:pPr>
            <w:r>
              <w:rPr>
                <w:rFonts w:ascii="Times New Roman" w:hAnsi="Times New Roman"/>
                <w:b w:val="0"/>
                <w:i w:val="0"/>
                <w:sz w:val="16"/>
              </w:rPr>
              <w:t>Kouassi et al. (2021)</w:t>
            </w:r>
          </w:p>
        </w:tc>
        <w:tc>
          <w:tcPr>
            <w:tcW w:type="dxa" w:w="1344"/>
          </w:tcPr>
          <w:p>
            <w:pPr>
              <w:spacing w:line="240" w:lineRule="auto" w:after="20"/>
            </w:pPr>
            <w:r>
              <w:rPr>
                <w:rFonts w:ascii="Times New Roman" w:hAnsi="Times New Roman"/>
                <w:b w:val="0"/>
                <w:i/>
                <w:sz w:val="16"/>
              </w:rPr>
              <w:t>S. melongena</w:t>
            </w:r>
            <w:r>
              <w:rPr>
                <w:rFonts w:ascii="Times New Roman" w:hAnsi="Times New Roman"/>
                <w:b w:val="0"/>
                <w:i w:val="0"/>
                <w:sz w:val="16"/>
              </w:rPr>
              <w:t xml:space="preserve"> + wild relatives + F₁</w:t>
            </w:r>
          </w:p>
        </w:tc>
        <w:tc>
          <w:tcPr>
            <w:tcW w:type="dxa" w:w="1344"/>
          </w:tcPr>
          <w:p>
            <w:pPr>
              <w:spacing w:line="240" w:lineRule="auto" w:after="20"/>
            </w:pPr>
            <w:r>
              <w:rPr>
                <w:rFonts w:ascii="Times New Roman" w:hAnsi="Times New Roman"/>
                <w:b w:val="0"/>
                <w:i w:val="0"/>
                <w:sz w:val="16"/>
              </w:rPr>
              <w:t>9 families</w:t>
            </w:r>
          </w:p>
        </w:tc>
        <w:tc>
          <w:tcPr>
            <w:tcW w:type="dxa" w:w="1344"/>
          </w:tcPr>
          <w:p>
            <w:pPr>
              <w:spacing w:line="240" w:lineRule="auto" w:after="20"/>
            </w:pPr>
            <w:r>
              <w:rPr>
                <w:rFonts w:ascii="Times New Roman" w:hAnsi="Times New Roman"/>
                <w:b w:val="0"/>
                <w:i w:val="0"/>
                <w:sz w:val="16"/>
              </w:rPr>
              <w:t>Field</w:t>
            </w:r>
          </w:p>
        </w:tc>
        <w:tc>
          <w:tcPr>
            <w:tcW w:type="dxa" w:w="1344"/>
          </w:tcPr>
          <w:p>
            <w:pPr>
              <w:spacing w:line="240" w:lineRule="auto" w:after="20"/>
            </w:pPr>
            <w:r>
              <w:rPr>
                <w:rFonts w:ascii="Times New Roman" w:hAnsi="Times New Roman"/>
                <w:b w:val="0"/>
                <w:i w:val="0"/>
                <w:sz w:val="16"/>
              </w:rPr>
              <w:t>Dry vs rainy season</w:t>
            </w:r>
          </w:p>
        </w:tc>
        <w:tc>
          <w:tcPr>
            <w:tcW w:type="dxa" w:w="1344"/>
          </w:tcPr>
          <w:p>
            <w:pPr>
              <w:spacing w:line="240" w:lineRule="auto" w:after="20"/>
            </w:pPr>
            <w:r>
              <w:rPr>
                <w:rFonts w:ascii="Times New Roman" w:hAnsi="Times New Roman"/>
                <w:b w:val="0"/>
                <w:i/>
                <w:sz w:val="16"/>
              </w:rPr>
              <w:t>S. insanum</w:t>
            </w:r>
            <w:r>
              <w:rPr>
                <w:rFonts w:ascii="Times New Roman" w:hAnsi="Times New Roman"/>
                <w:b w:val="0"/>
                <w:i w:val="0"/>
                <w:sz w:val="16"/>
              </w:rPr>
              <w:t xml:space="preserve"> tolerant → usable donor</w:t>
            </w:r>
          </w:p>
        </w:tc>
      </w:tr>
    </w:tbl>
    <w:p/>
    <w:p>
      <w:pPr>
        <w:spacing w:before="240" w:after="80"/>
      </w:pPr>
      <w:r>
        <w:rPr>
          <w:rFonts w:ascii="Times New Roman" w:hAnsi="Times New Roman"/>
          <w:b/>
          <w:sz w:val="24"/>
        </w:rPr>
        <w:t>4. THE PREDICTIVE GAP: DOES EARLY-STAGE SCREENING FORECAST FIELD PERFORMANCE?</w:t>
      </w:r>
    </w:p>
    <w:p>
      <w:pPr>
        <w:spacing w:before="0"/>
        <w:jc w:val="both"/>
      </w:pPr>
      <w:r>
        <w:rPr>
          <w:rFonts w:ascii="Times New Roman" w:hAnsi="Times New Roman"/>
          <w:b w:val="0"/>
          <w:i w:val="0"/>
          <w:sz w:val="24"/>
        </w:rPr>
        <w:t>Early-stage screening rests on an assumption that is rarely stated explicitly: that genotypes ranked as tolerant at germination or the seedling stage will also perform better under drought at the reproductive stage, where yield is determined. This section examines the studies that have tested that assumption. The literature divides, and it does not divide by crop. Figure 3 situates the stages and the transfer question between them; Figure 4 maps which crop-and-stage combinations the evidence actually covers.</w:t>
      </w:r>
    </w:p>
    <w:p>
      <w:pPr>
        <w:jc w:val="center"/>
      </w:pPr>
      <w:r>
        <w:drawing>
          <wp:inline xmlns:a="http://schemas.openxmlformats.org/drawingml/2006/main" xmlns:pic="http://schemas.openxmlformats.org/drawingml/2006/picture">
            <wp:extent cx="4680000" cy="3200636"/>
            <wp:docPr id="2" name="Picture 2"/>
            <wp:cNvGraphicFramePr>
              <a:graphicFrameLocks noChangeAspect="1"/>
            </wp:cNvGraphicFramePr>
            <a:graphic>
              <a:graphicData uri="http://schemas.openxmlformats.org/drawingml/2006/picture">
                <pic:pic>
                  <pic:nvPicPr>
                    <pic:cNvPr id="0" name="figure-3-stages.png"/>
                    <pic:cNvPicPr/>
                  </pic:nvPicPr>
                  <pic:blipFill>
                    <a:blip r:embed="rId10"/>
                    <a:stretch>
                      <a:fillRect/>
                    </a:stretch>
                  </pic:blipFill>
                  <pic:spPr>
                    <a:xfrm>
                      <a:off x="0" y="0"/>
                      <a:ext cx="4680000" cy="3200636"/>
                    </a:xfrm>
                    <a:prstGeom prst="rect"/>
                  </pic:spPr>
                </pic:pic>
              </a:graphicData>
            </a:graphic>
          </wp:inline>
        </w:drawing>
      </w:r>
    </w:p>
    <w:p>
      <w:pPr>
        <w:jc w:val="center"/>
      </w:pPr>
      <w:r>
        <w:drawing>
          <wp:inline xmlns:a="http://schemas.openxmlformats.org/drawingml/2006/main" xmlns:pic="http://schemas.openxmlformats.org/drawingml/2006/picture">
            <wp:extent cx="5760000" cy="3450458"/>
            <wp:docPr id="3" name="Picture 3"/>
            <wp:cNvGraphicFramePr>
              <a:graphicFrameLocks noChangeAspect="1"/>
            </wp:cNvGraphicFramePr>
            <a:graphic>
              <a:graphicData uri="http://schemas.openxmlformats.org/drawingml/2006/picture">
                <pic:pic>
                  <pic:nvPicPr>
                    <pic:cNvPr id="0" name="figure-4-evidence-map.png"/>
                    <pic:cNvPicPr/>
                  </pic:nvPicPr>
                  <pic:blipFill>
                    <a:blip r:embed="rId11"/>
                    <a:stretch>
                      <a:fillRect/>
                    </a:stretch>
                  </pic:blipFill>
                  <pic:spPr>
                    <a:xfrm>
                      <a:off x="0" y="0"/>
                      <a:ext cx="5760000" cy="3450458"/>
                    </a:xfrm>
                    <a:prstGeom prst="rect"/>
                  </pic:spPr>
                </pic:pic>
              </a:graphicData>
            </a:graphic>
          </wp:inline>
        </w:drawing>
      </w:r>
    </w:p>
    <w:p>
      <w:pPr>
        <w:spacing w:before="240" w:after="80"/>
      </w:pPr>
      <w:r>
        <w:rPr>
          <w:rFonts w:ascii="Times New Roman" w:hAnsi="Times New Roman"/>
          <w:b/>
          <w:sz w:val="24"/>
        </w:rPr>
        <w:t>4.1 Evidence that early-stage ranking does not transfer</w:t>
      </w:r>
    </w:p>
    <w:p>
      <w:pPr>
        <w:spacing w:before="0"/>
        <w:jc w:val="both"/>
      </w:pPr>
      <w:r>
        <w:rPr>
          <w:rFonts w:ascii="Times New Roman" w:hAnsi="Times New Roman"/>
          <w:b/>
          <w:i w:val="0"/>
          <w:sz w:val="24"/>
        </w:rPr>
        <w:t>In wheat, seedling traits do not correlate with yield.</w:t>
      </w:r>
      <w:r>
        <w:rPr>
          <w:rFonts w:ascii="Times New Roman" w:hAnsi="Times New Roman"/>
          <w:b w:val="0"/>
          <w:i w:val="0"/>
          <w:sz w:val="24"/>
        </w:rPr>
        <w:t xml:space="preserve"> A population of 146 F₉ recombinant inbred lines derived from a cross between a seedling-drought-tolerant and a seedling-drought-susceptible cultivar was scored for tolerance, survival and recovery indices, then grown for grain yield in two low-rainfall environments across two seasons. No significant correlations were found between seedling traits and grain yield in any environment, and of the genotypes identified as most drought-tolerant at the seedling stage, only one combined that with high yield under drought. The authors recommended that breeding for seedling tolerance and for yield be studied separately under controlled and field conditions (Sallam et al., 2018).</w:t>
      </w:r>
    </w:p>
    <w:p>
      <w:pPr>
        <w:spacing w:before="0"/>
        <w:jc w:val="both"/>
      </w:pPr>
      <w:r>
        <w:rPr>
          <w:rFonts w:ascii="Times New Roman" w:hAnsi="Times New Roman"/>
          <w:b w:val="0"/>
          <w:i w:val="0"/>
          <w:sz w:val="24"/>
        </w:rPr>
        <w:t>The same study identified a deeper problem. Tolerance traits (time to wilting, wilting score) and recovery traits (days to regrowth, regrowth biomass, survival rate) were weakly correlated or uncorrelated, and the quantitative trait loci underpinning them were entirely different except for a single pleiotropic locus. Tolerance and recovery at the same developmental stage are therefore genetically distinct, which undercuts the common practice of treating a composite index as a general measure of drought tolerance.</w:t>
      </w:r>
    </w:p>
    <w:p>
      <w:pPr>
        <w:spacing w:before="0"/>
        <w:jc w:val="both"/>
      </w:pPr>
      <w:r>
        <w:rPr>
          <w:rFonts w:ascii="Times New Roman" w:hAnsi="Times New Roman"/>
          <w:b/>
          <w:i w:val="0"/>
          <w:sz w:val="24"/>
        </w:rPr>
        <w:t>In barley, the correlation is negative.</w:t>
      </w:r>
      <w:r>
        <w:rPr>
          <w:rFonts w:ascii="Times New Roman" w:hAnsi="Times New Roman"/>
          <w:b w:val="0"/>
          <w:i w:val="0"/>
          <w:sz w:val="24"/>
        </w:rPr>
        <w:t xml:space="preserve"> A 164-line spring barley population was screened under PEG at germination and seedling stages and then subjected to short-term drought at heading, with grain yield measured. Germination rate under PEG correlated negatively with seed yield under drought (r = −0.25), a result the authors described as unexpected and warranting further investigation. Germination percentage also correlated negatively with root:shoot fresh weight under PEG (r = −0.37). Most notably, some genotypes performed better under PEG than under control for some traits — biologically incoherent for a genuine water-deficit treatment, and direct evidence that PEG introduces effects beyond water limitation. The study was designed explicitly to test the reliability of proxy methods; of nine lines germinating at 100% under PEG, three maintained root length and only two showed no yield penalty under heading-stage drought, a transfer rate of approximately 22% within a purpose-built experiment (Slawin et al., 2024).</w:t>
      </w:r>
    </w:p>
    <w:p>
      <w:pPr>
        <w:spacing w:before="0"/>
        <w:jc w:val="both"/>
      </w:pPr>
      <w:r>
        <w:rPr>
          <w:rFonts w:ascii="Times New Roman" w:hAnsi="Times New Roman"/>
          <w:b/>
          <w:i w:val="0"/>
          <w:sz w:val="24"/>
        </w:rPr>
        <w:t>In wheat, germination does not predict the seedling stage.</w:t>
      </w:r>
      <w:r>
        <w:rPr>
          <w:rFonts w:ascii="Times New Roman" w:hAnsi="Times New Roman"/>
          <w:b w:val="0"/>
          <w:i w:val="0"/>
          <w:sz w:val="24"/>
        </w:rPr>
        <w:t xml:space="preserve"> A study scoring the same genotypes for germination traits under PEG and for a seedling-stage drought tolerance index found little to no correlation between the two stages, citing two further studies reaching the same conclusion, and concluded that testing the same genotypes across growth stages is essential (Mohamed et al., 2023). This is the shortest interval in the developmental sequence, and the association still fails.</w:t>
      </w:r>
    </w:p>
    <w:p>
      <w:pPr>
        <w:spacing w:before="240" w:after="80"/>
      </w:pPr>
      <w:r>
        <w:rPr>
          <w:rFonts w:ascii="Times New Roman" w:hAnsi="Times New Roman"/>
          <w:b/>
          <w:sz w:val="24"/>
        </w:rPr>
        <w:t>4.2 Evidence that early-stage ranking does transfer</w:t>
      </w:r>
    </w:p>
    <w:p>
      <w:pPr>
        <w:spacing w:before="0"/>
        <w:jc w:val="both"/>
      </w:pPr>
      <w:r>
        <w:rPr>
          <w:rFonts w:ascii="Times New Roman" w:hAnsi="Times New Roman"/>
          <w:b/>
          <w:i w:val="0"/>
          <w:sz w:val="24"/>
        </w:rPr>
        <w:t>In wheat, seedling traits correlate with yield at moderate stress.</w:t>
      </w:r>
      <w:r>
        <w:rPr>
          <w:rFonts w:ascii="Times New Roman" w:hAnsi="Times New Roman"/>
          <w:b w:val="0"/>
          <w:i w:val="0"/>
          <w:sz w:val="24"/>
        </w:rPr>
        <w:t xml:space="preserve"> A diallel analysis found grain yield per spike significantly correlated with root length (r = 0.41) and seedling dry weight (r = 0.46) at 15% PEG. At 20% PEG the correlations weakened and the root:shoot ratio became non-significant (El-Rawy and Hassan, 2014). The relationship was concentration-dependent, which bears directly on the choice of screening level.</w:t>
      </w:r>
    </w:p>
    <w:p>
      <w:pPr>
        <w:spacing w:before="0"/>
        <w:jc w:val="both"/>
      </w:pPr>
      <w:r>
        <w:rPr>
          <w:rFonts w:ascii="Times New Roman" w:hAnsi="Times New Roman"/>
          <w:b/>
          <w:i w:val="0"/>
          <w:sz w:val="24"/>
        </w:rPr>
        <w:t>In barley, a consistency claim.</w:t>
      </w:r>
      <w:r>
        <w:rPr>
          <w:rFonts w:ascii="Times New Roman" w:hAnsi="Times New Roman"/>
          <w:b w:val="0"/>
          <w:i w:val="0"/>
          <w:sz w:val="24"/>
        </w:rPr>
        <w:t xml:space="preserve"> A genome-wide association study of 198 genotypes states that drought tolerance in barley is consistent when determined at the three important growth stages — germination and seedling, vegetative growth, and flowering and yield. This directly contradicts the 164-line barley study above (Badr et al., 2025). Both are recent, both use large populations, and both use PEG.</w:t>
      </w:r>
    </w:p>
    <w:p>
      <w:pPr>
        <w:spacing w:before="0"/>
        <w:jc w:val="both"/>
      </w:pPr>
      <w:r>
        <w:rPr>
          <w:rFonts w:ascii="Times New Roman" w:hAnsi="Times New Roman"/>
          <w:b/>
          <w:i w:val="0"/>
          <w:sz w:val="24"/>
        </w:rPr>
        <w:t>In tomato, transfer is confirmed in the one study that tests it.</w:t>
      </w:r>
      <w:r>
        <w:rPr>
          <w:rFonts w:ascii="Times New Roman" w:hAnsi="Times New Roman"/>
          <w:b w:val="0"/>
          <w:i w:val="0"/>
          <w:sz w:val="24"/>
        </w:rPr>
        <w:t xml:space="preserve"> Introgression lines of </w:t>
      </w:r>
      <w:r>
        <w:rPr>
          <w:rFonts w:ascii="Times New Roman" w:hAnsi="Times New Roman"/>
          <w:b w:val="0"/>
          <w:i/>
          <w:sz w:val="24"/>
        </w:rPr>
        <w:t>Solanum pennellii</w:t>
      </w:r>
      <w:r>
        <w:rPr>
          <w:rFonts w:ascii="Times New Roman" w:hAnsi="Times New Roman"/>
          <w:b w:val="0"/>
          <w:i w:val="0"/>
          <w:sz w:val="24"/>
        </w:rPr>
        <w:t xml:space="preserve"> that had already been ranked for drought tolerance at germination and seedling stages were evaluated through vegetative and reproductive stages under two water regimes. Two lines ranked tolerant at the early stages were again tolerant later, and the most tolerant line at the early stages was also the most tolerant at the later ones. Candidate genes identified in the introgressed segments included </w:t>
      </w:r>
      <w:r>
        <w:rPr>
          <w:rFonts w:ascii="Times New Roman" w:hAnsi="Times New Roman"/>
          <w:b w:val="0"/>
          <w:i/>
          <w:sz w:val="24"/>
        </w:rPr>
        <w:t>AHG2</w:t>
      </w:r>
      <w:r>
        <w:rPr>
          <w:rFonts w:ascii="Times New Roman" w:hAnsi="Times New Roman"/>
          <w:b w:val="0"/>
          <w:i w:val="0"/>
          <w:sz w:val="24"/>
        </w:rPr>
        <w:t xml:space="preserve">, </w:t>
      </w:r>
      <w:r>
        <w:rPr>
          <w:rFonts w:ascii="Times New Roman" w:hAnsi="Times New Roman"/>
          <w:b w:val="0"/>
          <w:i/>
          <w:sz w:val="24"/>
        </w:rPr>
        <w:t>PRXIIF</w:t>
      </w:r>
      <w:r>
        <w:rPr>
          <w:rFonts w:ascii="Times New Roman" w:hAnsi="Times New Roman"/>
          <w:b w:val="0"/>
          <w:i w:val="0"/>
          <w:sz w:val="24"/>
        </w:rPr>
        <w:t xml:space="preserve">, </w:t>
      </w:r>
      <w:r>
        <w:rPr>
          <w:rFonts w:ascii="Times New Roman" w:hAnsi="Times New Roman"/>
          <w:b w:val="0"/>
          <w:i/>
          <w:sz w:val="24"/>
        </w:rPr>
        <w:t>SAP5</w:t>
      </w:r>
      <w:r>
        <w:rPr>
          <w:rFonts w:ascii="Times New Roman" w:hAnsi="Times New Roman"/>
          <w:b w:val="0"/>
          <w:i w:val="0"/>
          <w:sz w:val="24"/>
        </w:rPr>
        <w:t xml:space="preserve">, </w:t>
      </w:r>
      <w:r>
        <w:rPr>
          <w:rFonts w:ascii="Times New Roman" w:hAnsi="Times New Roman"/>
          <w:b w:val="0"/>
          <w:i/>
          <w:sz w:val="24"/>
        </w:rPr>
        <w:t>PRXQ</w:t>
      </w:r>
      <w:r>
        <w:rPr>
          <w:rFonts w:ascii="Times New Roman" w:hAnsi="Times New Roman"/>
          <w:b w:val="0"/>
          <w:i w:val="0"/>
          <w:sz w:val="24"/>
        </w:rPr>
        <w:t xml:space="preserve">, </w:t>
      </w:r>
      <w:r>
        <w:rPr>
          <w:rFonts w:ascii="Times New Roman" w:hAnsi="Times New Roman"/>
          <w:b w:val="0"/>
          <w:i/>
          <w:sz w:val="24"/>
        </w:rPr>
        <w:t>CFS1</w:t>
      </w:r>
      <w:r>
        <w:rPr>
          <w:rFonts w:ascii="Times New Roman" w:hAnsi="Times New Roman"/>
          <w:b w:val="0"/>
          <w:i w:val="0"/>
          <w:sz w:val="24"/>
        </w:rPr>
        <w:t xml:space="preserve">, </w:t>
      </w:r>
      <w:r>
        <w:rPr>
          <w:rFonts w:ascii="Times New Roman" w:hAnsi="Times New Roman"/>
          <w:b w:val="0"/>
          <w:i/>
          <w:sz w:val="24"/>
        </w:rPr>
        <w:t>LCD</w:t>
      </w:r>
      <w:r>
        <w:rPr>
          <w:rFonts w:ascii="Times New Roman" w:hAnsi="Times New Roman"/>
          <w:b w:val="0"/>
          <w:i w:val="0"/>
          <w:sz w:val="24"/>
        </w:rPr>
        <w:t xml:space="preserve">, </w:t>
      </w:r>
      <w:r>
        <w:rPr>
          <w:rFonts w:ascii="Times New Roman" w:hAnsi="Times New Roman"/>
          <w:b w:val="0"/>
          <w:i/>
          <w:sz w:val="24"/>
        </w:rPr>
        <w:t>CCD1</w:t>
      </w:r>
      <w:r>
        <w:rPr>
          <w:rFonts w:ascii="Times New Roman" w:hAnsi="Times New Roman"/>
          <w:b w:val="0"/>
          <w:i w:val="0"/>
          <w:sz w:val="24"/>
        </w:rPr>
        <w:t xml:space="preserve"> and </w:t>
      </w:r>
      <w:r>
        <w:rPr>
          <w:rFonts w:ascii="Times New Roman" w:hAnsi="Times New Roman"/>
          <w:b w:val="0"/>
          <w:i/>
          <w:sz w:val="24"/>
        </w:rPr>
        <w:t>SCS</w:t>
      </w:r>
      <w:r>
        <w:rPr>
          <w:rFonts w:ascii="Times New Roman" w:hAnsi="Times New Roman"/>
          <w:b w:val="0"/>
          <w:i w:val="0"/>
          <w:sz w:val="24"/>
        </w:rPr>
        <w:t>. This is the only connecting study in the Solanaceae, and it supports transfer (Pessoa et al., 2023).</w:t>
      </w:r>
    </w:p>
    <w:p>
      <w:pPr>
        <w:spacing w:before="0"/>
        <w:jc w:val="both"/>
      </w:pPr>
      <w:r>
        <w:rPr>
          <w:rFonts w:ascii="Times New Roman" w:hAnsi="Times New Roman"/>
          <w:b/>
          <w:i w:val="0"/>
          <w:sz w:val="24"/>
        </w:rPr>
        <w:t>In potato, phenotypic biomarkers persisted.</w:t>
      </w:r>
      <w:r>
        <w:rPr>
          <w:rFonts w:ascii="Times New Roman" w:hAnsi="Times New Roman"/>
          <w:b w:val="0"/>
          <w:i w:val="0"/>
          <w:sz w:val="24"/>
        </w:rPr>
        <w:t xml:space="preserve"> Across three trials on 20 tetraploid lines, growth-curve parameters — the turning point of leaf area index and of projected leaf area — correlated with drought tolerance independently of the treatment in which they were measured. This is vegetative-to-yield transfer rather than germination-to-yield, but it demonstrates that some early-measured traits carry predictive signal (Köhl et al., 2023).</w:t>
      </w:r>
    </w:p>
    <w:p>
      <w:pPr>
        <w:spacing w:before="240" w:after="80"/>
      </w:pPr>
      <w:r>
        <w:rPr>
          <w:rFonts w:ascii="Times New Roman" w:hAnsi="Times New Roman"/>
          <w:b/>
          <w:sz w:val="24"/>
        </w:rPr>
        <w:t>4.3 Why the results conflict</w:t>
      </w:r>
    </w:p>
    <w:p>
      <w:pPr>
        <w:spacing w:before="0"/>
        <w:jc w:val="both"/>
      </w:pPr>
      <w:r>
        <w:rPr>
          <w:rFonts w:ascii="Times New Roman" w:hAnsi="Times New Roman"/>
          <w:b w:val="0"/>
          <w:i w:val="0"/>
          <w:sz w:val="24"/>
        </w:rPr>
        <w:t>The contradiction is not random. Four design and biological factors plausibly drive it, and identifying them converts a confusing literature into an actionable one.</w:t>
      </w:r>
    </w:p>
    <w:p>
      <w:pPr>
        <w:spacing w:before="0"/>
        <w:jc w:val="both"/>
      </w:pPr>
      <w:r>
        <w:rPr>
          <w:rFonts w:ascii="Times New Roman" w:hAnsi="Times New Roman"/>
          <w:b/>
          <w:i w:val="0"/>
          <w:sz w:val="24"/>
        </w:rPr>
        <w:t>Internal concordance is being reported as cross-stage transfer.</w:t>
      </w:r>
      <w:r>
        <w:rPr>
          <w:rFonts w:ascii="Times New Roman" w:hAnsi="Times New Roman"/>
          <w:b w:val="0"/>
          <w:i w:val="0"/>
          <w:sz w:val="24"/>
        </w:rPr>
        <w:t xml:space="preserve"> Several studies reporting strong correlations are correlating traits measured within a single stage or treatment — germination percentage with germination rate, or root with shoot biomass. These are near-tautological relationships between co-measured growth traits. They appear in the same correlation matrices as genuine cross-stage relationships, which makes a study appear to demonstrate transfer when it has demonstrated only internal consistency. This is likely the most common source of apparent support for predictive validity, and separating internal from cross-stage correlations in every correlation analysis would resolve it at no cost.</w:t>
      </w:r>
    </w:p>
    <w:p>
      <w:pPr>
        <w:spacing w:before="0"/>
        <w:jc w:val="both"/>
      </w:pPr>
      <w:r>
        <w:rPr>
          <w:rFonts w:ascii="Times New Roman" w:hAnsi="Times New Roman"/>
          <w:b/>
          <w:i w:val="0"/>
          <w:sz w:val="24"/>
        </w:rPr>
        <w:t>Trait-level correlation and genotype-level overlap are different questions.</w:t>
      </w:r>
      <w:r>
        <w:rPr>
          <w:rFonts w:ascii="Times New Roman" w:hAnsi="Times New Roman"/>
          <w:b w:val="0"/>
          <w:i w:val="0"/>
          <w:sz w:val="24"/>
        </w:rPr>
        <w:t xml:space="preserve"> In the wheat study described above, no seedling trait correlated with grain yield, yet individual genotypes were identified that were tolerant at the seedling stage and high-yielding in the field. A screening programme does not require a significant trait correlation; it requires retaining the right genotypes. Reviews that dismiss early screening on the basis of absent trait correlations may be applying the wrong test. The appropriate metric is the concordance rate among selected genotypes, and it is almost never reported (Figure 5).</w:t>
      </w:r>
    </w:p>
    <w:p>
      <w:pPr>
        <w:jc w:val="center"/>
      </w:pPr>
      <w:r>
        <w:drawing>
          <wp:inline xmlns:a="http://schemas.openxmlformats.org/drawingml/2006/main" xmlns:pic="http://schemas.openxmlformats.org/drawingml/2006/picture">
            <wp:extent cx="5400000" cy="2597332"/>
            <wp:docPr id="4" name="Picture 4"/>
            <wp:cNvGraphicFramePr>
              <a:graphicFrameLocks noChangeAspect="1"/>
            </wp:cNvGraphicFramePr>
            <a:graphic>
              <a:graphicData uri="http://schemas.openxmlformats.org/drawingml/2006/picture">
                <pic:pic>
                  <pic:nvPicPr>
                    <pic:cNvPr id="0" name="figure-5-concordance-reporting.png"/>
                    <pic:cNvPicPr/>
                  </pic:nvPicPr>
                  <pic:blipFill>
                    <a:blip r:embed="rId12"/>
                    <a:stretch>
                      <a:fillRect/>
                    </a:stretch>
                  </pic:blipFill>
                  <pic:spPr>
                    <a:xfrm>
                      <a:off x="0" y="0"/>
                      <a:ext cx="5400000" cy="2597332"/>
                    </a:xfrm>
                    <a:prstGeom prst="rect"/>
                  </pic:spPr>
                </pic:pic>
              </a:graphicData>
            </a:graphic>
          </wp:inline>
        </w:drawing>
      </w:r>
    </w:p>
    <w:p>
      <w:pPr>
        <w:spacing w:before="0"/>
        <w:jc w:val="both"/>
      </w:pPr>
      <w:r>
        <w:rPr>
          <w:rFonts w:ascii="Times New Roman" w:hAnsi="Times New Roman"/>
          <w:b/>
          <w:i w:val="0"/>
          <w:sz w:val="24"/>
        </w:rPr>
        <w:t>PEG concentration determines whether the screen discriminates.</w:t>
      </w:r>
      <w:r>
        <w:rPr>
          <w:rFonts w:ascii="Times New Roman" w:hAnsi="Times New Roman"/>
          <w:b w:val="0"/>
          <w:i w:val="0"/>
          <w:sz w:val="24"/>
        </w:rPr>
        <w:t xml:space="preserve"> The diallel study's positive correlations at 15% PEG became non-significant at 20%. Severe stress can drive most genotypes to the floor of the measurable range, destroying resolution. Combined with the finding that most tomato genotypes fail to germinate at all above −0.35 MPa, this argues against applying a fixed concentration to all genotypes and in favour of the genotype-specific sub-lethal approach described in Section 3.3.</w:t>
      </w:r>
    </w:p>
    <w:p>
      <w:pPr>
        <w:spacing w:before="0"/>
        <w:jc w:val="both"/>
      </w:pPr>
      <w:r>
        <w:rPr>
          <w:rFonts w:ascii="Times New Roman" w:hAnsi="Times New Roman"/>
          <w:b/>
          <w:i w:val="0"/>
          <w:sz w:val="24"/>
        </w:rPr>
        <w:t>The traits being screened may not be the traits that matter.</w:t>
      </w:r>
      <w:r>
        <w:rPr>
          <w:rFonts w:ascii="Times New Roman" w:hAnsi="Times New Roman"/>
          <w:b w:val="0"/>
          <w:i w:val="0"/>
          <w:sz w:val="24"/>
        </w:rPr>
        <w:t xml:space="preserve"> Tolerance and recovery at the same developmental stage are genetically distinct. Drought tolerance is stage-specific within </w:t>
      </w:r>
      <w:r>
        <w:rPr>
          <w:rFonts w:ascii="Times New Roman" w:hAnsi="Times New Roman"/>
          <w:b w:val="0"/>
          <w:i/>
          <w:sz w:val="24"/>
        </w:rPr>
        <w:t>Capsicum</w:t>
      </w:r>
      <w:r>
        <w:rPr>
          <w:rFonts w:ascii="Times New Roman" w:hAnsi="Times New Roman"/>
          <w:b w:val="0"/>
          <w:i w:val="0"/>
          <w:sz w:val="24"/>
        </w:rPr>
        <w:t xml:space="preserve"> itself: a comparison of the three most widely cultivated </w:t>
      </w:r>
      <w:r>
        <w:rPr>
          <w:rFonts w:ascii="Times New Roman" w:hAnsi="Times New Roman"/>
          <w:b w:val="0"/>
          <w:i/>
          <w:sz w:val="24"/>
        </w:rPr>
        <w:t>Capsicum</w:t>
      </w:r>
      <w:r>
        <w:rPr>
          <w:rFonts w:ascii="Times New Roman" w:hAnsi="Times New Roman"/>
          <w:b w:val="0"/>
          <w:i w:val="0"/>
          <w:sz w:val="24"/>
        </w:rPr>
        <w:t xml:space="preserve"> species across four drought regimes imposed at three growth stages found all three species more susceptible at the vegetative stage than at flowering or fruiting. If tolerance at different stages is controlled by largely non-overlapping loci, then a single-stage screen cannot function as a general proxy, and the search for one is misdirected (Okunlola et al., 2017; Sallam et al., 2018).</w:t>
      </w:r>
    </w:p>
    <w:p>
      <w:pPr>
        <w:spacing w:before="240" w:after="80"/>
      </w:pPr>
      <w:r>
        <w:rPr>
          <w:rFonts w:ascii="Times New Roman" w:hAnsi="Times New Roman"/>
          <w:b/>
          <w:sz w:val="24"/>
        </w:rPr>
        <w:t>4.4 Implications for practice</w:t>
      </w:r>
    </w:p>
    <w:p>
      <w:pPr>
        <w:spacing w:before="0"/>
        <w:jc w:val="both"/>
      </w:pPr>
      <w:r>
        <w:rPr>
          <w:rFonts w:ascii="Times New Roman" w:hAnsi="Times New Roman"/>
          <w:b w:val="0"/>
          <w:i w:val="0"/>
          <w:sz w:val="24"/>
        </w:rPr>
        <w:t>Three conclusions follow.</w:t>
      </w:r>
    </w:p>
    <w:p>
      <w:pPr>
        <w:spacing w:before="0"/>
        <w:jc w:val="both"/>
      </w:pPr>
      <w:r>
        <w:rPr>
          <w:rFonts w:ascii="Times New Roman" w:hAnsi="Times New Roman"/>
          <w:b w:val="0"/>
          <w:i w:val="0"/>
          <w:sz w:val="24"/>
        </w:rPr>
        <w:t>Early-stage screening should be described as what it is: a ranking of genotypes for tolerance at that stage. The literature does not support presenting it as a proxy for field drought tolerance, and papers should describe the treatment as osmotic stress induced by PEG rather than as drought.</w:t>
      </w:r>
    </w:p>
    <w:p>
      <w:pPr>
        <w:spacing w:before="0"/>
        <w:jc w:val="both"/>
      </w:pPr>
      <w:r>
        <w:rPr>
          <w:rFonts w:ascii="Times New Roman" w:hAnsi="Times New Roman"/>
          <w:b w:val="0"/>
          <w:i w:val="0"/>
          <w:sz w:val="24"/>
        </w:rPr>
        <w:t>The confirmation rate should be reported rather than assumed. Where a screen feeds a breeding programme, the proportion of selected genotypes that prove superior under field drought is the quantity that determines the programme's value. It is currently almost never reported. Closing this gap requires only that field evaluation of screened material be published alongside the screen.</w:t>
      </w:r>
    </w:p>
    <w:p>
      <w:pPr>
        <w:spacing w:before="0"/>
        <w:jc w:val="both"/>
      </w:pPr>
      <w:r>
        <w:rPr>
          <w:rFonts w:ascii="Times New Roman" w:hAnsi="Times New Roman"/>
          <w:b w:val="0"/>
          <w:i w:val="0"/>
          <w:sz w:val="24"/>
        </w:rPr>
        <w:t>The unresolved cases should be resolved deliberately. Barley now has two large, recent studies reaching opposite conclusions about the same question. That is a tractable dispute: the difference may lie in population, PEG concentration, stress timing or the traits scored. It should be settled by analysing both datasets together rather than by conducting one more independent screen. This is the review's most concrete proposal for future work.</w:t>
      </w:r>
    </w:p>
    <w:p>
      <w:pPr>
        <w:spacing w:before="0"/>
        <w:jc w:val="both"/>
      </w:pPr>
      <w:r>
        <w:rPr>
          <w:rFonts w:ascii="Times New Roman" w:hAnsi="Times New Roman"/>
          <w:b/>
          <w:i w:val="0"/>
          <w:sz w:val="24"/>
        </w:rPr>
        <w:t>Figure 3</w:t>
      </w:r>
      <w:r>
        <w:rPr>
          <w:rFonts w:ascii="Times New Roman" w:hAnsi="Times New Roman"/>
          <w:b w:val="0"/>
          <w:i w:val="0"/>
          <w:sz w:val="24"/>
        </w:rPr>
        <w:t xml:space="preserve"> — Developmental stages represented as partially overlapping tolerance sets, annotated with the direction of evidence from each study discussed. Conceptual.</w:t>
        <w:br/>
      </w:r>
      <w:r>
        <w:rPr>
          <w:rFonts w:ascii="Times New Roman" w:hAnsi="Times New Roman"/>
          <w:b/>
          <w:i w:val="0"/>
          <w:sz w:val="24"/>
        </w:rPr>
        <w:t>Table 5</w:t>
      </w:r>
      <w:r>
        <w:rPr>
          <w:rFonts w:ascii="Times New Roman" w:hAnsi="Times New Roman"/>
          <w:b w:val="0"/>
          <w:i w:val="0"/>
          <w:sz w:val="24"/>
        </w:rPr>
        <w:t xml:space="preserve"> — Studies connecting two or more developmental stages: crop, population, stages, screening agent, outcome, direction of evidence and design quality.</w:t>
      </w:r>
    </w:p>
    <w:p>
      <w:pPr>
        <w:spacing w:before="240" w:after="80"/>
      </w:pPr>
      <w:r>
        <w:rPr>
          <w:rFonts w:ascii="Times New Roman" w:hAnsi="Times New Roman"/>
          <w:b/>
          <w:sz w:val="22"/>
        </w:rPr>
        <w:t>Table 5 — Studies connecting two or more developmental stages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after="20"/>
            </w:pPr>
            <w:r>
              <w:rPr>
                <w:rFonts w:ascii="Times New Roman" w:hAnsi="Times New Roman"/>
                <w:b/>
                <w:i w:val="0"/>
                <w:sz w:val="16"/>
              </w:rPr>
              <w:t>#</w:t>
            </w:r>
          </w:p>
        </w:tc>
        <w:tc>
          <w:tcPr>
            <w:tcW w:type="dxa" w:w="1568"/>
          </w:tcPr>
          <w:p>
            <w:pPr>
              <w:spacing w:line="240" w:lineRule="auto" w:after="20"/>
            </w:pPr>
            <w:r>
              <w:rPr>
                <w:rFonts w:ascii="Times New Roman" w:hAnsi="Times New Roman"/>
                <w:b/>
                <w:i w:val="0"/>
                <w:sz w:val="16"/>
              </w:rPr>
              <w:t>Study</w:t>
            </w:r>
          </w:p>
        </w:tc>
        <w:tc>
          <w:tcPr>
            <w:tcW w:type="dxa" w:w="1568"/>
          </w:tcPr>
          <w:p>
            <w:pPr>
              <w:spacing w:line="240" w:lineRule="auto" w:after="20"/>
            </w:pPr>
            <w:r>
              <w:rPr>
                <w:rFonts w:ascii="Times New Roman" w:hAnsi="Times New Roman"/>
                <w:b/>
                <w:i w:val="0"/>
                <w:sz w:val="16"/>
              </w:rPr>
              <w:t>Crop</w:t>
            </w:r>
          </w:p>
        </w:tc>
        <w:tc>
          <w:tcPr>
            <w:tcW w:type="dxa" w:w="1568"/>
          </w:tcPr>
          <w:p>
            <w:pPr>
              <w:spacing w:line="240" w:lineRule="auto" w:after="20"/>
            </w:pPr>
            <w:r>
              <w:rPr>
                <w:rFonts w:ascii="Times New Roman" w:hAnsi="Times New Roman"/>
                <w:b/>
                <w:i w:val="0"/>
                <w:sz w:val="16"/>
              </w:rPr>
              <w:t>Stages</w:t>
            </w:r>
          </w:p>
        </w:tc>
        <w:tc>
          <w:tcPr>
            <w:tcW w:type="dxa" w:w="1568"/>
          </w:tcPr>
          <w:p>
            <w:pPr>
              <w:spacing w:line="240" w:lineRule="auto" w:after="20"/>
            </w:pPr>
            <w:r>
              <w:rPr>
                <w:rFonts w:ascii="Times New Roman" w:hAnsi="Times New Roman"/>
                <w:b/>
                <w:i w:val="0"/>
                <w:sz w:val="16"/>
              </w:rPr>
              <w:t>Outcome</w:t>
            </w:r>
          </w:p>
        </w:tc>
        <w:tc>
          <w:tcPr>
            <w:tcW w:type="dxa" w:w="1568"/>
          </w:tcPr>
          <w:p>
            <w:pPr>
              <w:spacing w:line="240" w:lineRule="auto" w:after="20"/>
            </w:pPr>
            <w:r>
              <w:rPr>
                <w:rFonts w:ascii="Times New Roman" w:hAnsi="Times New Roman"/>
                <w:b/>
                <w:i w:val="0"/>
                <w:sz w:val="16"/>
              </w:rPr>
              <w:t>Direction</w:t>
            </w:r>
          </w:p>
        </w:tc>
      </w:tr>
      <w:tr>
        <w:tc>
          <w:tcPr>
            <w:tcW w:type="dxa" w:w="1568"/>
          </w:tcPr>
          <w:p>
            <w:pPr>
              <w:spacing w:line="240" w:lineRule="auto" w:after="20"/>
            </w:pPr>
            <w:r>
              <w:rPr>
                <w:rFonts w:ascii="Times New Roman" w:hAnsi="Times New Roman"/>
                <w:b w:val="0"/>
                <w:i w:val="0"/>
                <w:sz w:val="16"/>
              </w:rPr>
              <w:t>C1</w:t>
            </w:r>
          </w:p>
        </w:tc>
        <w:tc>
          <w:tcPr>
            <w:tcW w:type="dxa" w:w="1568"/>
          </w:tcPr>
          <w:p>
            <w:pPr>
              <w:spacing w:line="240" w:lineRule="auto" w:after="20"/>
            </w:pPr>
            <w:r>
              <w:rPr>
                <w:rFonts w:ascii="Times New Roman" w:hAnsi="Times New Roman"/>
                <w:b w:val="0"/>
                <w:i w:val="0"/>
                <w:sz w:val="16"/>
              </w:rPr>
              <w:t>Pessoa et al. (2023)</w:t>
            </w:r>
          </w:p>
        </w:tc>
        <w:tc>
          <w:tcPr>
            <w:tcW w:type="dxa" w:w="1568"/>
          </w:tcPr>
          <w:p>
            <w:pPr>
              <w:spacing w:line="240" w:lineRule="auto" w:after="20"/>
            </w:pPr>
            <w:r>
              <w:rPr>
                <w:rFonts w:ascii="Times New Roman" w:hAnsi="Times New Roman"/>
                <w:b/>
                <w:i w:val="0"/>
                <w:sz w:val="16"/>
              </w:rPr>
              <w:t>Tomato</w:t>
            </w:r>
          </w:p>
        </w:tc>
        <w:tc>
          <w:tcPr>
            <w:tcW w:type="dxa" w:w="1568"/>
          </w:tcPr>
          <w:p>
            <w:pPr>
              <w:spacing w:line="240" w:lineRule="auto" w:after="20"/>
            </w:pPr>
            <w:r>
              <w:rPr>
                <w:rFonts w:ascii="Times New Roman" w:hAnsi="Times New Roman"/>
                <w:b w:val="0"/>
                <w:i w:val="0"/>
                <w:sz w:val="16"/>
              </w:rPr>
              <w:t>Germination/seedling → vegetative/reproductive</w:t>
            </w:r>
          </w:p>
        </w:tc>
        <w:tc>
          <w:tcPr>
            <w:tcW w:type="dxa" w:w="1568"/>
          </w:tcPr>
          <w:p>
            <w:pPr>
              <w:spacing w:line="240" w:lineRule="auto" w:after="20"/>
            </w:pPr>
            <w:r>
              <w:rPr>
                <w:rFonts w:ascii="Times New Roman" w:hAnsi="Times New Roman"/>
                <w:b w:val="0"/>
                <w:i w:val="0"/>
                <w:sz w:val="16"/>
              </w:rPr>
              <w:t>IL 1-4-18 and IL 1-2 tolerant at all stages; most germination-tolerant also most tolerant later</w:t>
            </w:r>
          </w:p>
        </w:tc>
        <w:tc>
          <w:tcPr>
            <w:tcW w:type="dxa" w:w="1568"/>
          </w:tcPr>
          <w:p>
            <w:pPr>
              <w:spacing w:line="240" w:lineRule="auto" w:after="20"/>
            </w:pPr>
            <w:r>
              <w:rPr>
                <w:rFonts w:ascii="Times New Roman" w:hAnsi="Times New Roman"/>
                <w:b/>
                <w:i w:val="0"/>
                <w:sz w:val="16"/>
              </w:rPr>
              <w:t>Supports</w:t>
            </w:r>
          </w:p>
        </w:tc>
      </w:tr>
      <w:tr>
        <w:tc>
          <w:tcPr>
            <w:tcW w:type="dxa" w:w="1568"/>
          </w:tcPr>
          <w:p>
            <w:pPr>
              <w:spacing w:line="240" w:lineRule="auto" w:after="20"/>
            </w:pPr>
            <w:r>
              <w:rPr>
                <w:rFonts w:ascii="Times New Roman" w:hAnsi="Times New Roman"/>
                <w:b w:val="0"/>
                <w:i w:val="0"/>
                <w:sz w:val="16"/>
              </w:rPr>
              <w:t>C2</w:t>
            </w:r>
          </w:p>
        </w:tc>
        <w:tc>
          <w:tcPr>
            <w:tcW w:type="dxa" w:w="1568"/>
          </w:tcPr>
          <w:p>
            <w:pPr>
              <w:spacing w:line="240" w:lineRule="auto" w:after="20"/>
            </w:pPr>
            <w:r>
              <w:rPr>
                <w:rFonts w:ascii="Times New Roman" w:hAnsi="Times New Roman"/>
                <w:b w:val="0"/>
                <w:i w:val="0"/>
                <w:sz w:val="16"/>
              </w:rPr>
              <w:t>Sallam et al. (2018)</w:t>
            </w:r>
          </w:p>
        </w:tc>
        <w:tc>
          <w:tcPr>
            <w:tcW w:type="dxa" w:w="1568"/>
          </w:tcPr>
          <w:p>
            <w:pPr>
              <w:spacing w:line="240" w:lineRule="auto" w:after="20"/>
            </w:pPr>
            <w:r>
              <w:rPr>
                <w:rFonts w:ascii="Times New Roman" w:hAnsi="Times New Roman"/>
                <w:b w:val="0"/>
                <w:i w:val="0"/>
                <w:sz w:val="16"/>
              </w:rPr>
              <w:t>Wheat</w:t>
            </w:r>
          </w:p>
        </w:tc>
        <w:tc>
          <w:tcPr>
            <w:tcW w:type="dxa" w:w="1568"/>
          </w:tcPr>
          <w:p>
            <w:pPr>
              <w:spacing w:line="240" w:lineRule="auto" w:after="20"/>
            </w:pPr>
            <w:r>
              <w:rPr>
                <w:rFonts w:ascii="Times New Roman" w:hAnsi="Times New Roman"/>
                <w:b w:val="0"/>
                <w:i w:val="0"/>
                <w:sz w:val="16"/>
              </w:rPr>
              <w:t>Seedling indices → grain yield, 2 environments × 2 seasons</w:t>
            </w:r>
          </w:p>
        </w:tc>
        <w:tc>
          <w:tcPr>
            <w:tcW w:type="dxa" w:w="1568"/>
          </w:tcPr>
          <w:p>
            <w:pPr>
              <w:spacing w:line="240" w:lineRule="auto" w:after="20"/>
            </w:pPr>
            <w:r>
              <w:rPr>
                <w:rFonts w:ascii="Times New Roman" w:hAnsi="Times New Roman"/>
                <w:b w:val="0"/>
                <w:i w:val="0"/>
                <w:sz w:val="16"/>
              </w:rPr>
              <w:t>No significant correlations between seedling traits and yield in any environment; 1 genotype combined both</w:t>
            </w:r>
          </w:p>
        </w:tc>
        <w:tc>
          <w:tcPr>
            <w:tcW w:type="dxa" w:w="1568"/>
          </w:tcPr>
          <w:p>
            <w:pPr>
              <w:spacing w:line="240" w:lineRule="auto" w:after="20"/>
            </w:pPr>
            <w:r>
              <w:rPr>
                <w:rFonts w:ascii="Times New Roman" w:hAnsi="Times New Roman"/>
                <w:b/>
                <w:i w:val="0"/>
                <w:sz w:val="16"/>
              </w:rPr>
              <w:t>Contradicts</w:t>
            </w:r>
          </w:p>
        </w:tc>
      </w:tr>
      <w:tr>
        <w:tc>
          <w:tcPr>
            <w:tcW w:type="dxa" w:w="1568"/>
          </w:tcPr>
          <w:p>
            <w:pPr>
              <w:spacing w:line="240" w:lineRule="auto" w:after="20"/>
            </w:pPr>
            <w:r>
              <w:rPr>
                <w:rFonts w:ascii="Times New Roman" w:hAnsi="Times New Roman"/>
                <w:b w:val="0"/>
                <w:i w:val="0"/>
                <w:sz w:val="16"/>
              </w:rPr>
              <w:t>C3</w:t>
            </w:r>
          </w:p>
        </w:tc>
        <w:tc>
          <w:tcPr>
            <w:tcW w:type="dxa" w:w="1568"/>
          </w:tcPr>
          <w:p>
            <w:pPr>
              <w:spacing w:line="240" w:lineRule="auto" w:after="20"/>
            </w:pPr>
            <w:r>
              <w:rPr>
                <w:rFonts w:ascii="Times New Roman" w:hAnsi="Times New Roman"/>
                <w:b w:val="0"/>
                <w:i w:val="0"/>
                <w:sz w:val="16"/>
              </w:rPr>
              <w:t>Slawin et al. (2024)</w:t>
            </w:r>
          </w:p>
        </w:tc>
        <w:tc>
          <w:tcPr>
            <w:tcW w:type="dxa" w:w="1568"/>
          </w:tcPr>
          <w:p>
            <w:pPr>
              <w:spacing w:line="240" w:lineRule="auto" w:after="20"/>
            </w:pPr>
            <w:r>
              <w:rPr>
                <w:rFonts w:ascii="Times New Roman" w:hAnsi="Times New Roman"/>
                <w:b w:val="0"/>
                <w:i w:val="0"/>
                <w:sz w:val="16"/>
              </w:rPr>
              <w:t>Barley</w:t>
            </w:r>
          </w:p>
        </w:tc>
        <w:tc>
          <w:tcPr>
            <w:tcW w:type="dxa" w:w="1568"/>
          </w:tcPr>
          <w:p>
            <w:pPr>
              <w:spacing w:line="240" w:lineRule="auto" w:after="20"/>
            </w:pPr>
            <w:r>
              <w:rPr>
                <w:rFonts w:ascii="Times New Roman" w:hAnsi="Times New Roman"/>
                <w:b w:val="0"/>
                <w:i w:val="0"/>
                <w:sz w:val="16"/>
              </w:rPr>
              <w:t>Germination/seedling → heading yield, n = 164</w:t>
            </w:r>
          </w:p>
        </w:tc>
        <w:tc>
          <w:tcPr>
            <w:tcW w:type="dxa" w:w="1568"/>
          </w:tcPr>
          <w:p>
            <w:pPr>
              <w:spacing w:line="240" w:lineRule="auto" w:after="20"/>
            </w:pPr>
            <w:r>
              <w:rPr>
                <w:rFonts w:ascii="Times New Roman" w:hAnsi="Times New Roman"/>
                <w:b w:val="0"/>
                <w:i w:val="0"/>
                <w:sz w:val="16"/>
              </w:rPr>
              <w:t>r = −0.25; 9 lines at 100% germination → 2 with no yield penalty (~22%)</w:t>
            </w:r>
          </w:p>
        </w:tc>
        <w:tc>
          <w:tcPr>
            <w:tcW w:type="dxa" w:w="1568"/>
          </w:tcPr>
          <w:p>
            <w:pPr>
              <w:spacing w:line="240" w:lineRule="auto" w:after="20"/>
            </w:pPr>
            <w:r>
              <w:rPr>
                <w:rFonts w:ascii="Times New Roman" w:hAnsi="Times New Roman"/>
                <w:b/>
                <w:i w:val="0"/>
                <w:sz w:val="16"/>
              </w:rPr>
              <w:t>Contradicts</w:t>
            </w:r>
          </w:p>
        </w:tc>
      </w:tr>
      <w:tr>
        <w:tc>
          <w:tcPr>
            <w:tcW w:type="dxa" w:w="1568"/>
          </w:tcPr>
          <w:p>
            <w:pPr>
              <w:spacing w:line="240" w:lineRule="auto" w:after="20"/>
            </w:pPr>
            <w:r>
              <w:rPr>
                <w:rFonts w:ascii="Times New Roman" w:hAnsi="Times New Roman"/>
                <w:b w:val="0"/>
                <w:i w:val="0"/>
                <w:sz w:val="16"/>
              </w:rPr>
              <w:t>C4</w:t>
            </w:r>
          </w:p>
        </w:tc>
        <w:tc>
          <w:tcPr>
            <w:tcW w:type="dxa" w:w="1568"/>
          </w:tcPr>
          <w:p>
            <w:pPr>
              <w:spacing w:line="240" w:lineRule="auto" w:after="20"/>
            </w:pPr>
            <w:r>
              <w:rPr>
                <w:rFonts w:ascii="Times New Roman" w:hAnsi="Times New Roman"/>
                <w:b w:val="0"/>
                <w:i w:val="0"/>
                <w:sz w:val="16"/>
              </w:rPr>
              <w:t>Badr et al. (2025)</w:t>
            </w:r>
          </w:p>
        </w:tc>
        <w:tc>
          <w:tcPr>
            <w:tcW w:type="dxa" w:w="1568"/>
          </w:tcPr>
          <w:p>
            <w:pPr>
              <w:spacing w:line="240" w:lineRule="auto" w:after="20"/>
            </w:pPr>
            <w:r>
              <w:rPr>
                <w:rFonts w:ascii="Times New Roman" w:hAnsi="Times New Roman"/>
                <w:b w:val="0"/>
                <w:i w:val="0"/>
                <w:sz w:val="16"/>
              </w:rPr>
              <w:t>Barley</w:t>
            </w:r>
          </w:p>
        </w:tc>
        <w:tc>
          <w:tcPr>
            <w:tcW w:type="dxa" w:w="1568"/>
          </w:tcPr>
          <w:p>
            <w:pPr>
              <w:spacing w:line="240" w:lineRule="auto" w:after="20"/>
            </w:pPr>
            <w:r>
              <w:rPr>
                <w:rFonts w:ascii="Times New Roman" w:hAnsi="Times New Roman"/>
                <w:b w:val="0"/>
                <w:i w:val="0"/>
                <w:sz w:val="16"/>
              </w:rPr>
              <w:t>Germination + seedling + vegetative + flowering, n = 198</w:t>
            </w:r>
          </w:p>
        </w:tc>
        <w:tc>
          <w:tcPr>
            <w:tcW w:type="dxa" w:w="1568"/>
          </w:tcPr>
          <w:p>
            <w:pPr>
              <w:spacing w:line="240" w:lineRule="auto" w:after="20"/>
            </w:pPr>
            <w:r>
              <w:rPr>
                <w:rFonts w:ascii="Times New Roman" w:hAnsi="Times New Roman"/>
                <w:b w:val="0"/>
                <w:i w:val="0"/>
                <w:sz w:val="16"/>
              </w:rPr>
              <w:t>Tolerance "consistent" across the three important growth stages</w:t>
            </w:r>
          </w:p>
        </w:tc>
        <w:tc>
          <w:tcPr>
            <w:tcW w:type="dxa" w:w="1568"/>
          </w:tcPr>
          <w:p>
            <w:pPr>
              <w:spacing w:line="240" w:lineRule="auto" w:after="20"/>
            </w:pPr>
            <w:r>
              <w:rPr>
                <w:rFonts w:ascii="Times New Roman" w:hAnsi="Times New Roman"/>
                <w:b/>
                <w:i w:val="0"/>
                <w:sz w:val="16"/>
              </w:rPr>
              <w:t>Supports</w:t>
            </w:r>
            <w:r>
              <w:rPr>
                <w:rFonts w:ascii="Times New Roman" w:hAnsi="Times New Roman"/>
                <w:b w:val="0"/>
                <w:i w:val="0"/>
                <w:sz w:val="16"/>
              </w:rPr>
              <w:t xml:space="preserve"> — directly contradicts C3</w:t>
            </w:r>
          </w:p>
        </w:tc>
      </w:tr>
      <w:tr>
        <w:tc>
          <w:tcPr>
            <w:tcW w:type="dxa" w:w="1568"/>
          </w:tcPr>
          <w:p>
            <w:pPr>
              <w:spacing w:line="240" w:lineRule="auto" w:after="20"/>
            </w:pPr>
            <w:r>
              <w:rPr>
                <w:rFonts w:ascii="Times New Roman" w:hAnsi="Times New Roman"/>
                <w:b w:val="0"/>
                <w:i w:val="0"/>
                <w:sz w:val="16"/>
              </w:rPr>
              <w:t>C5</w:t>
            </w:r>
          </w:p>
        </w:tc>
        <w:tc>
          <w:tcPr>
            <w:tcW w:type="dxa" w:w="1568"/>
          </w:tcPr>
          <w:p>
            <w:pPr>
              <w:spacing w:line="240" w:lineRule="auto" w:after="20"/>
            </w:pPr>
            <w:r>
              <w:rPr>
                <w:rFonts w:ascii="Times New Roman" w:hAnsi="Times New Roman"/>
                <w:b w:val="0"/>
                <w:i w:val="0"/>
                <w:sz w:val="16"/>
              </w:rPr>
              <w:t>El-Rawy and Hassan (2014)</w:t>
            </w:r>
          </w:p>
        </w:tc>
        <w:tc>
          <w:tcPr>
            <w:tcW w:type="dxa" w:w="1568"/>
          </w:tcPr>
          <w:p>
            <w:pPr>
              <w:spacing w:line="240" w:lineRule="auto" w:after="20"/>
            </w:pPr>
            <w:r>
              <w:rPr>
                <w:rFonts w:ascii="Times New Roman" w:hAnsi="Times New Roman"/>
                <w:b w:val="0"/>
                <w:i w:val="0"/>
                <w:sz w:val="16"/>
              </w:rPr>
              <w:t>Wheat</w:t>
            </w:r>
          </w:p>
        </w:tc>
        <w:tc>
          <w:tcPr>
            <w:tcW w:type="dxa" w:w="1568"/>
          </w:tcPr>
          <w:p>
            <w:pPr>
              <w:spacing w:line="240" w:lineRule="auto" w:after="20"/>
            </w:pPr>
            <w:r>
              <w:rPr>
                <w:rFonts w:ascii="Times New Roman" w:hAnsi="Times New Roman"/>
                <w:b w:val="0"/>
                <w:i w:val="0"/>
                <w:sz w:val="16"/>
              </w:rPr>
              <w:t>Seedling → grain yield/spike</w:t>
            </w:r>
          </w:p>
        </w:tc>
        <w:tc>
          <w:tcPr>
            <w:tcW w:type="dxa" w:w="1568"/>
          </w:tcPr>
          <w:p>
            <w:pPr>
              <w:spacing w:line="240" w:lineRule="auto" w:after="20"/>
            </w:pPr>
            <w:r>
              <w:rPr>
                <w:rFonts w:ascii="Times New Roman" w:hAnsi="Times New Roman"/>
                <w:b w:val="0"/>
                <w:i w:val="0"/>
                <w:sz w:val="16"/>
              </w:rPr>
              <w:t>Root length r = 0.41\</w:t>
            </w:r>
            <w:r>
              <w:rPr>
                <w:rFonts w:ascii="Times New Roman" w:hAnsi="Times New Roman"/>
                <w:b w:val="0"/>
                <w:i/>
                <w:sz w:val="16"/>
              </w:rPr>
              <w:t>, seedling DW r = 0.46\</w:t>
            </w:r>
            <w:r>
              <w:rPr>
                <w:rFonts w:ascii="Times New Roman" w:hAnsi="Times New Roman"/>
                <w:b w:val="0"/>
                <w:i w:val="0"/>
                <w:sz w:val="16"/>
              </w:rPr>
              <w:t xml:space="preserve"> at </w:t>
            </w:r>
            <w:r>
              <w:rPr>
                <w:rFonts w:ascii="Times New Roman" w:hAnsi="Times New Roman"/>
                <w:b/>
                <w:i w:val="0"/>
                <w:sz w:val="16"/>
              </w:rPr>
              <w:t>15%</w:t>
            </w:r>
            <w:r>
              <w:rPr>
                <w:rFonts w:ascii="Times New Roman" w:hAnsi="Times New Roman"/>
                <w:b w:val="0"/>
                <w:i w:val="0"/>
                <w:sz w:val="16"/>
              </w:rPr>
              <w:t xml:space="preserve">; non-significant at </w:t>
            </w:r>
            <w:r>
              <w:rPr>
                <w:rFonts w:ascii="Times New Roman" w:hAnsi="Times New Roman"/>
                <w:b/>
                <w:i w:val="0"/>
                <w:sz w:val="16"/>
              </w:rPr>
              <w:t>20%</w:t>
            </w:r>
          </w:p>
        </w:tc>
        <w:tc>
          <w:tcPr>
            <w:tcW w:type="dxa" w:w="1568"/>
          </w:tcPr>
          <w:p>
            <w:pPr>
              <w:spacing w:line="240" w:lineRule="auto" w:after="20"/>
            </w:pPr>
            <w:r>
              <w:rPr>
                <w:rFonts w:ascii="Times New Roman" w:hAnsi="Times New Roman"/>
                <w:b/>
                <w:i w:val="0"/>
                <w:sz w:val="16"/>
              </w:rPr>
              <w:t>Supports</w:t>
            </w:r>
            <w:r>
              <w:rPr>
                <w:rFonts w:ascii="Times New Roman" w:hAnsi="Times New Roman"/>
                <w:b w:val="0"/>
                <w:i w:val="0"/>
                <w:sz w:val="16"/>
              </w:rPr>
              <w:t>, concentration-dependent</w:t>
            </w:r>
          </w:p>
        </w:tc>
      </w:tr>
      <w:tr>
        <w:tc>
          <w:tcPr>
            <w:tcW w:type="dxa" w:w="1568"/>
          </w:tcPr>
          <w:p>
            <w:pPr>
              <w:spacing w:line="240" w:lineRule="auto" w:after="20"/>
            </w:pPr>
            <w:r>
              <w:rPr>
                <w:rFonts w:ascii="Times New Roman" w:hAnsi="Times New Roman"/>
                <w:b w:val="0"/>
                <w:i w:val="0"/>
                <w:sz w:val="16"/>
              </w:rPr>
              <w:t>C6</w:t>
            </w:r>
          </w:p>
        </w:tc>
        <w:tc>
          <w:tcPr>
            <w:tcW w:type="dxa" w:w="1568"/>
          </w:tcPr>
          <w:p>
            <w:pPr>
              <w:spacing w:line="240" w:lineRule="auto" w:after="20"/>
            </w:pPr>
            <w:r>
              <w:rPr>
                <w:rFonts w:ascii="Times New Roman" w:hAnsi="Times New Roman"/>
                <w:b w:val="0"/>
                <w:i w:val="0"/>
                <w:sz w:val="16"/>
              </w:rPr>
              <w:t>Mohamed et al. (2023)</w:t>
            </w:r>
          </w:p>
        </w:tc>
        <w:tc>
          <w:tcPr>
            <w:tcW w:type="dxa" w:w="1568"/>
          </w:tcPr>
          <w:p>
            <w:pPr>
              <w:spacing w:line="240" w:lineRule="auto" w:after="20"/>
            </w:pPr>
            <w:r>
              <w:rPr>
                <w:rFonts w:ascii="Times New Roman" w:hAnsi="Times New Roman"/>
                <w:b w:val="0"/>
                <w:i w:val="0"/>
                <w:sz w:val="16"/>
              </w:rPr>
              <w:t>Wheat</w:t>
            </w:r>
          </w:p>
        </w:tc>
        <w:tc>
          <w:tcPr>
            <w:tcW w:type="dxa" w:w="1568"/>
          </w:tcPr>
          <w:p>
            <w:pPr>
              <w:spacing w:line="240" w:lineRule="auto" w:after="20"/>
            </w:pPr>
            <w:r>
              <w:rPr>
                <w:rFonts w:ascii="Times New Roman" w:hAnsi="Times New Roman"/>
                <w:b w:val="0"/>
                <w:i w:val="0"/>
                <w:sz w:val="16"/>
              </w:rPr>
              <w:t>Germination → seedling</w:t>
            </w:r>
          </w:p>
        </w:tc>
        <w:tc>
          <w:tcPr>
            <w:tcW w:type="dxa" w:w="1568"/>
          </w:tcPr>
          <w:p>
            <w:pPr>
              <w:spacing w:line="240" w:lineRule="auto" w:after="20"/>
            </w:pPr>
            <w:r>
              <w:rPr>
                <w:rFonts w:ascii="Times New Roman" w:hAnsi="Times New Roman"/>
                <w:b w:val="0"/>
                <w:i w:val="0"/>
                <w:sz w:val="16"/>
              </w:rPr>
              <w:t>"Little to no correlation" between the two stages</w:t>
            </w:r>
          </w:p>
        </w:tc>
        <w:tc>
          <w:tcPr>
            <w:tcW w:type="dxa" w:w="1568"/>
          </w:tcPr>
          <w:p>
            <w:pPr>
              <w:spacing w:line="240" w:lineRule="auto" w:after="20"/>
            </w:pPr>
            <w:r>
              <w:rPr>
                <w:rFonts w:ascii="Times New Roman" w:hAnsi="Times New Roman"/>
                <w:b/>
                <w:i w:val="0"/>
                <w:sz w:val="16"/>
              </w:rPr>
              <w:t>Contradicts</w:t>
            </w:r>
          </w:p>
        </w:tc>
      </w:tr>
      <w:tr>
        <w:tc>
          <w:tcPr>
            <w:tcW w:type="dxa" w:w="1568"/>
          </w:tcPr>
          <w:p>
            <w:pPr>
              <w:spacing w:line="240" w:lineRule="auto" w:after="20"/>
            </w:pPr>
            <w:r>
              <w:rPr>
                <w:rFonts w:ascii="Times New Roman" w:hAnsi="Times New Roman"/>
                <w:b w:val="0"/>
                <w:i w:val="0"/>
                <w:sz w:val="16"/>
              </w:rPr>
              <w:t>C7</w:t>
            </w:r>
          </w:p>
        </w:tc>
        <w:tc>
          <w:tcPr>
            <w:tcW w:type="dxa" w:w="1568"/>
          </w:tcPr>
          <w:p>
            <w:pPr>
              <w:spacing w:line="240" w:lineRule="auto" w:after="20"/>
            </w:pPr>
            <w:r>
              <w:rPr>
                <w:rFonts w:ascii="Times New Roman" w:hAnsi="Times New Roman"/>
                <w:b w:val="0"/>
                <w:i w:val="0"/>
                <w:sz w:val="16"/>
              </w:rPr>
              <w:t>Köhl et al. (2023)</w:t>
            </w:r>
          </w:p>
        </w:tc>
        <w:tc>
          <w:tcPr>
            <w:tcW w:type="dxa" w:w="1568"/>
          </w:tcPr>
          <w:p>
            <w:pPr>
              <w:spacing w:line="240" w:lineRule="auto" w:after="20"/>
            </w:pPr>
            <w:r>
              <w:rPr>
                <w:rFonts w:ascii="Times New Roman" w:hAnsi="Times New Roman"/>
                <w:b w:val="0"/>
                <w:i w:val="0"/>
                <w:sz w:val="16"/>
              </w:rPr>
              <w:t>Potato</w:t>
            </w:r>
          </w:p>
        </w:tc>
        <w:tc>
          <w:tcPr>
            <w:tcW w:type="dxa" w:w="1568"/>
          </w:tcPr>
          <w:p>
            <w:pPr>
              <w:spacing w:line="240" w:lineRule="auto" w:after="20"/>
            </w:pPr>
            <w:r>
              <w:rPr>
                <w:rFonts w:ascii="Times New Roman" w:hAnsi="Times New Roman"/>
                <w:b w:val="0"/>
                <w:i w:val="0"/>
                <w:sz w:val="16"/>
              </w:rPr>
              <w:t>Vegetative → yield, 20 lines, 3 trials</w:t>
            </w:r>
          </w:p>
        </w:tc>
        <w:tc>
          <w:tcPr>
            <w:tcW w:type="dxa" w:w="1568"/>
          </w:tcPr>
          <w:p>
            <w:pPr>
              <w:spacing w:line="240" w:lineRule="auto" w:after="20"/>
            </w:pPr>
            <w:r>
              <w:rPr>
                <w:rFonts w:ascii="Times New Roman" w:hAnsi="Times New Roman"/>
                <w:b w:val="0"/>
                <w:i w:val="0"/>
                <w:sz w:val="16"/>
              </w:rPr>
              <w:t>LAI and A2 turning points correlated with tolerance across trials</w:t>
            </w:r>
          </w:p>
        </w:tc>
        <w:tc>
          <w:tcPr>
            <w:tcW w:type="dxa" w:w="1568"/>
          </w:tcPr>
          <w:p>
            <w:pPr>
              <w:spacing w:line="240" w:lineRule="auto" w:after="20"/>
            </w:pPr>
            <w:r>
              <w:rPr>
                <w:rFonts w:ascii="Times New Roman" w:hAnsi="Times New Roman"/>
                <w:b w:val="0"/>
                <w:i w:val="0"/>
                <w:sz w:val="16"/>
              </w:rPr>
              <w:t>Supports</w:t>
            </w:r>
          </w:p>
        </w:tc>
      </w:tr>
      <w:tr>
        <w:tc>
          <w:tcPr>
            <w:tcW w:type="dxa" w:w="1568"/>
          </w:tcPr>
          <w:p>
            <w:pPr>
              <w:spacing w:line="240" w:lineRule="auto" w:after="20"/>
            </w:pPr>
            <w:r>
              <w:rPr>
                <w:rFonts w:ascii="Times New Roman" w:hAnsi="Times New Roman"/>
                <w:b w:val="0"/>
                <w:i w:val="0"/>
                <w:sz w:val="16"/>
              </w:rPr>
              <w:t>C8</w:t>
            </w:r>
          </w:p>
        </w:tc>
        <w:tc>
          <w:tcPr>
            <w:tcW w:type="dxa" w:w="1568"/>
          </w:tcPr>
          <w:p>
            <w:pPr>
              <w:spacing w:line="240" w:lineRule="auto" w:after="20"/>
            </w:pPr>
            <w:r>
              <w:rPr>
                <w:rFonts w:ascii="Times New Roman" w:hAnsi="Times New Roman"/>
                <w:b w:val="0"/>
                <w:i w:val="0"/>
                <w:sz w:val="16"/>
              </w:rPr>
              <w:t>Sahitya et al. (2019)</w:t>
            </w:r>
          </w:p>
        </w:tc>
        <w:tc>
          <w:tcPr>
            <w:tcW w:type="dxa" w:w="1568"/>
          </w:tcPr>
          <w:p>
            <w:pPr>
              <w:spacing w:line="240" w:lineRule="auto" w:after="20"/>
            </w:pPr>
            <w:r>
              <w:rPr>
                <w:rFonts w:ascii="Times New Roman" w:hAnsi="Times New Roman"/>
                <w:b w:val="0"/>
                <w:i/>
                <w:sz w:val="16"/>
              </w:rPr>
              <w:t>Capsicum</w:t>
            </w:r>
          </w:p>
        </w:tc>
        <w:tc>
          <w:tcPr>
            <w:tcW w:type="dxa" w:w="1568"/>
          </w:tcPr>
          <w:p>
            <w:pPr>
              <w:spacing w:line="240" w:lineRule="auto" w:after="20"/>
            </w:pPr>
            <w:r>
              <w:rPr>
                <w:rFonts w:ascii="Times New Roman" w:hAnsi="Times New Roman"/>
                <w:b w:val="0"/>
                <w:i w:val="0"/>
                <w:sz w:val="16"/>
              </w:rPr>
              <w:t>— (mechanism contrast)</w:t>
            </w:r>
          </w:p>
        </w:tc>
        <w:tc>
          <w:tcPr>
            <w:tcW w:type="dxa" w:w="1568"/>
          </w:tcPr>
          <w:p>
            <w:pPr>
              <w:spacing w:line="240" w:lineRule="auto" w:after="20"/>
            </w:pPr>
            <w:r>
              <w:rPr>
                <w:rFonts w:ascii="Times New Roman" w:hAnsi="Times New Roman"/>
                <w:b w:val="0"/>
                <w:i w:val="0"/>
                <w:sz w:val="16"/>
              </w:rPr>
              <w:t>12 aquaporins ↑ in tolerant KCa-4884, ↓ in susceptible G-4</w:t>
            </w:r>
          </w:p>
        </w:tc>
        <w:tc>
          <w:tcPr>
            <w:tcW w:type="dxa" w:w="1568"/>
          </w:tcPr>
          <w:p>
            <w:pPr>
              <w:spacing w:line="240" w:lineRule="auto" w:after="20"/>
            </w:pPr>
            <w:r>
              <w:rPr>
                <w:rFonts w:ascii="Times New Roman" w:hAnsi="Times New Roman"/>
                <w:b w:val="0"/>
                <w:i w:val="0"/>
                <w:sz w:val="16"/>
              </w:rPr>
              <w:t>—</w:t>
            </w:r>
          </w:p>
        </w:tc>
      </w:tr>
      <w:tr>
        <w:tc>
          <w:tcPr>
            <w:tcW w:type="dxa" w:w="1568"/>
          </w:tcPr>
          <w:p>
            <w:pPr>
              <w:spacing w:line="240" w:lineRule="auto" w:after="20"/>
            </w:pPr>
            <w:r>
              <w:rPr>
                <w:rFonts w:ascii="Times New Roman" w:hAnsi="Times New Roman"/>
                <w:b w:val="0"/>
                <w:i w:val="0"/>
                <w:sz w:val="16"/>
              </w:rPr>
              <w:t>C9</w:t>
            </w:r>
          </w:p>
        </w:tc>
        <w:tc>
          <w:tcPr>
            <w:tcW w:type="dxa" w:w="1568"/>
          </w:tcPr>
          <w:p>
            <w:pPr>
              <w:spacing w:line="240" w:lineRule="auto" w:after="20"/>
            </w:pPr>
            <w:r>
              <w:rPr>
                <w:rFonts w:ascii="Times New Roman" w:hAnsi="Times New Roman"/>
                <w:b w:val="0"/>
                <w:i w:val="0"/>
                <w:sz w:val="16"/>
              </w:rPr>
              <w:t>Yadav et al. (2025)</w:t>
            </w:r>
          </w:p>
        </w:tc>
        <w:tc>
          <w:tcPr>
            <w:tcW w:type="dxa" w:w="1568"/>
          </w:tcPr>
          <w:p>
            <w:pPr>
              <w:spacing w:line="240" w:lineRule="auto" w:after="20"/>
            </w:pPr>
            <w:r>
              <w:rPr>
                <w:rFonts w:ascii="Times New Roman" w:hAnsi="Times New Roman"/>
                <w:b w:val="0"/>
                <w:i w:val="0"/>
                <w:sz w:val="16"/>
              </w:rPr>
              <w:t>Tomato</w:t>
            </w:r>
          </w:p>
        </w:tc>
        <w:tc>
          <w:tcPr>
            <w:tcW w:type="dxa" w:w="1568"/>
          </w:tcPr>
          <w:p>
            <w:pPr>
              <w:spacing w:line="240" w:lineRule="auto" w:after="20"/>
            </w:pPr>
            <w:r>
              <w:rPr>
                <w:rFonts w:ascii="Times New Roman" w:hAnsi="Times New Roman"/>
                <w:b w:val="0"/>
                <w:i w:val="0"/>
                <w:sz w:val="16"/>
              </w:rPr>
              <w:t>Germination/seedling only</w:t>
            </w:r>
          </w:p>
        </w:tc>
        <w:tc>
          <w:tcPr>
            <w:tcW w:type="dxa" w:w="1568"/>
          </w:tcPr>
          <w:p>
            <w:pPr>
              <w:spacing w:line="240" w:lineRule="auto" w:after="20"/>
            </w:pPr>
            <w:r>
              <w:rPr>
                <w:rFonts w:ascii="Times New Roman" w:hAnsi="Times New Roman"/>
                <w:b w:val="0"/>
                <w:i w:val="0"/>
                <w:sz w:val="16"/>
              </w:rPr>
              <w:t>Authors state field validation outstanding</w:t>
            </w:r>
          </w:p>
        </w:tc>
        <w:tc>
          <w:tcPr>
            <w:tcW w:type="dxa" w:w="1568"/>
          </w:tcPr>
          <w:p>
            <w:pPr>
              <w:spacing w:line="240" w:lineRule="auto" w:after="20"/>
            </w:pPr>
            <w:r>
              <w:rPr>
                <w:rFonts w:ascii="Times New Roman" w:hAnsi="Times New Roman"/>
                <w:b/>
                <w:i w:val="0"/>
                <w:sz w:val="16"/>
              </w:rPr>
              <w:t>Untested</w:t>
            </w:r>
          </w:p>
        </w:tc>
      </w:tr>
    </w:tbl>
    <w:p/>
    <w:p>
      <w:pPr>
        <w:spacing w:before="240" w:after="80"/>
      </w:pPr>
      <w:r>
        <w:rPr>
          <w:rFonts w:ascii="Times New Roman" w:hAnsi="Times New Roman"/>
          <w:b/>
          <w:sz w:val="24"/>
        </w:rPr>
        <w:t>5. CROSS-CROP COMPARISON: RESOURCES, STRATEGIES AND THE *CAPSICUM* GAP</w:t>
      </w:r>
    </w:p>
    <w:p>
      <w:pPr>
        <w:spacing w:before="240" w:after="80"/>
      </w:pPr>
      <w:r>
        <w:rPr>
          <w:rFonts w:ascii="Times New Roman" w:hAnsi="Times New Roman"/>
          <w:b/>
          <w:sz w:val="24"/>
        </w:rPr>
        <w:t>5.1 Three developmental strata</w:t>
      </w:r>
    </w:p>
    <w:p>
      <w:pPr>
        <w:spacing w:before="0"/>
        <w:jc w:val="both"/>
      </w:pPr>
      <w:r>
        <w:rPr>
          <w:rFonts w:ascii="Times New Roman" w:hAnsi="Times New Roman"/>
          <w:b w:val="0"/>
          <w:i w:val="0"/>
          <w:sz w:val="24"/>
        </w:rPr>
        <w:t>Drought tolerance research in the Solanaceae is organised by developmental stage, and the stages are largely studied separately (Table 11).</w:t>
      </w:r>
    </w:p>
    <w:p>
      <w:pPr>
        <w:spacing w:before="0"/>
        <w:jc w:val="both"/>
      </w:pPr>
      <w:r>
        <w:rPr>
          <w:rFonts w:ascii="Times New Roman" w:hAnsi="Times New Roman"/>
          <w:b/>
          <w:i w:val="0"/>
          <w:sz w:val="24"/>
        </w:rPr>
        <w:t>Table 11.</w:t>
      </w:r>
      <w:r>
        <w:rPr>
          <w:rFonts w:ascii="Times New Roman" w:hAnsi="Times New Roman"/>
          <w:b w:val="0"/>
          <w:i w:val="0"/>
          <w:sz w:val="24"/>
        </w:rPr>
        <w:t xml:space="preserve"> The three developmental strata and the typical approach used at each.</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20"/>
            </w:pPr>
            <w:r>
              <w:rPr>
                <w:rFonts w:ascii="Times New Roman" w:hAnsi="Times New Roman"/>
                <w:b/>
                <w:i w:val="0"/>
                <w:sz w:val="16"/>
              </w:rPr>
              <w:t>Stratum</w:t>
            </w:r>
          </w:p>
        </w:tc>
        <w:tc>
          <w:tcPr>
            <w:tcW w:type="dxa" w:w="3135"/>
          </w:tcPr>
          <w:p>
            <w:pPr>
              <w:spacing w:line="240" w:lineRule="auto" w:after="20"/>
            </w:pPr>
            <w:r>
              <w:rPr>
                <w:rFonts w:ascii="Times New Roman" w:hAnsi="Times New Roman"/>
                <w:b/>
                <w:i w:val="0"/>
                <w:sz w:val="16"/>
              </w:rPr>
              <w:t>Stage</w:t>
            </w:r>
          </w:p>
        </w:tc>
        <w:tc>
          <w:tcPr>
            <w:tcW w:type="dxa" w:w="3135"/>
          </w:tcPr>
          <w:p>
            <w:pPr>
              <w:spacing w:line="240" w:lineRule="auto" w:after="20"/>
            </w:pPr>
            <w:r>
              <w:rPr>
                <w:rFonts w:ascii="Times New Roman" w:hAnsi="Times New Roman"/>
                <w:b/>
                <w:i w:val="0"/>
                <w:sz w:val="16"/>
              </w:rPr>
              <w:t>Typical approach</w:t>
            </w:r>
          </w:p>
        </w:tc>
      </w:tr>
      <w:tr>
        <w:tc>
          <w:tcPr>
            <w:tcW w:type="dxa" w:w="3135"/>
          </w:tcPr>
          <w:p>
            <w:pPr>
              <w:spacing w:line="240" w:lineRule="auto" w:after="20"/>
            </w:pPr>
            <w:r>
              <w:rPr>
                <w:rFonts w:ascii="Times New Roman" w:hAnsi="Times New Roman"/>
                <w:b w:val="0"/>
                <w:i w:val="0"/>
                <w:sz w:val="16"/>
              </w:rPr>
              <w:t>A</w:t>
            </w:r>
          </w:p>
        </w:tc>
        <w:tc>
          <w:tcPr>
            <w:tcW w:type="dxa" w:w="3135"/>
          </w:tcPr>
          <w:p>
            <w:pPr>
              <w:spacing w:line="240" w:lineRule="auto" w:after="20"/>
            </w:pPr>
            <w:r>
              <w:rPr>
                <w:rFonts w:ascii="Times New Roman" w:hAnsi="Times New Roman"/>
                <w:b w:val="0"/>
                <w:i w:val="0"/>
                <w:sz w:val="16"/>
              </w:rPr>
              <w:t>Germination</w:t>
            </w:r>
          </w:p>
        </w:tc>
        <w:tc>
          <w:tcPr>
            <w:tcW w:type="dxa" w:w="3135"/>
          </w:tcPr>
          <w:p>
            <w:pPr>
              <w:spacing w:line="240" w:lineRule="auto" w:after="20"/>
            </w:pPr>
            <w:r>
              <w:rPr>
                <w:rFonts w:ascii="Times New Roman" w:hAnsi="Times New Roman"/>
                <w:b w:val="0"/>
                <w:i w:val="0"/>
                <w:sz w:val="16"/>
              </w:rPr>
              <w:t>PEG-induced osmotic stress in Petri dishes</w:t>
            </w:r>
          </w:p>
        </w:tc>
      </w:tr>
      <w:tr>
        <w:tc>
          <w:tcPr>
            <w:tcW w:type="dxa" w:w="3135"/>
          </w:tcPr>
          <w:p>
            <w:pPr>
              <w:spacing w:line="240" w:lineRule="auto" w:after="20"/>
            </w:pPr>
            <w:r>
              <w:rPr>
                <w:rFonts w:ascii="Times New Roman" w:hAnsi="Times New Roman"/>
                <w:b w:val="0"/>
                <w:i w:val="0"/>
                <w:sz w:val="16"/>
              </w:rPr>
              <w:t>B</w:t>
            </w:r>
          </w:p>
        </w:tc>
        <w:tc>
          <w:tcPr>
            <w:tcW w:type="dxa" w:w="3135"/>
          </w:tcPr>
          <w:p>
            <w:pPr>
              <w:spacing w:line="240" w:lineRule="auto" w:after="20"/>
            </w:pPr>
            <w:r>
              <w:rPr>
                <w:rFonts w:ascii="Times New Roman" w:hAnsi="Times New Roman"/>
                <w:b w:val="0"/>
                <w:i w:val="0"/>
                <w:sz w:val="16"/>
              </w:rPr>
              <w:t>Vegetative</w:t>
            </w:r>
          </w:p>
        </w:tc>
        <w:tc>
          <w:tcPr>
            <w:tcW w:type="dxa" w:w="3135"/>
          </w:tcPr>
          <w:p>
            <w:pPr>
              <w:spacing w:line="240" w:lineRule="auto" w:after="20"/>
            </w:pPr>
            <w:r>
              <w:rPr>
                <w:rFonts w:ascii="Times New Roman" w:hAnsi="Times New Roman"/>
                <w:b w:val="0"/>
                <w:i w:val="0"/>
                <w:sz w:val="16"/>
              </w:rPr>
              <w:t>Controlled water withholding in pot or greenhouse</w:t>
            </w:r>
          </w:p>
        </w:tc>
      </w:tr>
      <w:tr>
        <w:tc>
          <w:tcPr>
            <w:tcW w:type="dxa" w:w="3135"/>
          </w:tcPr>
          <w:p>
            <w:pPr>
              <w:spacing w:line="240" w:lineRule="auto" w:after="20"/>
            </w:pPr>
            <w:r>
              <w:rPr>
                <w:rFonts w:ascii="Times New Roman" w:hAnsi="Times New Roman"/>
                <w:b w:val="0"/>
                <w:i w:val="0"/>
                <w:sz w:val="16"/>
              </w:rPr>
              <w:t>C</w:t>
            </w:r>
          </w:p>
        </w:tc>
        <w:tc>
          <w:tcPr>
            <w:tcW w:type="dxa" w:w="3135"/>
          </w:tcPr>
          <w:p>
            <w:pPr>
              <w:spacing w:line="240" w:lineRule="auto" w:after="20"/>
            </w:pPr>
            <w:r>
              <w:rPr>
                <w:rFonts w:ascii="Times New Roman" w:hAnsi="Times New Roman"/>
                <w:b w:val="0"/>
                <w:i w:val="0"/>
                <w:sz w:val="16"/>
              </w:rPr>
              <w:t>Reproductive</w:t>
            </w:r>
          </w:p>
        </w:tc>
        <w:tc>
          <w:tcPr>
            <w:tcW w:type="dxa" w:w="3135"/>
          </w:tcPr>
          <w:p>
            <w:pPr>
              <w:spacing w:line="240" w:lineRule="auto" w:after="20"/>
            </w:pPr>
            <w:r>
              <w:rPr>
                <w:rFonts w:ascii="Times New Roman" w:hAnsi="Times New Roman"/>
                <w:b w:val="0"/>
                <w:i w:val="0"/>
                <w:sz w:val="16"/>
              </w:rPr>
              <w:t>Field or greenhouse water stress; GWAS and QTL mapping</w:t>
            </w:r>
          </w:p>
        </w:tc>
      </w:tr>
    </w:tbl>
    <w:p/>
    <w:p>
      <w:pPr>
        <w:spacing w:before="0"/>
        <w:jc w:val="both"/>
      </w:pPr>
      <w:r>
        <w:rPr>
          <w:rFonts w:ascii="Times New Roman" w:hAnsi="Times New Roman"/>
          <w:b w:val="0"/>
          <w:i w:val="0"/>
          <w:sz w:val="24"/>
        </w:rPr>
        <w:t xml:space="preserve">Tomato has the deepest coverage in stratum C: 19 drought-related QTL from sub-near-isogenic lines of </w:t>
      </w:r>
      <w:r>
        <w:rPr>
          <w:rFonts w:ascii="Times New Roman" w:hAnsi="Times New Roman"/>
          <w:b w:val="0"/>
          <w:i/>
          <w:sz w:val="24"/>
        </w:rPr>
        <w:t>S. habrochaites</w:t>
      </w:r>
      <w:r>
        <w:rPr>
          <w:rFonts w:ascii="Times New Roman" w:hAnsi="Times New Roman"/>
          <w:b w:val="0"/>
          <w:i w:val="0"/>
          <w:sz w:val="24"/>
        </w:rPr>
        <w:t xml:space="preserve"> on chromosome 9 for traits including specific leaf area, shoot dry weight, fruit yield and carbon isotope discrimination; 56 QTL from 119 F7 recombinant inbred lines, 11 expressed under drought; 12 for fertility and flowering under drought; and 54 from a multi-parent advanced generation intercross population. CRISPR validation exists, with </w:t>
      </w:r>
      <w:r>
        <w:rPr>
          <w:rFonts w:ascii="Times New Roman" w:hAnsi="Times New Roman"/>
          <w:b w:val="0"/>
          <w:i/>
          <w:sz w:val="24"/>
        </w:rPr>
        <w:t>SlMAPK3</w:t>
      </w:r>
      <w:r>
        <w:rPr>
          <w:rFonts w:ascii="Times New Roman" w:hAnsi="Times New Roman"/>
          <w:b w:val="0"/>
          <w:i w:val="0"/>
          <w:sz w:val="24"/>
        </w:rPr>
        <w:t xml:space="preserve"> mutants showing enlarged stomatal apertures, elevated H₂O₂ and malondialdehyde, increased electrolyte leakage, reduced antioxidant enzyme activity, and down-regulation of </w:t>
      </w:r>
      <w:r>
        <w:rPr>
          <w:rFonts w:ascii="Times New Roman" w:hAnsi="Times New Roman"/>
          <w:b w:val="0"/>
          <w:i/>
          <w:sz w:val="24"/>
        </w:rPr>
        <w:t>SlDHN</w:t>
      </w:r>
      <w:r>
        <w:rPr>
          <w:rFonts w:ascii="Times New Roman" w:hAnsi="Times New Roman"/>
          <w:b w:val="0"/>
          <w:i w:val="0"/>
          <w:sz w:val="24"/>
        </w:rPr>
        <w:t xml:space="preserve">, </w:t>
      </w:r>
      <w:r>
        <w:rPr>
          <w:rFonts w:ascii="Times New Roman" w:hAnsi="Times New Roman"/>
          <w:b w:val="0"/>
          <w:i/>
          <w:sz w:val="24"/>
        </w:rPr>
        <w:t>SlDREB</w:t>
      </w:r>
      <w:r>
        <w:rPr>
          <w:rFonts w:ascii="Times New Roman" w:hAnsi="Times New Roman"/>
          <w:b w:val="0"/>
          <w:i w:val="0"/>
          <w:sz w:val="24"/>
        </w:rPr>
        <w:t xml:space="preserve"> and </w:t>
      </w:r>
      <w:r>
        <w:rPr>
          <w:rFonts w:ascii="Times New Roman" w:hAnsi="Times New Roman"/>
          <w:b w:val="0"/>
          <w:i/>
          <w:sz w:val="24"/>
        </w:rPr>
        <w:t>SlGST</w:t>
      </w:r>
      <w:r>
        <w:rPr>
          <w:rFonts w:ascii="Times New Roman" w:hAnsi="Times New Roman"/>
          <w:b w:val="0"/>
          <w:i w:val="0"/>
          <w:sz w:val="24"/>
        </w:rPr>
        <w:t xml:space="preserve"> (Pang et al., 2024).</w:t>
      </w:r>
    </w:p>
    <w:p>
      <w:pPr>
        <w:spacing w:before="0"/>
        <w:jc w:val="both"/>
      </w:pPr>
      <w:r>
        <w:rPr>
          <w:rFonts w:ascii="Times New Roman" w:hAnsi="Times New Roman"/>
          <w:b w:val="0"/>
          <w:i/>
          <w:sz w:val="24"/>
        </w:rPr>
        <w:t>Capsicum</w:t>
      </w:r>
      <w:r>
        <w:rPr>
          <w:rFonts w:ascii="Times New Roman" w:hAnsi="Times New Roman"/>
          <w:b w:val="0"/>
          <w:i w:val="0"/>
          <w:sz w:val="24"/>
        </w:rPr>
        <w:t xml:space="preserve"> has less, but more than is sometimes assumed. A recent study combined genome-wide association in a Balkan diversity panel (n = 133) with QTL mapping in an interspecific backcross inbred line population (n = 76), phenotyping both under well-watered and water-stressed conditions for fruit yield and quality; loci on chromosomes 5 and 6 harboured candidate genes including </w:t>
      </w:r>
      <w:r>
        <w:rPr>
          <w:rFonts w:ascii="Times New Roman" w:hAnsi="Times New Roman"/>
          <w:b w:val="0"/>
          <w:i/>
          <w:sz w:val="24"/>
        </w:rPr>
        <w:t>GRL1</w:t>
      </w:r>
      <w:r>
        <w:rPr>
          <w:rFonts w:ascii="Times New Roman" w:hAnsi="Times New Roman"/>
          <w:b w:val="0"/>
          <w:i w:val="0"/>
          <w:sz w:val="24"/>
        </w:rPr>
        <w:t xml:space="preserve">, </w:t>
      </w:r>
      <w:r>
        <w:rPr>
          <w:rFonts w:ascii="Times New Roman" w:hAnsi="Times New Roman"/>
          <w:b w:val="0"/>
          <w:i/>
          <w:sz w:val="24"/>
        </w:rPr>
        <w:t>CYP77A19</w:t>
      </w:r>
      <w:r>
        <w:rPr>
          <w:rFonts w:ascii="Times New Roman" w:hAnsi="Times New Roman"/>
          <w:b w:val="0"/>
          <w:i w:val="0"/>
          <w:sz w:val="24"/>
        </w:rPr>
        <w:t xml:space="preserve"> and an endoglucanase-like gene, with effects attributed to possible </w:t>
      </w:r>
      <w:r>
        <w:rPr>
          <w:rFonts w:ascii="Times New Roman" w:hAnsi="Times New Roman"/>
          <w:b w:val="0"/>
          <w:i/>
          <w:sz w:val="24"/>
        </w:rPr>
        <w:t>cis</w:t>
      </w:r>
      <w:r>
        <w:rPr>
          <w:rFonts w:ascii="Times New Roman" w:hAnsi="Times New Roman"/>
          <w:b w:val="0"/>
          <w:i w:val="0"/>
          <w:sz w:val="24"/>
        </w:rPr>
        <w:t xml:space="preserve">-regulatory variation (Rai et al., 2026). A screen of 100 accessions identified resistant material at the vegetative stage (Thin et al., 2026). And pepper has a graph pan-genome with a genome variation map covering 500 accessions across five domesticated species and close wild relatives, in which introgressions from </w:t>
      </w:r>
      <w:r>
        <w:rPr>
          <w:rFonts w:ascii="Times New Roman" w:hAnsi="Times New Roman"/>
          <w:b w:val="0"/>
          <w:i/>
          <w:sz w:val="24"/>
        </w:rPr>
        <w:t>C. baccatum</w:t>
      </w:r>
      <w:r>
        <w:rPr>
          <w:rFonts w:ascii="Times New Roman" w:hAnsi="Times New Roman"/>
          <w:b w:val="0"/>
          <w:i w:val="0"/>
          <w:sz w:val="24"/>
        </w:rPr>
        <w:t xml:space="preserve"> into </w:t>
      </w:r>
      <w:r>
        <w:rPr>
          <w:rFonts w:ascii="Times New Roman" w:hAnsi="Times New Roman"/>
          <w:b w:val="0"/>
          <w:i/>
          <w:sz w:val="24"/>
        </w:rPr>
        <w:t>C. chinense</w:t>
      </w:r>
      <w:r>
        <w:rPr>
          <w:rFonts w:ascii="Times New Roman" w:hAnsi="Times New Roman"/>
          <w:b w:val="0"/>
          <w:i w:val="0"/>
          <w:sz w:val="24"/>
        </w:rPr>
        <w:t xml:space="preserve"> and </w:t>
      </w:r>
      <w:r>
        <w:rPr>
          <w:rFonts w:ascii="Times New Roman" w:hAnsi="Times New Roman"/>
          <w:b w:val="0"/>
          <w:i/>
          <w:sz w:val="24"/>
        </w:rPr>
        <w:t>C. frutescens</w:t>
      </w:r>
      <w:r>
        <w:rPr>
          <w:rFonts w:ascii="Times New Roman" w:hAnsi="Times New Roman"/>
          <w:b w:val="0"/>
          <w:i w:val="0"/>
          <w:sz w:val="24"/>
        </w:rPr>
        <w:t xml:space="preserve"> carry genes conferring biotic and abiotic stress tolerance.</w:t>
      </w:r>
    </w:p>
    <w:p>
      <w:pPr>
        <w:spacing w:before="0"/>
        <w:jc w:val="both"/>
      </w:pPr>
      <w:r>
        <w:rPr>
          <w:rFonts w:ascii="Times New Roman" w:hAnsi="Times New Roman"/>
          <w:b w:val="0"/>
          <w:i w:val="0"/>
          <w:sz w:val="24"/>
        </w:rPr>
        <w:t xml:space="preserve">Eggplant demonstrates a strategy both other crops under-use: systematic exploitation of wild relatives (Kouassi et al., 2021). Cultivated </w:t>
      </w:r>
      <w:r>
        <w:rPr>
          <w:rFonts w:ascii="Times New Roman" w:hAnsi="Times New Roman"/>
          <w:b w:val="0"/>
          <w:i/>
          <w:sz w:val="24"/>
        </w:rPr>
        <w:t>S. melongena</w:t>
      </w:r>
      <w:r>
        <w:rPr>
          <w:rFonts w:ascii="Times New Roman" w:hAnsi="Times New Roman"/>
          <w:b w:val="0"/>
          <w:i w:val="0"/>
          <w:sz w:val="24"/>
        </w:rPr>
        <w:t xml:space="preserve"> is consistently the most drought-sensitive genotype in comparative trials, with reductions across nine agronomic traits including leaf area index and biomass; the wild species </w:t>
      </w:r>
      <w:r>
        <w:rPr>
          <w:rFonts w:ascii="Times New Roman" w:hAnsi="Times New Roman"/>
          <w:b w:val="0"/>
          <w:i/>
          <w:sz w:val="24"/>
        </w:rPr>
        <w:t>S. macrocarpon</w:t>
      </w:r>
      <w:r>
        <w:rPr>
          <w:rFonts w:ascii="Times New Roman" w:hAnsi="Times New Roman"/>
          <w:b w:val="0"/>
          <w:i w:val="0"/>
          <w:sz w:val="24"/>
        </w:rPr>
        <w:t xml:space="preserve"> essentially maintained biomass and </w:t>
      </w:r>
      <w:r>
        <w:rPr>
          <w:rFonts w:ascii="Times New Roman" w:hAnsi="Times New Roman"/>
          <w:b w:val="0"/>
          <w:i/>
          <w:sz w:val="24"/>
        </w:rPr>
        <w:t>S. dasyphyllum</w:t>
      </w:r>
      <w:r>
        <w:rPr>
          <w:rFonts w:ascii="Times New Roman" w:hAnsi="Times New Roman"/>
          <w:b w:val="0"/>
          <w:i w:val="0"/>
          <w:sz w:val="24"/>
        </w:rPr>
        <w:t xml:space="preserve"> showed an intermediate response (Krommydas et al., 2025). A screen across 15 </w:t>
      </w:r>
      <w:r>
        <w:rPr>
          <w:rFonts w:ascii="Times New Roman" w:hAnsi="Times New Roman"/>
          <w:b w:val="0"/>
          <w:i/>
          <w:sz w:val="24"/>
        </w:rPr>
        <w:t>Solanum</w:t>
      </w:r>
      <w:r>
        <w:rPr>
          <w:rFonts w:ascii="Times New Roman" w:hAnsi="Times New Roman"/>
          <w:b w:val="0"/>
          <w:i w:val="0"/>
          <w:sz w:val="24"/>
        </w:rPr>
        <w:t xml:space="preserve"> species identified </w:t>
      </w:r>
      <w:r>
        <w:rPr>
          <w:rFonts w:ascii="Times New Roman" w:hAnsi="Times New Roman"/>
          <w:b w:val="0"/>
          <w:i/>
          <w:sz w:val="24"/>
        </w:rPr>
        <w:t>S. torvum</w:t>
      </w:r>
      <w:r>
        <w:rPr>
          <w:rFonts w:ascii="Times New Roman" w:hAnsi="Times New Roman"/>
          <w:b w:val="0"/>
          <w:i w:val="0"/>
          <w:sz w:val="24"/>
        </w:rPr>
        <w:t xml:space="preserve">, </w:t>
      </w:r>
      <w:r>
        <w:rPr>
          <w:rFonts w:ascii="Times New Roman" w:hAnsi="Times New Roman"/>
          <w:b w:val="0"/>
          <w:i/>
          <w:sz w:val="24"/>
        </w:rPr>
        <w:t>S. viarum</w:t>
      </w:r>
      <w:r>
        <w:rPr>
          <w:rFonts w:ascii="Times New Roman" w:hAnsi="Times New Roman"/>
          <w:b w:val="0"/>
          <w:i w:val="0"/>
          <w:sz w:val="24"/>
        </w:rPr>
        <w:t xml:space="preserve">, </w:t>
      </w:r>
      <w:r>
        <w:rPr>
          <w:rFonts w:ascii="Times New Roman" w:hAnsi="Times New Roman"/>
          <w:b w:val="0"/>
          <w:i/>
          <w:sz w:val="24"/>
        </w:rPr>
        <w:t>S. violaceum</w:t>
      </w:r>
      <w:r>
        <w:rPr>
          <w:rFonts w:ascii="Times New Roman" w:hAnsi="Times New Roman"/>
          <w:b w:val="0"/>
          <w:i w:val="0"/>
          <w:sz w:val="24"/>
        </w:rPr>
        <w:t xml:space="preserve"> and </w:t>
      </w:r>
      <w:r>
        <w:rPr>
          <w:rFonts w:ascii="Times New Roman" w:hAnsi="Times New Roman"/>
          <w:b w:val="0"/>
          <w:i/>
          <w:sz w:val="24"/>
        </w:rPr>
        <w:t>S. aethiopicum</w:t>
      </w:r>
      <w:r>
        <w:rPr>
          <w:rFonts w:ascii="Times New Roman" w:hAnsi="Times New Roman"/>
          <w:b w:val="0"/>
          <w:i w:val="0"/>
          <w:sz w:val="24"/>
        </w:rPr>
        <w:t xml:space="preserve"> as tolerant, with principal component analysis identifying catalase activity, proline, stomatal conductance, transpiration rate, root length and shoot dry weight as the traits driving differences and explaining 80.2% of total variation (Anagha et al., 2026).</w:t>
      </w:r>
    </w:p>
    <w:p>
      <w:pPr>
        <w:spacing w:before="240" w:after="80"/>
      </w:pPr>
      <w:r>
        <w:rPr>
          <w:rFonts w:ascii="Times New Roman" w:hAnsi="Times New Roman"/>
          <w:b/>
          <w:sz w:val="24"/>
        </w:rPr>
        <w:t>5.2 Candidate genes and the validation question</w:t>
      </w:r>
    </w:p>
    <w:p>
      <w:pPr>
        <w:spacing w:before="0"/>
        <w:jc w:val="both"/>
      </w:pPr>
      <w:r>
        <w:rPr>
          <w:rFonts w:ascii="Times New Roman" w:hAnsi="Times New Roman"/>
          <w:b w:val="0"/>
          <w:i w:val="0"/>
          <w:sz w:val="24"/>
        </w:rPr>
        <w:t xml:space="preserve">A catalogue of drought-responsive genes in the Solanaceae is accumulating. In </w:t>
      </w:r>
      <w:r>
        <w:rPr>
          <w:rFonts w:ascii="Times New Roman" w:hAnsi="Times New Roman"/>
          <w:b w:val="0"/>
          <w:i/>
          <w:sz w:val="24"/>
        </w:rPr>
        <w:t>Capsicum</w:t>
      </w:r>
      <w:r>
        <w:rPr>
          <w:rFonts w:ascii="Times New Roman" w:hAnsi="Times New Roman"/>
          <w:b w:val="0"/>
          <w:i w:val="0"/>
          <w:sz w:val="24"/>
        </w:rPr>
        <w:t xml:space="preserve">, the best-characterised entry is </w:t>
      </w:r>
      <w:r>
        <w:rPr>
          <w:rFonts w:ascii="Times New Roman" w:hAnsi="Times New Roman"/>
          <w:b/>
          <w:i/>
          <w:sz w:val="24"/>
        </w:rPr>
        <w:t>CaNAC46</w:t>
      </w:r>
      <w:r>
        <w:rPr>
          <w:rFonts w:ascii="Times New Roman" w:hAnsi="Times New Roman"/>
          <w:b w:val="0"/>
          <w:i w:val="0"/>
          <w:sz w:val="24"/>
        </w:rPr>
        <w:t xml:space="preserve">, a NAC-family transcription factor induced by drought, salt, cold, heat, abscisic acid, salicylic acid and methyl jasmonate, which promotes expression of </w:t>
      </w:r>
      <w:r>
        <w:rPr>
          <w:rFonts w:ascii="Times New Roman" w:hAnsi="Times New Roman"/>
          <w:b w:val="0"/>
          <w:i/>
          <w:sz w:val="24"/>
        </w:rPr>
        <w:t>SOD</w:t>
      </w:r>
      <w:r>
        <w:rPr>
          <w:rFonts w:ascii="Times New Roman" w:hAnsi="Times New Roman"/>
          <w:b w:val="0"/>
          <w:i w:val="0"/>
          <w:sz w:val="24"/>
        </w:rPr>
        <w:t xml:space="preserve">, </w:t>
      </w:r>
      <w:r>
        <w:rPr>
          <w:rFonts w:ascii="Times New Roman" w:hAnsi="Times New Roman"/>
          <w:b w:val="0"/>
          <w:i/>
          <w:sz w:val="24"/>
        </w:rPr>
        <w:t>POD</w:t>
      </w:r>
      <w:r>
        <w:rPr>
          <w:rFonts w:ascii="Times New Roman" w:hAnsi="Times New Roman"/>
          <w:b w:val="0"/>
          <w:i w:val="0"/>
          <w:sz w:val="24"/>
        </w:rPr>
        <w:t xml:space="preserve">, </w:t>
      </w:r>
      <w:r>
        <w:rPr>
          <w:rFonts w:ascii="Times New Roman" w:hAnsi="Times New Roman"/>
          <w:b w:val="0"/>
          <w:i/>
          <w:sz w:val="24"/>
        </w:rPr>
        <w:t>RD29B</w:t>
      </w:r>
      <w:r>
        <w:rPr>
          <w:rFonts w:ascii="Times New Roman" w:hAnsi="Times New Roman"/>
          <w:b w:val="0"/>
          <w:i w:val="0"/>
          <w:sz w:val="24"/>
        </w:rPr>
        <w:t xml:space="preserve">, </w:t>
      </w:r>
      <w:r>
        <w:rPr>
          <w:rFonts w:ascii="Times New Roman" w:hAnsi="Times New Roman"/>
          <w:b w:val="0"/>
          <w:i/>
          <w:sz w:val="24"/>
        </w:rPr>
        <w:t>RD20</w:t>
      </w:r>
      <w:r>
        <w:rPr>
          <w:rFonts w:ascii="Times New Roman" w:hAnsi="Times New Roman"/>
          <w:b w:val="0"/>
          <w:i w:val="0"/>
          <w:sz w:val="24"/>
        </w:rPr>
        <w:t xml:space="preserve">, </w:t>
      </w:r>
      <w:r>
        <w:rPr>
          <w:rFonts w:ascii="Times New Roman" w:hAnsi="Times New Roman"/>
          <w:b w:val="0"/>
          <w:i/>
          <w:sz w:val="24"/>
        </w:rPr>
        <w:t>ABI</w:t>
      </w:r>
      <w:r>
        <w:rPr>
          <w:rFonts w:ascii="Times New Roman" w:hAnsi="Times New Roman"/>
          <w:b w:val="0"/>
          <w:i w:val="0"/>
          <w:sz w:val="24"/>
        </w:rPr>
        <w:t xml:space="preserve"> and </w:t>
      </w:r>
      <w:r>
        <w:rPr>
          <w:rFonts w:ascii="Times New Roman" w:hAnsi="Times New Roman"/>
          <w:b w:val="0"/>
          <w:i/>
          <w:sz w:val="24"/>
        </w:rPr>
        <w:t>P5CS</w:t>
      </w:r>
      <w:r>
        <w:rPr>
          <w:rFonts w:ascii="Times New Roman" w:hAnsi="Times New Roman"/>
          <w:b w:val="0"/>
          <w:i w:val="0"/>
          <w:sz w:val="24"/>
        </w:rPr>
        <w:t xml:space="preserve">, with silencing increasing malondialdehyde under stress (Ma et al., 2021). </w:t>
      </w:r>
      <w:r>
        <w:rPr>
          <w:rFonts w:ascii="Times New Roman" w:hAnsi="Times New Roman"/>
          <w:b w:val="0"/>
          <w:i/>
          <w:sz w:val="24"/>
        </w:rPr>
        <w:t>CaDREBLP1</w:t>
      </w:r>
      <w:r>
        <w:rPr>
          <w:rFonts w:ascii="Times New Roman" w:hAnsi="Times New Roman"/>
          <w:b w:val="0"/>
          <w:i w:val="0"/>
          <w:sz w:val="24"/>
        </w:rPr>
        <w:t xml:space="preserve"> is rapidly induced by dehydration and salinity. </w:t>
      </w:r>
      <w:r>
        <w:rPr>
          <w:rFonts w:ascii="Times New Roman" w:hAnsi="Times New Roman"/>
          <w:b w:val="0"/>
          <w:i/>
          <w:sz w:val="24"/>
        </w:rPr>
        <w:t>MYB1</w:t>
      </w:r>
      <w:r>
        <w:rPr>
          <w:rFonts w:ascii="Times New Roman" w:hAnsi="Times New Roman"/>
          <w:b w:val="0"/>
          <w:i w:val="0"/>
          <w:sz w:val="24"/>
        </w:rPr>
        <w:t xml:space="preserve"> and </w:t>
      </w:r>
      <w:r>
        <w:rPr>
          <w:rFonts w:ascii="Times New Roman" w:hAnsi="Times New Roman"/>
          <w:b w:val="0"/>
          <w:i/>
          <w:sz w:val="24"/>
        </w:rPr>
        <w:t>CaDIM1</w:t>
      </w:r>
      <w:r>
        <w:rPr>
          <w:rFonts w:ascii="Times New Roman" w:hAnsi="Times New Roman"/>
          <w:b w:val="0"/>
          <w:i w:val="0"/>
          <w:sz w:val="24"/>
        </w:rPr>
        <w:t xml:space="preserve"> are abscisic acid-associated, and </w:t>
      </w:r>
      <w:r>
        <w:rPr>
          <w:rFonts w:ascii="Times New Roman" w:hAnsi="Times New Roman"/>
          <w:b w:val="0"/>
          <w:i/>
          <w:sz w:val="24"/>
        </w:rPr>
        <w:t>CaSBP13</w:t>
      </w:r>
      <w:r>
        <w:rPr>
          <w:rFonts w:ascii="Times New Roman" w:hAnsi="Times New Roman"/>
          <w:b w:val="0"/>
          <w:i w:val="0"/>
          <w:sz w:val="24"/>
        </w:rPr>
        <w:t xml:space="preserve"> and </w:t>
      </w:r>
      <w:r>
        <w:rPr>
          <w:rFonts w:ascii="Times New Roman" w:hAnsi="Times New Roman"/>
          <w:b w:val="0"/>
          <w:i/>
          <w:sz w:val="24"/>
        </w:rPr>
        <w:t>CaDR1</w:t>
      </w:r>
      <w:r>
        <w:rPr>
          <w:rFonts w:ascii="Times New Roman" w:hAnsi="Times New Roman"/>
          <w:b w:val="0"/>
          <w:i w:val="0"/>
          <w:sz w:val="24"/>
        </w:rPr>
        <w:t xml:space="preserve"> were identified through RNA-seq and genome-wide association. A genotype-contrasting aquaporin result is among the most informative: all twelve examined aquaporins were up-regulated in tolerant KCa-4884 and down-regulated in susceptible G-4 (Sahitya et al., 2019).</w:t>
      </w:r>
    </w:p>
    <w:p>
      <w:pPr>
        <w:spacing w:before="0"/>
        <w:jc w:val="both"/>
      </w:pPr>
      <w:r>
        <w:rPr>
          <w:rFonts w:ascii="Times New Roman" w:hAnsi="Times New Roman"/>
          <w:b w:val="0"/>
          <w:i w:val="0"/>
          <w:sz w:val="24"/>
        </w:rPr>
        <w:t>In tomato the catalogue is substantially larger and includes both positive regulators (</w:t>
      </w:r>
      <w:r>
        <w:rPr>
          <w:rFonts w:ascii="Times New Roman" w:hAnsi="Times New Roman"/>
          <w:b w:val="0"/>
          <w:i/>
          <w:sz w:val="24"/>
        </w:rPr>
        <w:t>SlAREB1</w:t>
      </w:r>
      <w:r>
        <w:rPr>
          <w:rFonts w:ascii="Times New Roman" w:hAnsi="Times New Roman"/>
          <w:b w:val="0"/>
          <w:i w:val="0"/>
          <w:sz w:val="24"/>
        </w:rPr>
        <w:t xml:space="preserve">, </w:t>
      </w:r>
      <w:r>
        <w:rPr>
          <w:rFonts w:ascii="Times New Roman" w:hAnsi="Times New Roman"/>
          <w:b w:val="0"/>
          <w:i/>
          <w:sz w:val="24"/>
        </w:rPr>
        <w:t>SlAREB2</w:t>
      </w:r>
      <w:r>
        <w:rPr>
          <w:rFonts w:ascii="Times New Roman" w:hAnsi="Times New Roman"/>
          <w:b w:val="0"/>
          <w:i w:val="0"/>
          <w:sz w:val="24"/>
        </w:rPr>
        <w:t xml:space="preserve">, </w:t>
      </w:r>
      <w:r>
        <w:rPr>
          <w:rFonts w:ascii="Times New Roman" w:hAnsi="Times New Roman"/>
          <w:b w:val="0"/>
          <w:i/>
          <w:sz w:val="24"/>
        </w:rPr>
        <w:t>SlJUB1</w:t>
      </w:r>
      <w:r>
        <w:rPr>
          <w:rFonts w:ascii="Times New Roman" w:hAnsi="Times New Roman"/>
          <w:b w:val="0"/>
          <w:i w:val="0"/>
          <w:sz w:val="24"/>
        </w:rPr>
        <w:t xml:space="preserve">, </w:t>
      </w:r>
      <w:r>
        <w:rPr>
          <w:rFonts w:ascii="Times New Roman" w:hAnsi="Times New Roman"/>
          <w:b w:val="0"/>
          <w:i/>
          <w:sz w:val="24"/>
        </w:rPr>
        <w:t>SlNAC4</w:t>
      </w:r>
      <w:r>
        <w:rPr>
          <w:rFonts w:ascii="Times New Roman" w:hAnsi="Times New Roman"/>
          <w:b w:val="0"/>
          <w:i w:val="0"/>
          <w:sz w:val="24"/>
        </w:rPr>
        <w:t xml:space="preserve">, </w:t>
      </w:r>
      <w:r>
        <w:rPr>
          <w:rFonts w:ascii="Times New Roman" w:hAnsi="Times New Roman"/>
          <w:b w:val="0"/>
          <w:i/>
          <w:sz w:val="24"/>
        </w:rPr>
        <w:t>SlNAC6</w:t>
      </w:r>
      <w:r>
        <w:rPr>
          <w:rFonts w:ascii="Times New Roman" w:hAnsi="Times New Roman"/>
          <w:b w:val="0"/>
          <w:i w:val="0"/>
          <w:sz w:val="24"/>
        </w:rPr>
        <w:t xml:space="preserve">, </w:t>
      </w:r>
      <w:r>
        <w:rPr>
          <w:rFonts w:ascii="Times New Roman" w:hAnsi="Times New Roman"/>
          <w:b w:val="0"/>
          <w:i/>
          <w:sz w:val="24"/>
        </w:rPr>
        <w:t>SlNAC35</w:t>
      </w:r>
      <w:r>
        <w:rPr>
          <w:rFonts w:ascii="Times New Roman" w:hAnsi="Times New Roman"/>
          <w:b w:val="0"/>
          <w:i w:val="0"/>
          <w:sz w:val="24"/>
        </w:rPr>
        <w:t xml:space="preserve">, </w:t>
      </w:r>
      <w:r>
        <w:rPr>
          <w:rFonts w:ascii="Times New Roman" w:hAnsi="Times New Roman"/>
          <w:b w:val="0"/>
          <w:i/>
          <w:sz w:val="24"/>
        </w:rPr>
        <w:t>SlNAC042</w:t>
      </w:r>
      <w:r>
        <w:rPr>
          <w:rFonts w:ascii="Times New Roman" w:hAnsi="Times New Roman"/>
          <w:b w:val="0"/>
          <w:i w:val="0"/>
          <w:sz w:val="24"/>
        </w:rPr>
        <w:t xml:space="preserve">, </w:t>
      </w:r>
      <w:r>
        <w:rPr>
          <w:rFonts w:ascii="Times New Roman" w:hAnsi="Times New Roman"/>
          <w:b w:val="0"/>
          <w:i/>
          <w:sz w:val="24"/>
        </w:rPr>
        <w:t>SlNAP1</w:t>
      </w:r>
      <w:r>
        <w:rPr>
          <w:rFonts w:ascii="Times New Roman" w:hAnsi="Times New Roman"/>
          <w:b w:val="0"/>
          <w:i w:val="0"/>
          <w:sz w:val="24"/>
        </w:rPr>
        <w:t xml:space="preserve">, </w:t>
      </w:r>
      <w:r>
        <w:rPr>
          <w:rFonts w:ascii="Times New Roman" w:hAnsi="Times New Roman"/>
          <w:b w:val="0"/>
          <w:i/>
          <w:sz w:val="24"/>
        </w:rPr>
        <w:t>SlWRKY8</w:t>
      </w:r>
      <w:r>
        <w:rPr>
          <w:rFonts w:ascii="Times New Roman" w:hAnsi="Times New Roman"/>
          <w:b w:val="0"/>
          <w:i w:val="0"/>
          <w:sz w:val="24"/>
        </w:rPr>
        <w:t xml:space="preserve">, </w:t>
      </w:r>
      <w:r>
        <w:rPr>
          <w:rFonts w:ascii="Times New Roman" w:hAnsi="Times New Roman"/>
          <w:b w:val="0"/>
          <w:i/>
          <w:sz w:val="24"/>
        </w:rPr>
        <w:t>SlWRKY6</w:t>
      </w:r>
      <w:r>
        <w:rPr>
          <w:rFonts w:ascii="Times New Roman" w:hAnsi="Times New Roman"/>
          <w:b w:val="0"/>
          <w:i w:val="0"/>
          <w:sz w:val="24"/>
        </w:rPr>
        <w:t xml:space="preserve">, </w:t>
      </w:r>
      <w:r>
        <w:rPr>
          <w:rFonts w:ascii="Times New Roman" w:hAnsi="Times New Roman"/>
          <w:b w:val="0"/>
          <w:i/>
          <w:sz w:val="24"/>
        </w:rPr>
        <w:t>SlERF5</w:t>
      </w:r>
      <w:r>
        <w:rPr>
          <w:rFonts w:ascii="Times New Roman" w:hAnsi="Times New Roman"/>
          <w:b w:val="0"/>
          <w:i w:val="0"/>
          <w:sz w:val="24"/>
        </w:rPr>
        <w:t xml:space="preserve">, </w:t>
      </w:r>
      <w:r>
        <w:rPr>
          <w:rFonts w:ascii="Times New Roman" w:hAnsi="Times New Roman"/>
          <w:b w:val="0"/>
          <w:i/>
          <w:sz w:val="24"/>
        </w:rPr>
        <w:t>SlERF84</w:t>
      </w:r>
      <w:r>
        <w:rPr>
          <w:rFonts w:ascii="Times New Roman" w:hAnsi="Times New Roman"/>
          <w:b w:val="0"/>
          <w:i w:val="0"/>
          <w:sz w:val="24"/>
        </w:rPr>
        <w:t xml:space="preserve">, </w:t>
      </w:r>
      <w:r>
        <w:rPr>
          <w:rFonts w:ascii="Times New Roman" w:hAnsi="Times New Roman"/>
          <w:b w:val="0"/>
          <w:i/>
          <w:sz w:val="24"/>
        </w:rPr>
        <w:t>SlMYB49</w:t>
      </w:r>
      <w:r>
        <w:rPr>
          <w:rFonts w:ascii="Times New Roman" w:hAnsi="Times New Roman"/>
          <w:b w:val="0"/>
          <w:i w:val="0"/>
          <w:sz w:val="24"/>
        </w:rPr>
        <w:t xml:space="preserve">, </w:t>
      </w:r>
      <w:r>
        <w:rPr>
          <w:rFonts w:ascii="Times New Roman" w:hAnsi="Times New Roman"/>
          <w:b w:val="0"/>
          <w:i/>
          <w:sz w:val="24"/>
        </w:rPr>
        <w:t>SlbZIP1</w:t>
      </w:r>
      <w:r>
        <w:rPr>
          <w:rFonts w:ascii="Times New Roman" w:hAnsi="Times New Roman"/>
          <w:b w:val="0"/>
          <w:i w:val="0"/>
          <w:sz w:val="24"/>
        </w:rPr>
        <w:t>) and negative regulators (</w:t>
      </w:r>
      <w:r>
        <w:rPr>
          <w:rFonts w:ascii="Times New Roman" w:hAnsi="Times New Roman"/>
          <w:b w:val="0"/>
          <w:i/>
          <w:sz w:val="24"/>
        </w:rPr>
        <w:t>SlWRKY81</w:t>
      </w:r>
      <w:r>
        <w:rPr>
          <w:rFonts w:ascii="Times New Roman" w:hAnsi="Times New Roman"/>
          <w:b w:val="0"/>
          <w:i w:val="0"/>
          <w:sz w:val="24"/>
        </w:rPr>
        <w:t xml:space="preserve">, </w:t>
      </w:r>
      <w:r>
        <w:rPr>
          <w:rFonts w:ascii="Times New Roman" w:hAnsi="Times New Roman"/>
          <w:b w:val="0"/>
          <w:i/>
          <w:sz w:val="24"/>
        </w:rPr>
        <w:t>SlMYB50</w:t>
      </w:r>
      <w:r>
        <w:rPr>
          <w:rFonts w:ascii="Times New Roman" w:hAnsi="Times New Roman"/>
          <w:b w:val="0"/>
          <w:i w:val="0"/>
          <w:sz w:val="24"/>
        </w:rPr>
        <w:t xml:space="preserve">, </w:t>
      </w:r>
      <w:r>
        <w:rPr>
          <w:rFonts w:ascii="Times New Roman" w:hAnsi="Times New Roman"/>
          <w:b w:val="0"/>
          <w:i/>
          <w:sz w:val="24"/>
        </w:rPr>
        <w:t>SlMYB55</w:t>
      </w:r>
      <w:r>
        <w:rPr>
          <w:rFonts w:ascii="Times New Roman" w:hAnsi="Times New Roman"/>
          <w:b w:val="0"/>
          <w:i w:val="0"/>
          <w:sz w:val="24"/>
        </w:rPr>
        <w:t xml:space="preserve">, </w:t>
      </w:r>
      <w:r>
        <w:rPr>
          <w:rFonts w:ascii="Times New Roman" w:hAnsi="Times New Roman"/>
          <w:b w:val="0"/>
          <w:i/>
          <w:sz w:val="24"/>
        </w:rPr>
        <w:t>SlEREB1</w:t>
      </w:r>
      <w:r>
        <w:rPr>
          <w:rFonts w:ascii="Times New Roman" w:hAnsi="Times New Roman"/>
          <w:b w:val="0"/>
          <w:i w:val="0"/>
          <w:sz w:val="24"/>
        </w:rPr>
        <w:t xml:space="preserve">, </w:t>
      </w:r>
      <w:r>
        <w:rPr>
          <w:rFonts w:ascii="Times New Roman" w:hAnsi="Times New Roman"/>
          <w:b w:val="0"/>
          <w:i/>
          <w:sz w:val="24"/>
        </w:rPr>
        <w:t>SlbZIP38</w:t>
      </w:r>
      <w:r>
        <w:rPr>
          <w:rFonts w:ascii="Times New Roman" w:hAnsi="Times New Roman"/>
          <w:b w:val="0"/>
          <w:i w:val="0"/>
          <w:sz w:val="24"/>
        </w:rPr>
        <w:t xml:space="preserve">). </w:t>
      </w:r>
      <w:r>
        <w:rPr>
          <w:rFonts w:ascii="Times New Roman" w:hAnsi="Times New Roman"/>
          <w:b/>
          <w:i w:val="0"/>
          <w:sz w:val="24"/>
        </w:rPr>
        <w:t>Table 4</w:t>
      </w:r>
      <w:r>
        <w:rPr>
          <w:rFonts w:ascii="Times New Roman" w:hAnsi="Times New Roman"/>
          <w:b w:val="0"/>
          <w:i w:val="0"/>
          <w:sz w:val="24"/>
        </w:rPr>
        <w:t xml:space="preserve"> records the validation host for each entry, which matters because much </w:t>
      </w:r>
      <w:r>
        <w:rPr>
          <w:rFonts w:ascii="Times New Roman" w:hAnsi="Times New Roman"/>
          <w:b w:val="0"/>
          <w:i/>
          <w:sz w:val="24"/>
        </w:rPr>
        <w:t>Capsicum</w:t>
      </w:r>
      <w:r>
        <w:rPr>
          <w:rFonts w:ascii="Times New Roman" w:hAnsi="Times New Roman"/>
          <w:b w:val="0"/>
          <w:i w:val="0"/>
          <w:sz w:val="24"/>
        </w:rPr>
        <w:t xml:space="preserve"> gene work has been validated by heterologous expression in </w:t>
      </w:r>
      <w:r>
        <w:rPr>
          <w:rFonts w:ascii="Times New Roman" w:hAnsi="Times New Roman"/>
          <w:b w:val="0"/>
          <w:i/>
          <w:sz w:val="24"/>
        </w:rPr>
        <w:t>Arabidopsis</w:t>
      </w:r>
      <w:r>
        <w:rPr>
          <w:rFonts w:ascii="Times New Roman" w:hAnsi="Times New Roman"/>
          <w:b w:val="0"/>
          <w:i w:val="0"/>
          <w:sz w:val="24"/>
        </w:rPr>
        <w:t xml:space="preserve"> rather than in pepper. A gene demonstrated in </w:t>
      </w:r>
      <w:r>
        <w:rPr>
          <w:rFonts w:ascii="Times New Roman" w:hAnsi="Times New Roman"/>
          <w:b w:val="0"/>
          <w:i/>
          <w:sz w:val="24"/>
        </w:rPr>
        <w:t>Arabidopsis</w:t>
      </w:r>
      <w:r>
        <w:rPr>
          <w:rFonts w:ascii="Times New Roman" w:hAnsi="Times New Roman"/>
          <w:b w:val="0"/>
          <w:i w:val="0"/>
          <w:sz w:val="24"/>
        </w:rPr>
        <w:t xml:space="preserve"> is not a gene demonstrated in chilli, and reviews frequently conflate the two.</w:t>
      </w:r>
    </w:p>
    <w:p>
      <w:pPr>
        <w:spacing w:before="240" w:after="80"/>
      </w:pPr>
      <w:r>
        <w:rPr>
          <w:rFonts w:ascii="Times New Roman" w:hAnsi="Times New Roman"/>
          <w:b/>
          <w:sz w:val="22"/>
        </w:rPr>
        <w:t>Table 4 — Drought-responsive candidate genes in *Capsicum* and tomato</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after="20"/>
            </w:pPr>
            <w:r>
              <w:rPr>
                <w:rFonts w:ascii="Times New Roman" w:hAnsi="Times New Roman"/>
                <w:b/>
                <w:i w:val="0"/>
                <w:sz w:val="16"/>
              </w:rPr>
              <w:t>Gene</w:t>
            </w:r>
          </w:p>
        </w:tc>
        <w:tc>
          <w:tcPr>
            <w:tcW w:type="dxa" w:w="1568"/>
          </w:tcPr>
          <w:p>
            <w:pPr>
              <w:spacing w:line="240" w:lineRule="auto" w:after="20"/>
            </w:pPr>
            <w:r>
              <w:rPr>
                <w:rFonts w:ascii="Times New Roman" w:hAnsi="Times New Roman"/>
                <w:b/>
                <w:i w:val="0"/>
                <w:sz w:val="16"/>
              </w:rPr>
              <w:t>Family</w:t>
            </w:r>
          </w:p>
        </w:tc>
        <w:tc>
          <w:tcPr>
            <w:tcW w:type="dxa" w:w="1568"/>
          </w:tcPr>
          <w:p>
            <w:pPr>
              <w:spacing w:line="240" w:lineRule="auto" w:after="20"/>
            </w:pPr>
            <w:r>
              <w:rPr>
                <w:rFonts w:ascii="Times New Roman" w:hAnsi="Times New Roman"/>
                <w:b/>
                <w:i w:val="0"/>
                <w:sz w:val="16"/>
              </w:rPr>
              <w:t>Origin</w:t>
            </w:r>
          </w:p>
        </w:tc>
        <w:tc>
          <w:tcPr>
            <w:tcW w:type="dxa" w:w="1568"/>
          </w:tcPr>
          <w:p>
            <w:pPr>
              <w:spacing w:line="240" w:lineRule="auto" w:after="20"/>
            </w:pPr>
            <w:r>
              <w:rPr>
                <w:rFonts w:ascii="Times New Roman" w:hAnsi="Times New Roman"/>
                <w:b/>
                <w:i w:val="0"/>
                <w:sz w:val="16"/>
              </w:rPr>
              <w:t>Validation host</w:t>
            </w:r>
          </w:p>
        </w:tc>
        <w:tc>
          <w:tcPr>
            <w:tcW w:type="dxa" w:w="1568"/>
          </w:tcPr>
          <w:p>
            <w:pPr>
              <w:spacing w:line="240" w:lineRule="auto" w:after="20"/>
            </w:pPr>
            <w:r>
              <w:rPr>
                <w:rFonts w:ascii="Times New Roman" w:hAnsi="Times New Roman"/>
                <w:b/>
                <w:i w:val="0"/>
                <w:sz w:val="16"/>
              </w:rPr>
              <w:t>Evidence type</w:t>
            </w:r>
          </w:p>
        </w:tc>
        <w:tc>
          <w:tcPr>
            <w:tcW w:type="dxa" w:w="1568"/>
          </w:tcPr>
          <w:p>
            <w:pPr>
              <w:spacing w:line="240" w:lineRule="auto" w:after="20"/>
            </w:pPr>
            <w:r>
              <w:rPr>
                <w:rFonts w:ascii="Times New Roman" w:hAnsi="Times New Roman"/>
                <w:b/>
                <w:i w:val="0"/>
                <w:sz w:val="16"/>
              </w:rPr>
              <w:t>Level</w:t>
            </w:r>
          </w:p>
        </w:tc>
      </w:tr>
      <w:tr>
        <w:tc>
          <w:tcPr>
            <w:tcW w:type="dxa" w:w="1568"/>
          </w:tcPr>
          <w:p>
            <w:pPr>
              <w:spacing w:line="240" w:lineRule="auto" w:after="20"/>
            </w:pPr>
            <w:r>
              <w:rPr>
                <w:rFonts w:ascii="Times New Roman" w:hAnsi="Times New Roman"/>
                <w:b w:val="0"/>
                <w:i/>
                <w:sz w:val="16"/>
              </w:rPr>
              <w:t>CaNAC46</w:t>
            </w:r>
          </w:p>
        </w:tc>
        <w:tc>
          <w:tcPr>
            <w:tcW w:type="dxa" w:w="1568"/>
          </w:tcPr>
          <w:p>
            <w:pPr>
              <w:spacing w:line="240" w:lineRule="auto" w:after="20"/>
            </w:pPr>
            <w:r>
              <w:rPr>
                <w:rFonts w:ascii="Times New Roman" w:hAnsi="Times New Roman"/>
                <w:b w:val="0"/>
                <w:i w:val="0"/>
                <w:sz w:val="16"/>
              </w:rPr>
              <w:t>NAC (ATAF)</w:t>
            </w:r>
          </w:p>
        </w:tc>
        <w:tc>
          <w:tcPr>
            <w:tcW w:type="dxa" w:w="1568"/>
          </w:tcPr>
          <w:p>
            <w:pPr>
              <w:spacing w:line="240" w:lineRule="auto" w:after="20"/>
            </w:pPr>
            <w:r>
              <w:rPr>
                <w:rFonts w:ascii="Times New Roman" w:hAnsi="Times New Roman"/>
                <w:b w:val="0"/>
                <w:i/>
                <w:sz w:val="16"/>
              </w:rPr>
              <w:t>C. annuum</w:t>
            </w:r>
          </w:p>
        </w:tc>
        <w:tc>
          <w:tcPr>
            <w:tcW w:type="dxa" w:w="1568"/>
          </w:tcPr>
          <w:p>
            <w:pPr>
              <w:spacing w:line="240" w:lineRule="auto" w:after="20"/>
            </w:pPr>
            <w:r>
              <w:rPr>
                <w:rFonts w:ascii="Times New Roman" w:hAnsi="Times New Roman"/>
                <w:b w:val="0"/>
                <w:i w:val="0"/>
                <w:sz w:val="16"/>
              </w:rPr>
              <w:t xml:space="preserve">VIGS in pepper; transgenic </w:t>
            </w:r>
            <w:r>
              <w:rPr>
                <w:rFonts w:ascii="Times New Roman" w:hAnsi="Times New Roman"/>
                <w:b w:val="0"/>
                <w:i/>
                <w:sz w:val="16"/>
              </w:rPr>
              <w:t>Arabidopsis</w:t>
            </w:r>
          </w:p>
        </w:tc>
        <w:tc>
          <w:tcPr>
            <w:tcW w:type="dxa" w:w="1568"/>
          </w:tcPr>
          <w:p>
            <w:pPr>
              <w:spacing w:line="240" w:lineRule="auto" w:after="20"/>
            </w:pPr>
            <w:r>
              <w:rPr>
                <w:rFonts w:ascii="Times New Roman" w:hAnsi="Times New Roman"/>
                <w:b w:val="0"/>
                <w:i w:val="0"/>
                <w:sz w:val="16"/>
              </w:rPr>
              <w:t>Overexpression + silencing</w:t>
            </w:r>
          </w:p>
        </w:tc>
        <w:tc>
          <w:tcPr>
            <w:tcW w:type="dxa" w:w="1568"/>
          </w:tcPr>
          <w:p>
            <w:pPr>
              <w:spacing w:line="240" w:lineRule="auto" w:after="20"/>
            </w:pPr>
            <w:r>
              <w:rPr>
                <w:rFonts w:ascii="Times New Roman" w:hAnsi="Times New Roman"/>
                <w:b w:val="0"/>
                <w:i w:val="0"/>
                <w:sz w:val="16"/>
              </w:rPr>
              <w:t>L1–L2</w:t>
            </w:r>
          </w:p>
        </w:tc>
      </w:tr>
      <w:tr>
        <w:tc>
          <w:tcPr>
            <w:tcW w:type="dxa" w:w="1568"/>
          </w:tcPr>
          <w:p>
            <w:pPr>
              <w:spacing w:line="240" w:lineRule="auto" w:after="20"/>
            </w:pPr>
            <w:r>
              <w:rPr>
                <w:rFonts w:ascii="Times New Roman" w:hAnsi="Times New Roman"/>
                <w:b w:val="0"/>
                <w:i/>
                <w:sz w:val="16"/>
              </w:rPr>
              <w:t>CaDIM1</w:t>
            </w:r>
          </w:p>
        </w:tc>
        <w:tc>
          <w:tcPr>
            <w:tcW w:type="dxa" w:w="1568"/>
          </w:tcPr>
          <w:p>
            <w:pPr>
              <w:spacing w:line="240" w:lineRule="auto" w:after="20"/>
            </w:pPr>
            <w:r>
              <w:rPr>
                <w:rFonts w:ascii="Times New Roman" w:hAnsi="Times New Roman"/>
                <w:b w:val="0"/>
                <w:i w:val="0"/>
                <w:sz w:val="16"/>
              </w:rPr>
              <w:t>MYB (R2R3)</w:t>
            </w:r>
          </w:p>
        </w:tc>
        <w:tc>
          <w:tcPr>
            <w:tcW w:type="dxa" w:w="1568"/>
          </w:tcPr>
          <w:p>
            <w:pPr>
              <w:spacing w:line="240" w:lineRule="auto" w:after="20"/>
            </w:pPr>
            <w:r>
              <w:rPr>
                <w:rFonts w:ascii="Times New Roman" w:hAnsi="Times New Roman"/>
                <w:b w:val="0"/>
                <w:i/>
                <w:sz w:val="16"/>
              </w:rPr>
              <w:t>C. annuum</w:t>
            </w:r>
          </w:p>
        </w:tc>
        <w:tc>
          <w:tcPr>
            <w:tcW w:type="dxa" w:w="1568"/>
          </w:tcPr>
          <w:p>
            <w:pPr>
              <w:spacing w:line="240" w:lineRule="auto" w:after="20"/>
            </w:pPr>
            <w:r>
              <w:rPr>
                <w:rFonts w:ascii="Times New Roman" w:hAnsi="Times New Roman"/>
                <w:b w:val="0"/>
                <w:i w:val="0"/>
                <w:sz w:val="16"/>
              </w:rPr>
              <w:t xml:space="preserve">VIGS in pepper; overexpression in </w:t>
            </w:r>
            <w:r>
              <w:rPr>
                <w:rFonts w:ascii="Times New Roman" w:hAnsi="Times New Roman"/>
                <w:b w:val="0"/>
                <w:i/>
                <w:sz w:val="16"/>
              </w:rPr>
              <w:t>Arabidopsis</w:t>
            </w:r>
          </w:p>
        </w:tc>
        <w:tc>
          <w:tcPr>
            <w:tcW w:type="dxa" w:w="1568"/>
          </w:tcPr>
          <w:p>
            <w:pPr>
              <w:spacing w:line="240" w:lineRule="auto" w:after="20"/>
            </w:pPr>
            <w:r>
              <w:rPr>
                <w:rFonts w:ascii="Times New Roman" w:hAnsi="Times New Roman"/>
                <w:b w:val="0"/>
                <w:i w:val="0"/>
                <w:sz w:val="16"/>
              </w:rPr>
              <w:t>Silencing + overexpression; ABA signalling</w:t>
            </w:r>
          </w:p>
        </w:tc>
        <w:tc>
          <w:tcPr>
            <w:tcW w:type="dxa" w:w="1568"/>
          </w:tcPr>
          <w:p>
            <w:pPr>
              <w:spacing w:line="240" w:lineRule="auto" w:after="20"/>
            </w:pPr>
            <w:r>
              <w:rPr>
                <w:rFonts w:ascii="Times New Roman" w:hAnsi="Times New Roman"/>
                <w:b w:val="0"/>
                <w:i w:val="0"/>
                <w:sz w:val="16"/>
              </w:rPr>
              <w:t>L1–L2</w:t>
            </w:r>
          </w:p>
        </w:tc>
      </w:tr>
      <w:tr>
        <w:tc>
          <w:tcPr>
            <w:tcW w:type="dxa" w:w="1568"/>
          </w:tcPr>
          <w:p>
            <w:pPr>
              <w:spacing w:line="240" w:lineRule="auto" w:after="20"/>
            </w:pPr>
            <w:r>
              <w:rPr>
                <w:rFonts w:ascii="Times New Roman" w:hAnsi="Times New Roman"/>
                <w:b w:val="0"/>
                <w:i/>
                <w:sz w:val="16"/>
              </w:rPr>
              <w:t>CaSBP13</w:t>
            </w:r>
          </w:p>
        </w:tc>
        <w:tc>
          <w:tcPr>
            <w:tcW w:type="dxa" w:w="1568"/>
          </w:tcPr>
          <w:p>
            <w:pPr>
              <w:spacing w:line="240" w:lineRule="auto" w:after="20"/>
            </w:pPr>
            <w:r>
              <w:rPr>
                <w:rFonts w:ascii="Times New Roman" w:hAnsi="Times New Roman"/>
                <w:b w:val="0"/>
                <w:i w:val="0"/>
                <w:sz w:val="16"/>
              </w:rPr>
              <w:t>SBP</w:t>
            </w:r>
          </w:p>
        </w:tc>
        <w:tc>
          <w:tcPr>
            <w:tcW w:type="dxa" w:w="1568"/>
          </w:tcPr>
          <w:p>
            <w:pPr>
              <w:spacing w:line="240" w:lineRule="auto" w:after="20"/>
            </w:pPr>
            <w:r>
              <w:rPr>
                <w:rFonts w:ascii="Times New Roman" w:hAnsi="Times New Roman"/>
                <w:b w:val="0"/>
                <w:i/>
                <w:sz w:val="16"/>
              </w:rPr>
              <w:t>C. annuum</w:t>
            </w:r>
          </w:p>
        </w:tc>
        <w:tc>
          <w:tcPr>
            <w:tcW w:type="dxa" w:w="1568"/>
          </w:tcPr>
          <w:p>
            <w:pPr>
              <w:spacing w:line="240" w:lineRule="auto" w:after="20"/>
            </w:pPr>
            <w:r>
              <w:rPr>
                <w:rFonts w:ascii="Times New Roman" w:hAnsi="Times New Roman"/>
                <w:b w:val="0"/>
                <w:i w:val="0"/>
                <w:sz w:val="16"/>
              </w:rPr>
              <w:t xml:space="preserve">VIGS in pepper (94% silencing); overexpression in </w:t>
            </w:r>
            <w:r>
              <w:rPr>
                <w:rFonts w:ascii="Times New Roman" w:hAnsi="Times New Roman"/>
                <w:b w:val="0"/>
                <w:i/>
                <w:sz w:val="16"/>
              </w:rPr>
              <w:t>N. benthamiana</w:t>
            </w:r>
          </w:p>
        </w:tc>
        <w:tc>
          <w:tcPr>
            <w:tcW w:type="dxa" w:w="1568"/>
          </w:tcPr>
          <w:p>
            <w:pPr>
              <w:spacing w:line="240" w:lineRule="auto" w:after="20"/>
            </w:pPr>
            <w:r>
              <w:rPr>
                <w:rFonts w:ascii="Times New Roman" w:hAnsi="Times New Roman"/>
                <w:b w:val="0"/>
                <w:i w:val="0"/>
                <w:sz w:val="16"/>
              </w:rPr>
              <w:t xml:space="preserve">Silencing + overexpression. </w:t>
            </w:r>
            <w:r>
              <w:rPr>
                <w:rFonts w:ascii="Times New Roman" w:hAnsi="Times New Roman"/>
                <w:b/>
                <w:i w:val="0"/>
                <w:sz w:val="16"/>
              </w:rPr>
              <w:t>Negative regulator</w:t>
            </w:r>
            <w:r>
              <w:rPr>
                <w:rFonts w:ascii="Times New Roman" w:hAnsi="Times New Roman"/>
                <w:b w:val="0"/>
                <w:i w:val="0"/>
                <w:sz w:val="16"/>
              </w:rPr>
              <w:t xml:space="preserve"> — silencing improved tolerance</w:t>
            </w:r>
          </w:p>
        </w:tc>
        <w:tc>
          <w:tcPr>
            <w:tcW w:type="dxa" w:w="1568"/>
          </w:tcPr>
          <w:p>
            <w:pPr>
              <w:spacing w:line="240" w:lineRule="auto" w:after="20"/>
            </w:pPr>
            <w:r>
              <w:rPr>
                <w:rFonts w:ascii="Times New Roman" w:hAnsi="Times New Roman"/>
                <w:b w:val="0"/>
                <w:i w:val="0"/>
                <w:sz w:val="16"/>
              </w:rPr>
              <w:t>L1–L2</w:t>
            </w:r>
          </w:p>
        </w:tc>
      </w:tr>
      <w:tr>
        <w:tc>
          <w:tcPr>
            <w:tcW w:type="dxa" w:w="1568"/>
          </w:tcPr>
          <w:p>
            <w:pPr>
              <w:spacing w:line="240" w:lineRule="auto" w:after="20"/>
            </w:pPr>
            <w:r>
              <w:rPr>
                <w:rFonts w:ascii="Times New Roman" w:hAnsi="Times New Roman"/>
                <w:b w:val="0"/>
                <w:i/>
                <w:sz w:val="16"/>
              </w:rPr>
              <w:t>CaDREBLP1</w:t>
            </w:r>
          </w:p>
        </w:tc>
        <w:tc>
          <w:tcPr>
            <w:tcW w:type="dxa" w:w="1568"/>
          </w:tcPr>
          <w:p>
            <w:pPr>
              <w:spacing w:line="240" w:lineRule="auto" w:after="20"/>
            </w:pPr>
            <w:r>
              <w:rPr>
                <w:rFonts w:ascii="Times New Roman" w:hAnsi="Times New Roman"/>
                <w:b w:val="0"/>
                <w:i w:val="0"/>
                <w:sz w:val="16"/>
              </w:rPr>
              <w:t>AP2/ERF</w:t>
            </w:r>
          </w:p>
        </w:tc>
        <w:tc>
          <w:tcPr>
            <w:tcW w:type="dxa" w:w="1568"/>
          </w:tcPr>
          <w:p>
            <w:pPr>
              <w:spacing w:line="240" w:lineRule="auto" w:after="20"/>
            </w:pPr>
            <w:r>
              <w:rPr>
                <w:rFonts w:ascii="Times New Roman" w:hAnsi="Times New Roman"/>
                <w:b w:val="0"/>
                <w:i/>
                <w:sz w:val="16"/>
              </w:rPr>
              <w:t>C. annuum</w:t>
            </w:r>
          </w:p>
        </w:tc>
        <w:tc>
          <w:tcPr>
            <w:tcW w:type="dxa" w:w="1568"/>
          </w:tcPr>
          <w:p>
            <w:pPr>
              <w:spacing w:line="240" w:lineRule="auto" w:after="20"/>
            </w:pPr>
            <w:r>
              <w:rPr>
                <w:rFonts w:ascii="Times New Roman" w:hAnsi="Times New Roman"/>
                <w:b w:val="0"/>
                <w:i w:val="0"/>
                <w:sz w:val="16"/>
              </w:rPr>
              <w:t>None in planta — yeast trans-activation and in vitro DRE/CRT binding only</w:t>
            </w:r>
          </w:p>
        </w:tc>
        <w:tc>
          <w:tcPr>
            <w:tcW w:type="dxa" w:w="1568"/>
          </w:tcPr>
          <w:p>
            <w:pPr>
              <w:spacing w:line="240" w:lineRule="auto" w:after="20"/>
            </w:pPr>
            <w:r>
              <w:rPr>
                <w:rFonts w:ascii="Times New Roman" w:hAnsi="Times New Roman"/>
                <w:b w:val="0"/>
                <w:i w:val="0"/>
                <w:sz w:val="16"/>
              </w:rPr>
              <w:t>Expression + DNA-binding assay</w:t>
            </w:r>
          </w:p>
        </w:tc>
        <w:tc>
          <w:tcPr>
            <w:tcW w:type="dxa" w:w="1568"/>
          </w:tcPr>
          <w:p>
            <w:pPr>
              <w:spacing w:line="240" w:lineRule="auto" w:after="20"/>
            </w:pPr>
            <w:r>
              <w:rPr>
                <w:rFonts w:ascii="Times New Roman" w:hAnsi="Times New Roman"/>
                <w:b w:val="0"/>
                <w:i w:val="0"/>
                <w:sz w:val="16"/>
              </w:rPr>
              <w:t>L0–L1</w:t>
            </w:r>
          </w:p>
        </w:tc>
      </w:tr>
      <w:tr>
        <w:tc>
          <w:tcPr>
            <w:tcW w:type="dxa" w:w="1568"/>
          </w:tcPr>
          <w:p>
            <w:pPr>
              <w:spacing w:line="240" w:lineRule="auto" w:after="20"/>
            </w:pPr>
            <w:r>
              <w:rPr>
                <w:rFonts w:ascii="Times New Roman" w:hAnsi="Times New Roman"/>
                <w:b w:val="0"/>
                <w:i/>
                <w:sz w:val="16"/>
              </w:rPr>
              <w:t>CaDR1</w:t>
            </w:r>
          </w:p>
        </w:tc>
        <w:tc>
          <w:tcPr>
            <w:tcW w:type="dxa" w:w="1568"/>
          </w:tcPr>
          <w:p>
            <w:pPr>
              <w:spacing w:line="240" w:lineRule="auto" w:after="20"/>
            </w:pPr>
            <w:r>
              <w:rPr>
                <w:rFonts w:ascii="Times New Roman" w:hAnsi="Times New Roman"/>
                <w:b w:val="0"/>
                <w:i w:val="0"/>
                <w:sz w:val="16"/>
              </w:rPr>
              <w:t>—</w:t>
            </w:r>
          </w:p>
        </w:tc>
        <w:tc>
          <w:tcPr>
            <w:tcW w:type="dxa" w:w="1568"/>
          </w:tcPr>
          <w:p>
            <w:pPr>
              <w:spacing w:line="240" w:lineRule="auto" w:after="20"/>
            </w:pPr>
            <w:r>
              <w:rPr>
                <w:rFonts w:ascii="Times New Roman" w:hAnsi="Times New Roman"/>
                <w:b w:val="0"/>
                <w:i/>
                <w:sz w:val="16"/>
              </w:rPr>
              <w:t>C. annuum</w:t>
            </w:r>
          </w:p>
        </w:tc>
        <w:tc>
          <w:tcPr>
            <w:tcW w:type="dxa" w:w="1568"/>
          </w:tcPr>
          <w:p>
            <w:pPr>
              <w:spacing w:line="240" w:lineRule="auto" w:after="20"/>
            </w:pPr>
            <w:r>
              <w:rPr>
                <w:rFonts w:ascii="Times New Roman" w:hAnsi="Times New Roman"/>
                <w:b/>
                <w:i w:val="0"/>
                <w:sz w:val="16"/>
              </w:rPr>
              <w:t>None</w:t>
            </w:r>
          </w:p>
        </w:tc>
        <w:tc>
          <w:tcPr>
            <w:tcW w:type="dxa" w:w="1568"/>
          </w:tcPr>
          <w:p>
            <w:pPr>
              <w:spacing w:line="240" w:lineRule="auto" w:after="20"/>
            </w:pPr>
            <w:r>
              <w:rPr>
                <w:rFonts w:ascii="Times New Roman" w:hAnsi="Times New Roman"/>
                <w:b w:val="0"/>
                <w:i w:val="0"/>
                <w:sz w:val="16"/>
              </w:rPr>
              <w:t>RNA-seq; GWAS candidate</w:t>
            </w:r>
          </w:p>
        </w:tc>
        <w:tc>
          <w:tcPr>
            <w:tcW w:type="dxa" w:w="1568"/>
          </w:tcPr>
          <w:p>
            <w:pPr>
              <w:spacing w:line="240" w:lineRule="auto" w:after="20"/>
            </w:pPr>
            <w:r>
              <w:rPr>
                <w:rFonts w:ascii="Times New Roman" w:hAnsi="Times New Roman"/>
                <w:b w:val="0"/>
                <w:i w:val="0"/>
                <w:sz w:val="16"/>
              </w:rPr>
              <w:t>L0</w:t>
            </w:r>
          </w:p>
        </w:tc>
      </w:tr>
      <w:tr>
        <w:tc>
          <w:tcPr>
            <w:tcW w:type="dxa" w:w="1568"/>
          </w:tcPr>
          <w:p>
            <w:pPr>
              <w:spacing w:line="240" w:lineRule="auto" w:after="20"/>
            </w:pPr>
            <w:r>
              <w:rPr>
                <w:rFonts w:ascii="Times New Roman" w:hAnsi="Times New Roman"/>
                <w:b w:val="0"/>
                <w:i w:val="0"/>
                <w:sz w:val="16"/>
              </w:rPr>
              <w:t>Aquaporin family (12 genes)</w:t>
            </w:r>
          </w:p>
        </w:tc>
        <w:tc>
          <w:tcPr>
            <w:tcW w:type="dxa" w:w="1568"/>
          </w:tcPr>
          <w:p>
            <w:pPr>
              <w:spacing w:line="240" w:lineRule="auto" w:after="20"/>
            </w:pPr>
            <w:r>
              <w:rPr>
                <w:rFonts w:ascii="Times New Roman" w:hAnsi="Times New Roman"/>
                <w:b w:val="0"/>
                <w:i w:val="0"/>
                <w:sz w:val="16"/>
              </w:rPr>
              <w:t>PIP/AQP</w:t>
            </w:r>
          </w:p>
        </w:tc>
        <w:tc>
          <w:tcPr>
            <w:tcW w:type="dxa" w:w="1568"/>
          </w:tcPr>
          <w:p>
            <w:pPr>
              <w:spacing w:line="240" w:lineRule="auto" w:after="20"/>
            </w:pPr>
            <w:r>
              <w:rPr>
                <w:rFonts w:ascii="Times New Roman" w:hAnsi="Times New Roman"/>
                <w:b w:val="0"/>
                <w:i/>
                <w:sz w:val="16"/>
              </w:rPr>
              <w:t>C. annuum</w:t>
            </w:r>
          </w:p>
        </w:tc>
        <w:tc>
          <w:tcPr>
            <w:tcW w:type="dxa" w:w="1568"/>
          </w:tcPr>
          <w:p>
            <w:pPr>
              <w:spacing w:line="240" w:lineRule="auto" w:after="20"/>
            </w:pPr>
            <w:r>
              <w:rPr>
                <w:rFonts w:ascii="Times New Roman" w:hAnsi="Times New Roman"/>
                <w:b/>
                <w:i w:val="0"/>
                <w:sz w:val="16"/>
              </w:rPr>
              <w:t>None</w:t>
            </w:r>
          </w:p>
        </w:tc>
        <w:tc>
          <w:tcPr>
            <w:tcW w:type="dxa" w:w="1568"/>
          </w:tcPr>
          <w:p>
            <w:pPr>
              <w:spacing w:line="240" w:lineRule="auto" w:after="20"/>
            </w:pPr>
            <w:r>
              <w:rPr>
                <w:rFonts w:ascii="Times New Roman" w:hAnsi="Times New Roman"/>
                <w:b w:val="0"/>
                <w:i w:val="0"/>
                <w:sz w:val="16"/>
              </w:rPr>
              <w:t>Genotype-contrasting expression (↑ KCa-4884, ↓ G-4)</w:t>
            </w:r>
          </w:p>
        </w:tc>
        <w:tc>
          <w:tcPr>
            <w:tcW w:type="dxa" w:w="1568"/>
          </w:tcPr>
          <w:p>
            <w:pPr>
              <w:spacing w:line="240" w:lineRule="auto" w:after="20"/>
            </w:pPr>
            <w:r>
              <w:rPr>
                <w:rFonts w:ascii="Times New Roman" w:hAnsi="Times New Roman"/>
                <w:b w:val="0"/>
                <w:i w:val="0"/>
                <w:sz w:val="16"/>
              </w:rPr>
              <w:t>L0</w:t>
            </w:r>
          </w:p>
        </w:tc>
      </w:tr>
      <w:tr>
        <w:tc>
          <w:tcPr>
            <w:tcW w:type="dxa" w:w="1568"/>
          </w:tcPr>
          <w:p>
            <w:pPr>
              <w:spacing w:line="240" w:lineRule="auto" w:after="20"/>
            </w:pPr>
            <w:r>
              <w:rPr>
                <w:rFonts w:ascii="Times New Roman" w:hAnsi="Times New Roman"/>
                <w:b w:val="0"/>
                <w:i/>
                <w:sz w:val="16"/>
              </w:rPr>
              <w:t>GRL1</w:t>
            </w:r>
            <w:r>
              <w:rPr>
                <w:rFonts w:ascii="Times New Roman" w:hAnsi="Times New Roman"/>
                <w:b w:val="0"/>
                <w:i w:val="0"/>
                <w:sz w:val="16"/>
              </w:rPr>
              <w:t xml:space="preserve">, </w:t>
            </w:r>
            <w:r>
              <w:rPr>
                <w:rFonts w:ascii="Times New Roman" w:hAnsi="Times New Roman"/>
                <w:b w:val="0"/>
                <w:i/>
                <w:sz w:val="16"/>
              </w:rPr>
              <w:t>CYP77A19</w:t>
            </w:r>
            <w:r>
              <w:rPr>
                <w:rFonts w:ascii="Times New Roman" w:hAnsi="Times New Roman"/>
                <w:b w:val="0"/>
                <w:i w:val="0"/>
                <w:sz w:val="16"/>
              </w:rPr>
              <w:t>, endoglucanase-like</w:t>
            </w:r>
          </w:p>
        </w:tc>
        <w:tc>
          <w:tcPr>
            <w:tcW w:type="dxa" w:w="1568"/>
          </w:tcPr>
          <w:p>
            <w:pPr>
              <w:spacing w:line="240" w:lineRule="auto" w:after="20"/>
            </w:pPr>
            <w:r>
              <w:rPr>
                <w:rFonts w:ascii="Times New Roman" w:hAnsi="Times New Roman"/>
                <w:b w:val="0"/>
                <w:i w:val="0"/>
                <w:sz w:val="16"/>
              </w:rPr>
              <w:t>various</w:t>
            </w:r>
          </w:p>
        </w:tc>
        <w:tc>
          <w:tcPr>
            <w:tcW w:type="dxa" w:w="1568"/>
          </w:tcPr>
          <w:p>
            <w:pPr>
              <w:spacing w:line="240" w:lineRule="auto" w:after="20"/>
            </w:pPr>
            <w:r>
              <w:rPr>
                <w:rFonts w:ascii="Times New Roman" w:hAnsi="Times New Roman"/>
                <w:b w:val="0"/>
                <w:i/>
                <w:sz w:val="16"/>
              </w:rPr>
              <w:t>C. annuum</w:t>
            </w:r>
          </w:p>
        </w:tc>
        <w:tc>
          <w:tcPr>
            <w:tcW w:type="dxa" w:w="1568"/>
          </w:tcPr>
          <w:p>
            <w:pPr>
              <w:spacing w:line="240" w:lineRule="auto" w:after="20"/>
            </w:pPr>
            <w:r>
              <w:rPr>
                <w:rFonts w:ascii="Times New Roman" w:hAnsi="Times New Roman"/>
                <w:b/>
                <w:i w:val="0"/>
                <w:sz w:val="16"/>
              </w:rPr>
              <w:t>None</w:t>
            </w:r>
          </w:p>
        </w:tc>
        <w:tc>
          <w:tcPr>
            <w:tcW w:type="dxa" w:w="1568"/>
          </w:tcPr>
          <w:p>
            <w:pPr>
              <w:spacing w:line="240" w:lineRule="auto" w:after="20"/>
            </w:pPr>
            <w:r>
              <w:rPr>
                <w:rFonts w:ascii="Times New Roman" w:hAnsi="Times New Roman"/>
                <w:b w:val="0"/>
                <w:i w:val="0"/>
                <w:sz w:val="16"/>
              </w:rPr>
              <w:t>QTL/GWAS candidates, chr 5 and 6</w:t>
            </w:r>
          </w:p>
        </w:tc>
        <w:tc>
          <w:tcPr>
            <w:tcW w:type="dxa" w:w="1568"/>
          </w:tcPr>
          <w:p>
            <w:pPr>
              <w:spacing w:line="240" w:lineRule="auto" w:after="20"/>
            </w:pPr>
            <w:r>
              <w:rPr>
                <w:rFonts w:ascii="Times New Roman" w:hAnsi="Times New Roman"/>
                <w:b w:val="0"/>
                <w:i w:val="0"/>
                <w:sz w:val="16"/>
              </w:rPr>
              <w:t>L0</w:t>
            </w:r>
          </w:p>
        </w:tc>
      </w:tr>
      <w:tr>
        <w:tc>
          <w:tcPr>
            <w:tcW w:type="dxa" w:w="1568"/>
          </w:tcPr>
          <w:p>
            <w:pPr>
              <w:spacing w:line="240" w:lineRule="auto" w:after="20"/>
            </w:pPr>
            <w:r>
              <w:rPr>
                <w:rFonts w:ascii="Times New Roman" w:hAnsi="Times New Roman"/>
                <w:b w:val="0"/>
                <w:i/>
                <w:sz w:val="16"/>
              </w:rPr>
              <w:t>SlAREB1</w:t>
            </w:r>
            <w:r>
              <w:rPr>
                <w:rFonts w:ascii="Times New Roman" w:hAnsi="Times New Roman"/>
                <w:b w:val="0"/>
                <w:i w:val="0"/>
                <w:sz w:val="16"/>
              </w:rPr>
              <w:t xml:space="preserve">, </w:t>
            </w:r>
            <w:r>
              <w:rPr>
                <w:rFonts w:ascii="Times New Roman" w:hAnsi="Times New Roman"/>
                <w:b w:val="0"/>
                <w:i/>
                <w:sz w:val="16"/>
              </w:rPr>
              <w:t>SlAREB2</w:t>
            </w:r>
          </w:p>
        </w:tc>
        <w:tc>
          <w:tcPr>
            <w:tcW w:type="dxa" w:w="1568"/>
          </w:tcPr>
          <w:p>
            <w:pPr>
              <w:spacing w:line="240" w:lineRule="auto" w:after="20"/>
            </w:pPr>
            <w:r>
              <w:rPr>
                <w:rFonts w:ascii="Times New Roman" w:hAnsi="Times New Roman"/>
                <w:b w:val="0"/>
                <w:i w:val="0"/>
                <w:sz w:val="16"/>
              </w:rPr>
              <w:t>bZIP</w:t>
            </w:r>
          </w:p>
        </w:tc>
        <w:tc>
          <w:tcPr>
            <w:tcW w:type="dxa" w:w="1568"/>
          </w:tcPr>
          <w:p>
            <w:pPr>
              <w:spacing w:line="240" w:lineRule="auto" w:after="20"/>
            </w:pPr>
            <w:r>
              <w:rPr>
                <w:rFonts w:ascii="Times New Roman" w:hAnsi="Times New Roman"/>
                <w:b w:val="0"/>
                <w:i/>
                <w:sz w:val="16"/>
              </w:rPr>
              <w:t>S. lycopersicum</w:t>
            </w:r>
          </w:p>
        </w:tc>
        <w:tc>
          <w:tcPr>
            <w:tcW w:type="dxa" w:w="1568"/>
          </w:tcPr>
          <w:p>
            <w:pPr>
              <w:spacing w:line="240" w:lineRule="auto" w:after="20"/>
            </w:pPr>
            <w:r>
              <w:rPr>
                <w:rFonts w:ascii="Times New Roman" w:hAnsi="Times New Roman"/>
                <w:b w:val="0"/>
                <w:i w:val="0"/>
                <w:sz w:val="16"/>
              </w:rPr>
              <w:t>Transgenic tomato</w:t>
            </w:r>
          </w:p>
        </w:tc>
        <w:tc>
          <w:tcPr>
            <w:tcW w:type="dxa" w:w="1568"/>
          </w:tcPr>
          <w:p>
            <w:pPr>
              <w:spacing w:line="240" w:lineRule="auto" w:after="20"/>
            </w:pPr>
            <w:r>
              <w:rPr>
                <w:rFonts w:ascii="Times New Roman" w:hAnsi="Times New Roman"/>
                <w:b w:val="0"/>
                <w:i w:val="0"/>
                <w:sz w:val="16"/>
              </w:rPr>
              <w:t>Overexpression</w:t>
            </w:r>
          </w:p>
        </w:tc>
        <w:tc>
          <w:tcPr>
            <w:tcW w:type="dxa" w:w="1568"/>
          </w:tcPr>
          <w:p>
            <w:pPr>
              <w:spacing w:line="240" w:lineRule="auto" w:after="20"/>
            </w:pPr>
            <w:r>
              <w:rPr>
                <w:rFonts w:ascii="Times New Roman" w:hAnsi="Times New Roman"/>
                <w:b w:val="0"/>
                <w:i w:val="0"/>
                <w:sz w:val="16"/>
              </w:rPr>
              <w:t>L2</w:t>
            </w:r>
          </w:p>
        </w:tc>
      </w:tr>
      <w:tr>
        <w:tc>
          <w:tcPr>
            <w:tcW w:type="dxa" w:w="1568"/>
          </w:tcPr>
          <w:p>
            <w:pPr>
              <w:spacing w:line="240" w:lineRule="auto" w:after="20"/>
            </w:pPr>
            <w:r>
              <w:rPr>
                <w:rFonts w:ascii="Times New Roman" w:hAnsi="Times New Roman"/>
                <w:b w:val="0"/>
                <w:i/>
                <w:sz w:val="16"/>
              </w:rPr>
              <w:t>SlDREB1/2/3</w:t>
            </w:r>
          </w:p>
        </w:tc>
        <w:tc>
          <w:tcPr>
            <w:tcW w:type="dxa" w:w="1568"/>
          </w:tcPr>
          <w:p>
            <w:pPr>
              <w:spacing w:line="240" w:lineRule="auto" w:after="20"/>
            </w:pPr>
            <w:r>
              <w:rPr>
                <w:rFonts w:ascii="Times New Roman" w:hAnsi="Times New Roman"/>
                <w:b w:val="0"/>
                <w:i w:val="0"/>
                <w:sz w:val="16"/>
              </w:rPr>
              <w:t>AP2/ERF</w:t>
            </w:r>
          </w:p>
        </w:tc>
        <w:tc>
          <w:tcPr>
            <w:tcW w:type="dxa" w:w="1568"/>
          </w:tcPr>
          <w:p>
            <w:pPr>
              <w:spacing w:line="240" w:lineRule="auto" w:after="20"/>
            </w:pPr>
            <w:r>
              <w:rPr>
                <w:rFonts w:ascii="Times New Roman" w:hAnsi="Times New Roman"/>
                <w:b w:val="0"/>
                <w:i/>
                <w:sz w:val="16"/>
              </w:rPr>
              <w:t>S. lycopersicum</w:t>
            </w:r>
          </w:p>
        </w:tc>
        <w:tc>
          <w:tcPr>
            <w:tcW w:type="dxa" w:w="1568"/>
          </w:tcPr>
          <w:p>
            <w:pPr>
              <w:spacing w:line="240" w:lineRule="auto" w:after="20"/>
            </w:pPr>
            <w:r>
              <w:rPr>
                <w:rFonts w:ascii="Times New Roman" w:hAnsi="Times New Roman"/>
                <w:b w:val="0"/>
                <w:i w:val="0"/>
                <w:sz w:val="16"/>
              </w:rPr>
              <w:t>Transgenic tomato</w:t>
            </w:r>
          </w:p>
        </w:tc>
        <w:tc>
          <w:tcPr>
            <w:tcW w:type="dxa" w:w="1568"/>
          </w:tcPr>
          <w:p>
            <w:pPr>
              <w:spacing w:line="240" w:lineRule="auto" w:after="20"/>
            </w:pPr>
            <w:r>
              <w:rPr>
                <w:rFonts w:ascii="Times New Roman" w:hAnsi="Times New Roman"/>
                <w:b w:val="0"/>
                <w:i w:val="0"/>
                <w:sz w:val="16"/>
              </w:rPr>
              <w:t>Family-wide characterisation</w:t>
            </w:r>
          </w:p>
        </w:tc>
        <w:tc>
          <w:tcPr>
            <w:tcW w:type="dxa" w:w="1568"/>
          </w:tcPr>
          <w:p>
            <w:pPr>
              <w:spacing w:line="240" w:lineRule="auto" w:after="20"/>
            </w:pPr>
            <w:r>
              <w:rPr>
                <w:rFonts w:ascii="Times New Roman" w:hAnsi="Times New Roman"/>
                <w:b w:val="0"/>
                <w:i w:val="0"/>
                <w:sz w:val="16"/>
              </w:rPr>
              <w:t>L2</w:t>
            </w:r>
          </w:p>
        </w:tc>
      </w:tr>
      <w:tr>
        <w:tc>
          <w:tcPr>
            <w:tcW w:type="dxa" w:w="1568"/>
          </w:tcPr>
          <w:p>
            <w:pPr>
              <w:spacing w:line="240" w:lineRule="auto" w:after="20"/>
            </w:pPr>
            <w:r>
              <w:rPr>
                <w:rFonts w:ascii="Times New Roman" w:hAnsi="Times New Roman"/>
                <w:b w:val="0"/>
                <w:i/>
                <w:sz w:val="16"/>
              </w:rPr>
              <w:t>SlJUB1</w:t>
            </w:r>
          </w:p>
        </w:tc>
        <w:tc>
          <w:tcPr>
            <w:tcW w:type="dxa" w:w="1568"/>
          </w:tcPr>
          <w:p>
            <w:pPr>
              <w:spacing w:line="240" w:lineRule="auto" w:after="20"/>
            </w:pPr>
            <w:r>
              <w:rPr>
                <w:rFonts w:ascii="Times New Roman" w:hAnsi="Times New Roman"/>
                <w:b w:val="0"/>
                <w:i w:val="0"/>
                <w:sz w:val="16"/>
              </w:rPr>
              <w:t>NAC</w:t>
            </w:r>
          </w:p>
        </w:tc>
        <w:tc>
          <w:tcPr>
            <w:tcW w:type="dxa" w:w="1568"/>
          </w:tcPr>
          <w:p>
            <w:pPr>
              <w:spacing w:line="240" w:lineRule="auto" w:after="20"/>
            </w:pPr>
            <w:r>
              <w:rPr>
                <w:rFonts w:ascii="Times New Roman" w:hAnsi="Times New Roman"/>
                <w:b w:val="0"/>
                <w:i/>
                <w:sz w:val="16"/>
              </w:rPr>
              <w:t>S. lycopersicum</w:t>
            </w:r>
          </w:p>
        </w:tc>
        <w:tc>
          <w:tcPr>
            <w:tcW w:type="dxa" w:w="1568"/>
          </w:tcPr>
          <w:p>
            <w:pPr>
              <w:spacing w:line="240" w:lineRule="auto" w:after="20"/>
            </w:pPr>
            <w:r>
              <w:rPr>
                <w:rFonts w:ascii="Times New Roman" w:hAnsi="Times New Roman"/>
                <w:b w:val="0"/>
                <w:i w:val="0"/>
                <w:sz w:val="16"/>
              </w:rPr>
              <w:t>Transgenic tomato</w:t>
            </w:r>
          </w:p>
        </w:tc>
        <w:tc>
          <w:tcPr>
            <w:tcW w:type="dxa" w:w="1568"/>
          </w:tcPr>
          <w:p>
            <w:pPr>
              <w:spacing w:line="240" w:lineRule="auto" w:after="20"/>
            </w:pPr>
            <w:r>
              <w:rPr>
                <w:rFonts w:ascii="Times New Roman" w:hAnsi="Times New Roman"/>
                <w:b w:val="0"/>
                <w:i w:val="0"/>
                <w:sz w:val="16"/>
              </w:rPr>
              <w:t>Overexpression</w:t>
            </w:r>
          </w:p>
        </w:tc>
        <w:tc>
          <w:tcPr>
            <w:tcW w:type="dxa" w:w="1568"/>
          </w:tcPr>
          <w:p>
            <w:pPr>
              <w:spacing w:line="240" w:lineRule="auto" w:after="20"/>
            </w:pPr>
            <w:r>
              <w:rPr>
                <w:rFonts w:ascii="Times New Roman" w:hAnsi="Times New Roman"/>
                <w:b w:val="0"/>
                <w:i w:val="0"/>
                <w:sz w:val="16"/>
              </w:rPr>
              <w:t>L2</w:t>
            </w:r>
          </w:p>
        </w:tc>
      </w:tr>
      <w:tr>
        <w:tc>
          <w:tcPr>
            <w:tcW w:type="dxa" w:w="1568"/>
          </w:tcPr>
          <w:p>
            <w:pPr>
              <w:spacing w:line="240" w:lineRule="auto" w:after="20"/>
            </w:pPr>
            <w:r>
              <w:rPr>
                <w:rFonts w:ascii="Times New Roman" w:hAnsi="Times New Roman"/>
                <w:b w:val="0"/>
                <w:i/>
                <w:sz w:val="16"/>
              </w:rPr>
              <w:t>SlNAC4/6/35/042</w:t>
            </w:r>
            <w:r>
              <w:rPr>
                <w:rFonts w:ascii="Times New Roman" w:hAnsi="Times New Roman"/>
                <w:b w:val="0"/>
                <w:i w:val="0"/>
                <w:sz w:val="16"/>
              </w:rPr>
              <w:t xml:space="preserve">, </w:t>
            </w:r>
            <w:r>
              <w:rPr>
                <w:rFonts w:ascii="Times New Roman" w:hAnsi="Times New Roman"/>
                <w:b w:val="0"/>
                <w:i/>
                <w:sz w:val="16"/>
              </w:rPr>
              <w:t>SlNAP1</w:t>
            </w:r>
          </w:p>
        </w:tc>
        <w:tc>
          <w:tcPr>
            <w:tcW w:type="dxa" w:w="1568"/>
          </w:tcPr>
          <w:p>
            <w:pPr>
              <w:spacing w:line="240" w:lineRule="auto" w:after="20"/>
            </w:pPr>
            <w:r>
              <w:rPr>
                <w:rFonts w:ascii="Times New Roman" w:hAnsi="Times New Roman"/>
                <w:b w:val="0"/>
                <w:i w:val="0"/>
                <w:sz w:val="16"/>
              </w:rPr>
              <w:t>NAC</w:t>
            </w:r>
          </w:p>
        </w:tc>
        <w:tc>
          <w:tcPr>
            <w:tcW w:type="dxa" w:w="1568"/>
          </w:tcPr>
          <w:p>
            <w:pPr>
              <w:spacing w:line="240" w:lineRule="auto" w:after="20"/>
            </w:pPr>
            <w:r>
              <w:rPr>
                <w:rFonts w:ascii="Times New Roman" w:hAnsi="Times New Roman"/>
                <w:b w:val="0"/>
                <w:i/>
                <w:sz w:val="16"/>
              </w:rPr>
              <w:t>S. lycopersicum</w:t>
            </w:r>
          </w:p>
        </w:tc>
        <w:tc>
          <w:tcPr>
            <w:tcW w:type="dxa" w:w="1568"/>
          </w:tcPr>
          <w:p>
            <w:pPr>
              <w:spacing w:line="240" w:lineRule="auto" w:after="20"/>
            </w:pPr>
            <w:r>
              <w:rPr>
                <w:rFonts w:ascii="Times New Roman" w:hAnsi="Times New Roman"/>
                <w:b w:val="0"/>
                <w:i w:val="0"/>
                <w:sz w:val="16"/>
              </w:rPr>
              <w:t>Mixed</w:t>
            </w:r>
          </w:p>
        </w:tc>
        <w:tc>
          <w:tcPr>
            <w:tcW w:type="dxa" w:w="1568"/>
          </w:tcPr>
          <w:p>
            <w:pPr>
              <w:spacing w:line="240" w:lineRule="auto" w:after="20"/>
            </w:pPr>
            <w:r>
              <w:rPr>
                <w:rFonts w:ascii="Times New Roman" w:hAnsi="Times New Roman"/>
                <w:b w:val="0"/>
                <w:i w:val="0"/>
                <w:sz w:val="16"/>
              </w:rPr>
              <w:t>Positive regulators</w:t>
            </w:r>
          </w:p>
        </w:tc>
        <w:tc>
          <w:tcPr>
            <w:tcW w:type="dxa" w:w="1568"/>
          </w:tcPr>
          <w:p>
            <w:pPr>
              <w:spacing w:line="240" w:lineRule="auto" w:after="20"/>
            </w:pPr>
            <w:r>
              <w:rPr>
                <w:rFonts w:ascii="Times New Roman" w:hAnsi="Times New Roman"/>
                <w:b w:val="0"/>
                <w:i w:val="0"/>
                <w:sz w:val="16"/>
              </w:rPr>
              <w:t>L1–L2</w:t>
            </w:r>
          </w:p>
        </w:tc>
      </w:tr>
      <w:tr>
        <w:tc>
          <w:tcPr>
            <w:tcW w:type="dxa" w:w="1568"/>
          </w:tcPr>
          <w:p>
            <w:pPr>
              <w:spacing w:line="240" w:lineRule="auto" w:after="20"/>
            </w:pPr>
            <w:r>
              <w:rPr>
                <w:rFonts w:ascii="Times New Roman" w:hAnsi="Times New Roman"/>
                <w:b w:val="0"/>
                <w:i/>
                <w:sz w:val="16"/>
              </w:rPr>
              <w:t>SlWRKY8</w:t>
            </w:r>
            <w:r>
              <w:rPr>
                <w:rFonts w:ascii="Times New Roman" w:hAnsi="Times New Roman"/>
                <w:b w:val="0"/>
                <w:i w:val="0"/>
                <w:sz w:val="16"/>
              </w:rPr>
              <w:t xml:space="preserve">, </w:t>
            </w:r>
            <w:r>
              <w:rPr>
                <w:rFonts w:ascii="Times New Roman" w:hAnsi="Times New Roman"/>
                <w:b w:val="0"/>
                <w:i/>
                <w:sz w:val="16"/>
              </w:rPr>
              <w:t>SlWRKY6</w:t>
            </w:r>
            <w:r>
              <w:rPr>
                <w:rFonts w:ascii="Times New Roman" w:hAnsi="Times New Roman"/>
                <w:b w:val="0"/>
                <w:i w:val="0"/>
                <w:sz w:val="16"/>
              </w:rPr>
              <w:t xml:space="preserve">, </w:t>
            </w:r>
            <w:r>
              <w:rPr>
                <w:rFonts w:ascii="Times New Roman" w:hAnsi="Times New Roman"/>
                <w:b w:val="0"/>
                <w:i/>
                <w:sz w:val="16"/>
              </w:rPr>
              <w:t>SlERF5</w:t>
            </w:r>
            <w:r>
              <w:rPr>
                <w:rFonts w:ascii="Times New Roman" w:hAnsi="Times New Roman"/>
                <w:b w:val="0"/>
                <w:i w:val="0"/>
                <w:sz w:val="16"/>
              </w:rPr>
              <w:t xml:space="preserve">, </w:t>
            </w:r>
            <w:r>
              <w:rPr>
                <w:rFonts w:ascii="Times New Roman" w:hAnsi="Times New Roman"/>
                <w:b w:val="0"/>
                <w:i/>
                <w:sz w:val="16"/>
              </w:rPr>
              <w:t>SlERF84</w:t>
            </w:r>
            <w:r>
              <w:rPr>
                <w:rFonts w:ascii="Times New Roman" w:hAnsi="Times New Roman"/>
                <w:b w:val="0"/>
                <w:i w:val="0"/>
                <w:sz w:val="16"/>
              </w:rPr>
              <w:t xml:space="preserve">, </w:t>
            </w:r>
            <w:r>
              <w:rPr>
                <w:rFonts w:ascii="Times New Roman" w:hAnsi="Times New Roman"/>
                <w:b w:val="0"/>
                <w:i/>
                <w:sz w:val="16"/>
              </w:rPr>
              <w:t>SlMYB49</w:t>
            </w:r>
            <w:r>
              <w:rPr>
                <w:rFonts w:ascii="Times New Roman" w:hAnsi="Times New Roman"/>
                <w:b w:val="0"/>
                <w:i w:val="0"/>
                <w:sz w:val="16"/>
              </w:rPr>
              <w:t xml:space="preserve">, </w:t>
            </w:r>
            <w:r>
              <w:rPr>
                <w:rFonts w:ascii="Times New Roman" w:hAnsi="Times New Roman"/>
                <w:b w:val="0"/>
                <w:i/>
                <w:sz w:val="16"/>
              </w:rPr>
              <w:t>SlbZIP1</w:t>
            </w:r>
          </w:p>
        </w:tc>
        <w:tc>
          <w:tcPr>
            <w:tcW w:type="dxa" w:w="1568"/>
          </w:tcPr>
          <w:p>
            <w:pPr>
              <w:spacing w:line="240" w:lineRule="auto" w:after="20"/>
            </w:pPr>
            <w:r>
              <w:rPr>
                <w:rFonts w:ascii="Times New Roman" w:hAnsi="Times New Roman"/>
                <w:b w:val="0"/>
                <w:i w:val="0"/>
                <w:sz w:val="16"/>
              </w:rPr>
              <w:t>WRKY/ERF/MYB/bZIP</w:t>
            </w:r>
          </w:p>
        </w:tc>
        <w:tc>
          <w:tcPr>
            <w:tcW w:type="dxa" w:w="1568"/>
          </w:tcPr>
          <w:p>
            <w:pPr>
              <w:spacing w:line="240" w:lineRule="auto" w:after="20"/>
            </w:pPr>
            <w:r>
              <w:rPr>
                <w:rFonts w:ascii="Times New Roman" w:hAnsi="Times New Roman"/>
                <w:b w:val="0"/>
                <w:i/>
                <w:sz w:val="16"/>
              </w:rPr>
              <w:t>S. lycopersicum</w:t>
            </w:r>
          </w:p>
        </w:tc>
        <w:tc>
          <w:tcPr>
            <w:tcW w:type="dxa" w:w="1568"/>
          </w:tcPr>
          <w:p>
            <w:pPr>
              <w:spacing w:line="240" w:lineRule="auto" w:after="20"/>
            </w:pPr>
            <w:r>
              <w:rPr>
                <w:rFonts w:ascii="Times New Roman" w:hAnsi="Times New Roman"/>
                <w:b w:val="0"/>
                <w:i w:val="0"/>
                <w:sz w:val="16"/>
              </w:rPr>
              <w:t>Mixed</w:t>
            </w:r>
          </w:p>
        </w:tc>
        <w:tc>
          <w:tcPr>
            <w:tcW w:type="dxa" w:w="1568"/>
          </w:tcPr>
          <w:p>
            <w:pPr>
              <w:spacing w:line="240" w:lineRule="auto" w:after="20"/>
            </w:pPr>
            <w:r>
              <w:rPr>
                <w:rFonts w:ascii="Times New Roman" w:hAnsi="Times New Roman"/>
                <w:b w:val="0"/>
                <w:i w:val="0"/>
                <w:sz w:val="16"/>
              </w:rPr>
              <w:t>Positive regulators</w:t>
            </w:r>
          </w:p>
        </w:tc>
        <w:tc>
          <w:tcPr>
            <w:tcW w:type="dxa" w:w="1568"/>
          </w:tcPr>
          <w:p>
            <w:pPr>
              <w:spacing w:line="240" w:lineRule="auto" w:after="20"/>
            </w:pPr>
            <w:r>
              <w:rPr>
                <w:rFonts w:ascii="Times New Roman" w:hAnsi="Times New Roman"/>
                <w:b w:val="0"/>
                <w:i w:val="0"/>
                <w:sz w:val="16"/>
              </w:rPr>
              <w:t>L1–L2</w:t>
            </w:r>
          </w:p>
        </w:tc>
      </w:tr>
      <w:tr>
        <w:tc>
          <w:tcPr>
            <w:tcW w:type="dxa" w:w="1568"/>
          </w:tcPr>
          <w:p>
            <w:pPr>
              <w:spacing w:line="240" w:lineRule="auto" w:after="20"/>
            </w:pPr>
            <w:r>
              <w:rPr>
                <w:rFonts w:ascii="Times New Roman" w:hAnsi="Times New Roman"/>
                <w:b w:val="0"/>
                <w:i/>
                <w:sz w:val="16"/>
              </w:rPr>
              <w:t>SlWRKY81</w:t>
            </w:r>
            <w:r>
              <w:rPr>
                <w:rFonts w:ascii="Times New Roman" w:hAnsi="Times New Roman"/>
                <w:b w:val="0"/>
                <w:i w:val="0"/>
                <w:sz w:val="16"/>
              </w:rPr>
              <w:t xml:space="preserve">, </w:t>
            </w:r>
            <w:r>
              <w:rPr>
                <w:rFonts w:ascii="Times New Roman" w:hAnsi="Times New Roman"/>
                <w:b w:val="0"/>
                <w:i/>
                <w:sz w:val="16"/>
              </w:rPr>
              <w:t>SlMYB50</w:t>
            </w:r>
            <w:r>
              <w:rPr>
                <w:rFonts w:ascii="Times New Roman" w:hAnsi="Times New Roman"/>
                <w:b w:val="0"/>
                <w:i w:val="0"/>
                <w:sz w:val="16"/>
              </w:rPr>
              <w:t xml:space="preserve">, </w:t>
            </w:r>
            <w:r>
              <w:rPr>
                <w:rFonts w:ascii="Times New Roman" w:hAnsi="Times New Roman"/>
                <w:b w:val="0"/>
                <w:i/>
                <w:sz w:val="16"/>
              </w:rPr>
              <w:t>SlMYB55</w:t>
            </w:r>
            <w:r>
              <w:rPr>
                <w:rFonts w:ascii="Times New Roman" w:hAnsi="Times New Roman"/>
                <w:b w:val="0"/>
                <w:i w:val="0"/>
                <w:sz w:val="16"/>
              </w:rPr>
              <w:t xml:space="preserve">, </w:t>
            </w:r>
            <w:r>
              <w:rPr>
                <w:rFonts w:ascii="Times New Roman" w:hAnsi="Times New Roman"/>
                <w:b w:val="0"/>
                <w:i/>
                <w:sz w:val="16"/>
              </w:rPr>
              <w:t>SlEREB1</w:t>
            </w:r>
            <w:r>
              <w:rPr>
                <w:rFonts w:ascii="Times New Roman" w:hAnsi="Times New Roman"/>
                <w:b w:val="0"/>
                <w:i w:val="0"/>
                <w:sz w:val="16"/>
              </w:rPr>
              <w:t xml:space="preserve">, </w:t>
            </w:r>
            <w:r>
              <w:rPr>
                <w:rFonts w:ascii="Times New Roman" w:hAnsi="Times New Roman"/>
                <w:b w:val="0"/>
                <w:i/>
                <w:sz w:val="16"/>
              </w:rPr>
              <w:t>SlbZIP38</w:t>
            </w:r>
          </w:p>
        </w:tc>
        <w:tc>
          <w:tcPr>
            <w:tcW w:type="dxa" w:w="1568"/>
          </w:tcPr>
          <w:p>
            <w:pPr>
              <w:spacing w:line="240" w:lineRule="auto" w:after="20"/>
            </w:pPr>
            <w:r>
              <w:rPr>
                <w:rFonts w:ascii="Times New Roman" w:hAnsi="Times New Roman"/>
                <w:b w:val="0"/>
                <w:i w:val="0"/>
                <w:sz w:val="16"/>
              </w:rPr>
              <w:t>WRKY/MYB/ERF/bZIP</w:t>
            </w:r>
          </w:p>
        </w:tc>
        <w:tc>
          <w:tcPr>
            <w:tcW w:type="dxa" w:w="1568"/>
          </w:tcPr>
          <w:p>
            <w:pPr>
              <w:spacing w:line="240" w:lineRule="auto" w:after="20"/>
            </w:pPr>
            <w:r>
              <w:rPr>
                <w:rFonts w:ascii="Times New Roman" w:hAnsi="Times New Roman"/>
                <w:b w:val="0"/>
                <w:i/>
                <w:sz w:val="16"/>
              </w:rPr>
              <w:t>S. lycopersicum</w:t>
            </w:r>
          </w:p>
        </w:tc>
        <w:tc>
          <w:tcPr>
            <w:tcW w:type="dxa" w:w="1568"/>
          </w:tcPr>
          <w:p>
            <w:pPr>
              <w:spacing w:line="240" w:lineRule="auto" w:after="20"/>
            </w:pPr>
            <w:r>
              <w:rPr>
                <w:rFonts w:ascii="Times New Roman" w:hAnsi="Times New Roman"/>
                <w:b w:val="0"/>
                <w:i w:val="0"/>
                <w:sz w:val="16"/>
              </w:rPr>
              <w:t>Mixed</w:t>
            </w:r>
          </w:p>
        </w:tc>
        <w:tc>
          <w:tcPr>
            <w:tcW w:type="dxa" w:w="1568"/>
          </w:tcPr>
          <w:p>
            <w:pPr>
              <w:spacing w:line="240" w:lineRule="auto" w:after="20"/>
            </w:pPr>
            <w:r>
              <w:rPr>
                <w:rFonts w:ascii="Times New Roman" w:hAnsi="Times New Roman"/>
                <w:b/>
                <w:i w:val="0"/>
                <w:sz w:val="16"/>
              </w:rPr>
              <w:t>Negative regulators</w:t>
            </w:r>
            <w:r>
              <w:rPr>
                <w:rFonts w:ascii="Times New Roman" w:hAnsi="Times New Roman"/>
                <w:b w:val="0"/>
                <w:i w:val="0"/>
                <w:sz w:val="16"/>
              </w:rPr>
              <w:t xml:space="preserve"> — routinely omitted from reviews</w:t>
            </w:r>
          </w:p>
        </w:tc>
        <w:tc>
          <w:tcPr>
            <w:tcW w:type="dxa" w:w="1568"/>
          </w:tcPr>
          <w:p>
            <w:pPr>
              <w:spacing w:line="240" w:lineRule="auto" w:after="20"/>
            </w:pPr>
            <w:r>
              <w:rPr>
                <w:rFonts w:ascii="Times New Roman" w:hAnsi="Times New Roman"/>
                <w:b w:val="0"/>
                <w:i w:val="0"/>
                <w:sz w:val="16"/>
              </w:rPr>
              <w:t>L1–L2</w:t>
            </w:r>
          </w:p>
        </w:tc>
      </w:tr>
      <w:tr>
        <w:tc>
          <w:tcPr>
            <w:tcW w:type="dxa" w:w="1568"/>
          </w:tcPr>
          <w:p>
            <w:pPr>
              <w:spacing w:line="240" w:lineRule="auto" w:after="20"/>
            </w:pPr>
            <w:r>
              <w:rPr>
                <w:rFonts w:ascii="Times New Roman" w:hAnsi="Times New Roman"/>
                <w:b/>
                <w:i/>
                <w:sz w:val="16"/>
              </w:rPr>
              <w:t>SlMAPK3</w:t>
            </w:r>
          </w:p>
        </w:tc>
        <w:tc>
          <w:tcPr>
            <w:tcW w:type="dxa" w:w="1568"/>
          </w:tcPr>
          <w:p>
            <w:pPr>
              <w:spacing w:line="240" w:lineRule="auto" w:after="20"/>
            </w:pPr>
            <w:r>
              <w:rPr>
                <w:rFonts w:ascii="Times New Roman" w:hAnsi="Times New Roman"/>
                <w:b w:val="0"/>
                <w:i w:val="0"/>
                <w:sz w:val="16"/>
              </w:rPr>
              <w:t>MAPK</w:t>
            </w:r>
          </w:p>
        </w:tc>
        <w:tc>
          <w:tcPr>
            <w:tcW w:type="dxa" w:w="1568"/>
          </w:tcPr>
          <w:p>
            <w:pPr>
              <w:spacing w:line="240" w:lineRule="auto" w:after="20"/>
            </w:pPr>
            <w:r>
              <w:rPr>
                <w:rFonts w:ascii="Times New Roman" w:hAnsi="Times New Roman"/>
                <w:b w:val="0"/>
                <w:i/>
                <w:sz w:val="16"/>
              </w:rPr>
              <w:t>S. lycopersicum</w:t>
            </w:r>
          </w:p>
        </w:tc>
        <w:tc>
          <w:tcPr>
            <w:tcW w:type="dxa" w:w="1568"/>
          </w:tcPr>
          <w:p>
            <w:pPr>
              <w:spacing w:line="240" w:lineRule="auto" w:after="20"/>
            </w:pPr>
            <w:r>
              <w:rPr>
                <w:rFonts w:ascii="Times New Roman" w:hAnsi="Times New Roman"/>
                <w:b/>
                <w:i w:val="0"/>
                <w:sz w:val="16"/>
              </w:rPr>
              <w:t>*CRISPR* mutant</w:t>
            </w:r>
          </w:p>
        </w:tc>
        <w:tc>
          <w:tcPr>
            <w:tcW w:type="dxa" w:w="1568"/>
          </w:tcPr>
          <w:p>
            <w:pPr>
              <w:spacing w:line="240" w:lineRule="auto" w:after="20"/>
            </w:pPr>
            <w:r>
              <w:rPr>
                <w:rFonts w:ascii="Times New Roman" w:hAnsi="Times New Roman"/>
                <w:b w:val="0"/>
                <w:i w:val="0"/>
                <w:sz w:val="16"/>
              </w:rPr>
              <w:t xml:space="preserve">Genetic loss-of-function; ↓ </w:t>
            </w:r>
            <w:r>
              <w:rPr>
                <w:rFonts w:ascii="Times New Roman" w:hAnsi="Times New Roman"/>
                <w:b w:val="0"/>
                <w:i/>
                <w:sz w:val="16"/>
              </w:rPr>
              <w:t>SlDHN</w:t>
            </w:r>
            <w:r>
              <w:rPr>
                <w:rFonts w:ascii="Times New Roman" w:hAnsi="Times New Roman"/>
                <w:b w:val="0"/>
                <w:i w:val="0"/>
                <w:sz w:val="16"/>
              </w:rPr>
              <w:t xml:space="preserve">, </w:t>
            </w:r>
            <w:r>
              <w:rPr>
                <w:rFonts w:ascii="Times New Roman" w:hAnsi="Times New Roman"/>
                <w:b w:val="0"/>
                <w:i/>
                <w:sz w:val="16"/>
              </w:rPr>
              <w:t>SlDREB</w:t>
            </w:r>
            <w:r>
              <w:rPr>
                <w:rFonts w:ascii="Times New Roman" w:hAnsi="Times New Roman"/>
                <w:b w:val="0"/>
                <w:i w:val="0"/>
                <w:sz w:val="16"/>
              </w:rPr>
              <w:t xml:space="preserve">, </w:t>
            </w:r>
            <w:r>
              <w:rPr>
                <w:rFonts w:ascii="Times New Roman" w:hAnsi="Times New Roman"/>
                <w:b w:val="0"/>
                <w:i/>
                <w:sz w:val="16"/>
              </w:rPr>
              <w:t>SlGST</w:t>
            </w:r>
          </w:p>
        </w:tc>
        <w:tc>
          <w:tcPr>
            <w:tcW w:type="dxa" w:w="1568"/>
          </w:tcPr>
          <w:p>
            <w:pPr>
              <w:spacing w:line="240" w:lineRule="auto" w:after="20"/>
            </w:pPr>
            <w:r>
              <w:rPr>
                <w:rFonts w:ascii="Times New Roman" w:hAnsi="Times New Roman"/>
                <w:b/>
                <w:i w:val="0"/>
                <w:sz w:val="16"/>
              </w:rPr>
              <w:t>L1 (genetic)</w:t>
            </w:r>
          </w:p>
        </w:tc>
      </w:tr>
    </w:tbl>
    <w:p/>
    <w:p>
      <w:pPr>
        <w:spacing w:before="240" w:after="80"/>
      </w:pPr>
      <w:r>
        <w:rPr>
          <w:rFonts w:ascii="Times New Roman" w:hAnsi="Times New Roman"/>
          <w:b/>
          <w:sz w:val="24"/>
        </w:rPr>
        <w:t>5.3 The capability ceiling has moved</w:t>
      </w:r>
    </w:p>
    <w:p>
      <w:pPr>
        <w:spacing w:before="0"/>
        <w:jc w:val="both"/>
      </w:pPr>
      <w:r>
        <w:rPr>
          <w:rFonts w:ascii="Times New Roman" w:hAnsi="Times New Roman"/>
          <w:b w:val="0"/>
          <w:i/>
          <w:sz w:val="24"/>
        </w:rPr>
        <w:t>Capsicum</w:t>
      </w:r>
      <w:r>
        <w:rPr>
          <w:rFonts w:ascii="Times New Roman" w:hAnsi="Times New Roman"/>
          <w:b w:val="0"/>
          <w:i w:val="0"/>
          <w:sz w:val="24"/>
        </w:rPr>
        <w:t xml:space="preserve"> is historically recalcitrant to </w:t>
      </w:r>
      <w:r>
        <w:rPr>
          <w:rFonts w:ascii="Times New Roman" w:hAnsi="Times New Roman"/>
          <w:b w:val="0"/>
          <w:i/>
          <w:sz w:val="24"/>
        </w:rPr>
        <w:t>Agrobacterium</w:t>
      </w:r>
      <w:r>
        <w:rPr>
          <w:rFonts w:ascii="Times New Roman" w:hAnsi="Times New Roman"/>
          <w:b w:val="0"/>
          <w:i w:val="0"/>
          <w:sz w:val="24"/>
        </w:rPr>
        <w:t xml:space="preserve">-mediated transformation, with the reasons now understood: </w:t>
      </w:r>
      <w:r>
        <w:rPr>
          <w:rFonts w:ascii="Times New Roman" w:hAnsi="Times New Roman"/>
          <w:b w:val="0"/>
          <w:i/>
          <w:sz w:val="24"/>
        </w:rPr>
        <w:t>Agrobacterium</w:t>
      </w:r>
      <w:r>
        <w:rPr>
          <w:rFonts w:ascii="Times New Roman" w:hAnsi="Times New Roman"/>
          <w:b w:val="0"/>
          <w:i w:val="0"/>
          <w:sz w:val="24"/>
        </w:rPr>
        <w:t xml:space="preserve"> induces a strong immune response in pepper, and the crop has low regeneration efficiency (Liu et al., 2024). Reported transformation efficiencies have ranged from 0.03–0.19% in some inbred lines to 1.3–2.9% in others, with recent work reaching approximately 5% effective efficiency through vacuum treatment, avoidance of pre-culture, and co-expression of a growth-regulating factor (Tang et al., 2025); earlier work established stable editing in both hot and bell pepper cultivars (Park et al., 2021).</w:t>
      </w:r>
    </w:p>
    <w:p>
      <w:pPr>
        <w:spacing w:before="0"/>
        <w:jc w:val="both"/>
      </w:pPr>
      <w:r>
        <w:rPr>
          <w:rFonts w:ascii="Times New Roman" w:hAnsi="Times New Roman"/>
          <w:b w:val="0"/>
          <w:i w:val="0"/>
          <w:sz w:val="24"/>
        </w:rPr>
        <w:t>Two developments have changed what is feasible without stable transformation. Virus-induced gene silencing is established in pepper: a broad bean wilt virus 2-based vector system silenced phytoene desaturase across multiple cultivars with efficiencies between 67% and 79% (Choi et al., 2019), and the literature now describes VIGS as often the key, and sometimes the only viable, tool for high-throughput functional screening in this crop. More recently, a virus-induced gene editing system achieved heritable editing in pepper: 8.5% of progeny from plants inoculated with a modified tobacco rattle virus construct carrying a ribozyme-processed guide RNA were mutated at the target locus, with a second gene edited to produce a visible phenotype, and the method is tissue-culture-free (Kang et al., 2025).</w:t>
      </w:r>
    </w:p>
    <w:p>
      <w:pPr>
        <w:spacing w:before="0"/>
        <w:jc w:val="both"/>
      </w:pPr>
      <w:r>
        <w:rPr>
          <w:rFonts w:ascii="Times New Roman" w:hAnsi="Times New Roman"/>
          <w:b w:val="0"/>
          <w:i w:val="0"/>
          <w:sz w:val="24"/>
        </w:rPr>
        <w:t xml:space="preserve">This does not remove the constraint, but it moves it. The barrier to functional validation in </w:t>
      </w:r>
      <w:r>
        <w:rPr>
          <w:rFonts w:ascii="Times New Roman" w:hAnsi="Times New Roman"/>
          <w:b w:val="0"/>
          <w:i/>
          <w:sz w:val="24"/>
        </w:rPr>
        <w:t>Capsicum</w:t>
      </w:r>
      <w:r>
        <w:rPr>
          <w:rFonts w:ascii="Times New Roman" w:hAnsi="Times New Roman"/>
          <w:b w:val="0"/>
          <w:i w:val="0"/>
          <w:sz w:val="24"/>
        </w:rPr>
        <w:t xml:space="preserve"> is no longer the absence of a route; it is that these routes are not yet routine in the laboratories conducting screening work. That makes the opportunity described in Section 7 less a matter of capability than of coordination.</w:t>
      </w:r>
    </w:p>
    <w:p>
      <w:pPr>
        <w:spacing w:before="240" w:after="80"/>
      </w:pPr>
      <w:r>
        <w:rPr>
          <w:rFonts w:ascii="Times New Roman" w:hAnsi="Times New Roman"/>
          <w:b/>
          <w:sz w:val="24"/>
        </w:rPr>
        <w:t>5.4 What the comparison shows</w:t>
      </w:r>
    </w:p>
    <w:p>
      <w:pPr>
        <w:spacing w:before="0"/>
        <w:jc w:val="both"/>
      </w:pPr>
      <w:r>
        <w:rPr>
          <w:rFonts w:ascii="Times New Roman" w:hAnsi="Times New Roman"/>
          <w:b w:val="0"/>
          <w:i w:val="0"/>
          <w:sz w:val="24"/>
        </w:rPr>
        <w:t>Three conclusions emerge.</w:t>
      </w:r>
    </w:p>
    <w:p>
      <w:pPr>
        <w:spacing w:before="0"/>
        <w:jc w:val="both"/>
      </w:pPr>
      <w:r>
        <w:rPr>
          <w:rFonts w:ascii="Times New Roman" w:hAnsi="Times New Roman"/>
          <w:b w:val="0"/>
          <w:i w:val="0"/>
          <w:sz w:val="24"/>
        </w:rPr>
        <w:t>The binding constraint is not genomic resources. Pepper has a 500-accession pan-genome, tomato has a saturated QTL literature, and eggplant has a characterised wild-relative donor pool. Sequence, markers and mapping populations are available across the family.</w:t>
      </w:r>
    </w:p>
    <w:p>
      <w:pPr>
        <w:spacing w:before="0"/>
        <w:jc w:val="both"/>
      </w:pPr>
      <w:r>
        <w:rPr>
          <w:rFonts w:ascii="Times New Roman" w:hAnsi="Times New Roman"/>
          <w:b w:val="0"/>
          <w:i w:val="0"/>
          <w:sz w:val="24"/>
        </w:rPr>
        <w:t>The constraint is not effort either. Each crop has substantial work at each developmental stage, and the connecting studies across the family number at least nine.</w:t>
      </w:r>
    </w:p>
    <w:p>
      <w:pPr>
        <w:spacing w:before="0"/>
        <w:jc w:val="both"/>
      </w:pPr>
      <w:r>
        <w:rPr>
          <w:rFonts w:ascii="Times New Roman" w:hAnsi="Times New Roman"/>
          <w:b w:val="0"/>
          <w:i w:val="0"/>
          <w:sz w:val="24"/>
        </w:rPr>
        <w:t xml:space="preserve">The constraint is that the strata are not connected within a single genotype set, and that the resulting question — whether early-stage tolerance predicts later-stage performance — is answered inconsistently where it has been asked and not at all in </w:t>
      </w:r>
      <w:r>
        <w:rPr>
          <w:rFonts w:ascii="Times New Roman" w:hAnsi="Times New Roman"/>
          <w:b w:val="0"/>
          <w:i/>
          <w:sz w:val="24"/>
        </w:rPr>
        <w:t>Capsicum</w:t>
      </w:r>
      <w:r>
        <w:rPr>
          <w:rFonts w:ascii="Times New Roman" w:hAnsi="Times New Roman"/>
          <w:b w:val="0"/>
          <w:i w:val="0"/>
          <w:sz w:val="24"/>
        </w:rPr>
        <w:t>. The most economical solution is a shared genotype set: screening panels, validation trials and mapping populations drawing on common, diverse, publicly available germplasm. This would convert three stratified literatures into three experiments on one population, and would generate the cross-stage concordance data that is currently almost never reported. It is a coordination recommendation, and its cost is close to zero relative to any single experiment it connects.</w:t>
      </w:r>
    </w:p>
    <w:p>
      <w:pPr>
        <w:spacing w:before="0"/>
        <w:jc w:val="both"/>
      </w:pPr>
      <w:r>
        <w:rPr>
          <w:rFonts w:ascii="Times New Roman" w:hAnsi="Times New Roman"/>
          <w:b/>
          <w:i w:val="0"/>
          <w:sz w:val="24"/>
        </w:rPr>
        <w:t>Table 4</w:t>
      </w:r>
      <w:r>
        <w:rPr>
          <w:rFonts w:ascii="Times New Roman" w:hAnsi="Times New Roman"/>
          <w:b w:val="0"/>
          <w:i w:val="0"/>
          <w:sz w:val="24"/>
        </w:rPr>
        <w:t xml:space="preserve"> — Candidate genes with family, organism, validation host and evidence level.</w:t>
        <w:br/>
      </w:r>
      <w:r>
        <w:rPr>
          <w:rFonts w:ascii="Times New Roman" w:hAnsi="Times New Roman"/>
          <w:b/>
          <w:i w:val="0"/>
          <w:sz w:val="24"/>
        </w:rPr>
        <w:t>Table 6</w:t>
      </w:r>
      <w:r>
        <w:rPr>
          <w:rFonts w:ascii="Times New Roman" w:hAnsi="Times New Roman"/>
          <w:b w:val="0"/>
          <w:i w:val="0"/>
          <w:sz w:val="24"/>
        </w:rPr>
        <w:t xml:space="preserve"> — Cross-crop comparison of resources and strategies by developmental stratum.</w:t>
        <w:br/>
      </w:r>
      <w:r>
        <w:rPr>
          <w:rFonts w:ascii="Times New Roman" w:hAnsi="Times New Roman"/>
          <w:b/>
          <w:i w:val="0"/>
          <w:sz w:val="24"/>
        </w:rPr>
        <w:t>Figure 4</w:t>
      </w:r>
      <w:r>
        <w:rPr>
          <w:rFonts w:ascii="Times New Roman" w:hAnsi="Times New Roman"/>
          <w:b w:val="0"/>
          <w:i w:val="0"/>
          <w:sz w:val="24"/>
        </w:rPr>
        <w:t xml:space="preserve"> — Evidence map by crop and stage-pair, showing where connecting studies exist and which direction each points. Conceptual.</w:t>
      </w:r>
    </w:p>
    <w:p>
      <w:pPr>
        <w:spacing w:before="240" w:after="80"/>
      </w:pPr>
      <w:r>
        <w:rPr>
          <w:rFonts w:ascii="Times New Roman" w:hAnsi="Times New Roman"/>
          <w:b/>
          <w:sz w:val="22"/>
        </w:rPr>
        <w:t>Table 6 — Cross-crop comparison by developmental stratum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20"/>
            </w:pPr>
            <w:r>
              <w:rPr>
                <w:rFonts w:ascii="Times New Roman" w:hAnsi="Times New Roman"/>
                <w:b/>
                <w:i w:val="0"/>
                <w:sz w:val="16"/>
              </w:rPr>
              <w:t>Stratum</w:t>
            </w:r>
          </w:p>
        </w:tc>
        <w:tc>
          <w:tcPr>
            <w:tcW w:type="dxa" w:w="2351"/>
          </w:tcPr>
          <w:p>
            <w:pPr>
              <w:spacing w:line="240" w:lineRule="auto" w:after="20"/>
            </w:pPr>
            <w:r>
              <w:rPr>
                <w:rFonts w:ascii="Times New Roman" w:hAnsi="Times New Roman"/>
                <w:b/>
                <w:i/>
                <w:sz w:val="16"/>
              </w:rPr>
              <w:t>Capsicum</w:t>
            </w:r>
          </w:p>
        </w:tc>
        <w:tc>
          <w:tcPr>
            <w:tcW w:type="dxa" w:w="2351"/>
          </w:tcPr>
          <w:p>
            <w:pPr>
              <w:spacing w:line="240" w:lineRule="auto" w:after="20"/>
            </w:pPr>
            <w:r>
              <w:rPr>
                <w:rFonts w:ascii="Times New Roman" w:hAnsi="Times New Roman"/>
                <w:b/>
                <w:i w:val="0"/>
                <w:sz w:val="16"/>
              </w:rPr>
              <w:t>Tomato</w:t>
            </w:r>
          </w:p>
        </w:tc>
        <w:tc>
          <w:tcPr>
            <w:tcW w:type="dxa" w:w="2351"/>
          </w:tcPr>
          <w:p>
            <w:pPr>
              <w:spacing w:line="240" w:lineRule="auto" w:after="20"/>
            </w:pPr>
            <w:r>
              <w:rPr>
                <w:rFonts w:ascii="Times New Roman" w:hAnsi="Times New Roman"/>
                <w:b/>
                <w:i w:val="0"/>
                <w:sz w:val="16"/>
              </w:rPr>
              <w:t>Eggplant</w:t>
            </w:r>
          </w:p>
        </w:tc>
      </w:tr>
      <w:tr>
        <w:tc>
          <w:tcPr>
            <w:tcW w:type="dxa" w:w="2351"/>
          </w:tcPr>
          <w:p>
            <w:pPr>
              <w:spacing w:line="240" w:lineRule="auto" w:after="20"/>
            </w:pPr>
            <w:r>
              <w:rPr>
                <w:rFonts w:ascii="Times New Roman" w:hAnsi="Times New Roman"/>
                <w:b/>
                <w:i w:val="0"/>
                <w:sz w:val="16"/>
              </w:rPr>
              <w:t>A — Germination</w:t>
            </w:r>
          </w:p>
        </w:tc>
        <w:tc>
          <w:tcPr>
            <w:tcW w:type="dxa" w:w="2351"/>
          </w:tcPr>
          <w:p>
            <w:pPr>
              <w:spacing w:line="240" w:lineRule="auto" w:after="20"/>
            </w:pPr>
            <w:r>
              <w:rPr>
                <w:rFonts w:ascii="Times New Roman" w:hAnsi="Times New Roman"/>
                <w:b w:val="0"/>
                <w:i w:val="0"/>
                <w:sz w:val="16"/>
              </w:rPr>
              <w:t>Active (5 studies, Table 2)</w:t>
            </w:r>
          </w:p>
        </w:tc>
        <w:tc>
          <w:tcPr>
            <w:tcW w:type="dxa" w:w="2351"/>
          </w:tcPr>
          <w:p>
            <w:pPr>
              <w:spacing w:line="240" w:lineRule="auto" w:after="20"/>
            </w:pPr>
            <w:r>
              <w:rPr>
                <w:rFonts w:ascii="Times New Roman" w:hAnsi="Times New Roman"/>
                <w:b w:val="0"/>
                <w:i w:val="0"/>
                <w:sz w:val="16"/>
              </w:rPr>
              <w:t>Active (Yadav et al., 2025; Alnaddaf et al., 2026)</w:t>
            </w:r>
          </w:p>
        </w:tc>
        <w:tc>
          <w:tcPr>
            <w:tcW w:type="dxa" w:w="2351"/>
          </w:tcPr>
          <w:p>
            <w:pPr>
              <w:spacing w:line="240" w:lineRule="auto" w:after="20"/>
            </w:pPr>
            <w:r>
              <w:rPr>
                <w:rFonts w:ascii="Times New Roman" w:hAnsi="Times New Roman"/>
                <w:b w:val="0"/>
                <w:i w:val="0"/>
                <w:sz w:val="16"/>
              </w:rPr>
              <w:t>Limited</w:t>
            </w:r>
          </w:p>
        </w:tc>
      </w:tr>
      <w:tr>
        <w:tc>
          <w:tcPr>
            <w:tcW w:type="dxa" w:w="2351"/>
          </w:tcPr>
          <w:p>
            <w:pPr>
              <w:spacing w:line="240" w:lineRule="auto" w:after="20"/>
            </w:pPr>
            <w:r>
              <w:rPr>
                <w:rFonts w:ascii="Times New Roman" w:hAnsi="Times New Roman"/>
                <w:b/>
                <w:i w:val="0"/>
                <w:sz w:val="16"/>
              </w:rPr>
              <w:t>B — Vegetative</w:t>
            </w:r>
          </w:p>
        </w:tc>
        <w:tc>
          <w:tcPr>
            <w:tcW w:type="dxa" w:w="2351"/>
          </w:tcPr>
          <w:p>
            <w:pPr>
              <w:spacing w:line="240" w:lineRule="auto" w:after="20"/>
            </w:pPr>
            <w:r>
              <w:rPr>
                <w:rFonts w:ascii="Times New Roman" w:hAnsi="Times New Roman"/>
                <w:b w:val="0"/>
                <w:i w:val="0"/>
                <w:sz w:val="16"/>
              </w:rPr>
              <w:t>100-accession screen (Thin et al., 2026)</w:t>
            </w:r>
          </w:p>
        </w:tc>
        <w:tc>
          <w:tcPr>
            <w:tcW w:type="dxa" w:w="2351"/>
          </w:tcPr>
          <w:p>
            <w:pPr>
              <w:spacing w:line="240" w:lineRule="auto" w:after="20"/>
            </w:pPr>
            <w:r>
              <w:rPr>
                <w:rFonts w:ascii="Times New Roman" w:hAnsi="Times New Roman"/>
                <w:b w:val="0"/>
                <w:i w:val="0"/>
                <w:sz w:val="16"/>
              </w:rPr>
              <w:t>Active</w:t>
            </w:r>
          </w:p>
        </w:tc>
        <w:tc>
          <w:tcPr>
            <w:tcW w:type="dxa" w:w="2351"/>
          </w:tcPr>
          <w:p>
            <w:pPr>
              <w:spacing w:line="240" w:lineRule="auto" w:after="20"/>
            </w:pPr>
            <w:r>
              <w:rPr>
                <w:rFonts w:ascii="Times New Roman" w:hAnsi="Times New Roman"/>
                <w:b w:val="0"/>
                <w:i w:val="0"/>
                <w:sz w:val="16"/>
              </w:rPr>
              <w:t>Active (Krommydas et al., 2025)</w:t>
            </w:r>
          </w:p>
        </w:tc>
      </w:tr>
      <w:tr>
        <w:tc>
          <w:tcPr>
            <w:tcW w:type="dxa" w:w="2351"/>
          </w:tcPr>
          <w:p>
            <w:pPr>
              <w:spacing w:line="240" w:lineRule="auto" w:after="20"/>
            </w:pPr>
            <w:r>
              <w:rPr>
                <w:rFonts w:ascii="Times New Roman" w:hAnsi="Times New Roman"/>
                <w:b/>
                <w:i w:val="0"/>
                <w:sz w:val="16"/>
              </w:rPr>
              <w:t>C — Reproductive</w:t>
            </w:r>
          </w:p>
        </w:tc>
        <w:tc>
          <w:tcPr>
            <w:tcW w:type="dxa" w:w="2351"/>
          </w:tcPr>
          <w:p>
            <w:pPr>
              <w:spacing w:line="240" w:lineRule="auto" w:after="20"/>
            </w:pPr>
            <w:r>
              <w:rPr>
                <w:rFonts w:ascii="Times New Roman" w:hAnsi="Times New Roman"/>
                <w:b/>
                <w:i w:val="0"/>
                <w:sz w:val="16"/>
              </w:rPr>
              <w:t>1 GWAS + QTL study (Rai et al., 2026)</w:t>
            </w:r>
          </w:p>
        </w:tc>
        <w:tc>
          <w:tcPr>
            <w:tcW w:type="dxa" w:w="2351"/>
          </w:tcPr>
          <w:p>
            <w:pPr>
              <w:spacing w:line="240" w:lineRule="auto" w:after="20"/>
            </w:pPr>
            <w:r>
              <w:rPr>
                <w:rFonts w:ascii="Times New Roman" w:hAnsi="Times New Roman"/>
                <w:b/>
                <w:i w:val="0"/>
                <w:sz w:val="16"/>
              </w:rPr>
              <w:t>Deep</w:t>
            </w:r>
            <w:r>
              <w:rPr>
                <w:rFonts w:ascii="Times New Roman" w:hAnsi="Times New Roman"/>
                <w:b w:val="0"/>
                <w:i w:val="0"/>
                <w:sz w:val="16"/>
              </w:rPr>
              <w:t xml:space="preserve"> — 19, 56, 12 and 54 QTL across populations; </w:t>
            </w:r>
            <w:r>
              <w:rPr>
                <w:rFonts w:ascii="Times New Roman" w:hAnsi="Times New Roman"/>
                <w:b w:val="0"/>
                <w:i/>
                <w:sz w:val="16"/>
              </w:rPr>
              <w:t>SlMAPK3</w:t>
            </w:r>
            <w:r>
              <w:rPr>
                <w:rFonts w:ascii="Times New Roman" w:hAnsi="Times New Roman"/>
                <w:b w:val="0"/>
                <w:i w:val="0"/>
                <w:sz w:val="16"/>
              </w:rPr>
              <w:t xml:space="preserve"> CRISPR</w:t>
            </w:r>
          </w:p>
        </w:tc>
        <w:tc>
          <w:tcPr>
            <w:tcW w:type="dxa" w:w="2351"/>
          </w:tcPr>
          <w:p>
            <w:pPr>
              <w:spacing w:line="240" w:lineRule="auto" w:after="20"/>
            </w:pPr>
            <w:r>
              <w:rPr>
                <w:rFonts w:ascii="Times New Roman" w:hAnsi="Times New Roman"/>
                <w:b w:val="0"/>
                <w:i w:val="0"/>
                <w:sz w:val="16"/>
              </w:rPr>
              <w:t>Genetic parameters (Kouassi et al., 2021)</w:t>
            </w:r>
          </w:p>
        </w:tc>
      </w:tr>
      <w:tr>
        <w:tc>
          <w:tcPr>
            <w:tcW w:type="dxa" w:w="2351"/>
          </w:tcPr>
          <w:p>
            <w:pPr>
              <w:spacing w:line="240" w:lineRule="auto" w:after="20"/>
            </w:pPr>
            <w:r>
              <w:rPr>
                <w:rFonts w:ascii="Times New Roman" w:hAnsi="Times New Roman"/>
                <w:b/>
                <w:i w:val="0"/>
                <w:sz w:val="16"/>
              </w:rPr>
              <w:t>Wild-relative donors</w:t>
            </w:r>
          </w:p>
        </w:tc>
        <w:tc>
          <w:tcPr>
            <w:tcW w:type="dxa" w:w="2351"/>
          </w:tcPr>
          <w:p>
            <w:pPr>
              <w:spacing w:line="240" w:lineRule="auto" w:after="20"/>
            </w:pPr>
            <w:r>
              <w:rPr>
                <w:rFonts w:ascii="Times New Roman" w:hAnsi="Times New Roman"/>
                <w:b/>
                <w:i w:val="0"/>
                <w:sz w:val="16"/>
              </w:rPr>
              <w:t>Under-used</w:t>
            </w:r>
            <w:r>
              <w:rPr>
                <w:rFonts w:ascii="Times New Roman" w:hAnsi="Times New Roman"/>
                <w:b w:val="0"/>
                <w:i w:val="0"/>
                <w:sz w:val="16"/>
              </w:rPr>
              <w:t>; introgression potential shown (Liu et al., 2023)</w:t>
            </w:r>
          </w:p>
        </w:tc>
        <w:tc>
          <w:tcPr>
            <w:tcW w:type="dxa" w:w="2351"/>
          </w:tcPr>
          <w:p>
            <w:pPr>
              <w:spacing w:line="240" w:lineRule="auto" w:after="20"/>
            </w:pPr>
            <w:r>
              <w:rPr>
                <w:rFonts w:ascii="Times New Roman" w:hAnsi="Times New Roman"/>
                <w:b w:val="0"/>
                <w:i w:val="0"/>
                <w:sz w:val="16"/>
              </w:rPr>
              <w:t>Established</w:t>
            </w:r>
          </w:p>
        </w:tc>
        <w:tc>
          <w:tcPr>
            <w:tcW w:type="dxa" w:w="2351"/>
          </w:tcPr>
          <w:p>
            <w:pPr>
              <w:spacing w:line="240" w:lineRule="auto" w:after="20"/>
            </w:pPr>
            <w:r>
              <w:rPr>
                <w:rFonts w:ascii="Times New Roman" w:hAnsi="Times New Roman"/>
                <w:b/>
                <w:i w:val="0"/>
                <w:sz w:val="16"/>
              </w:rPr>
              <w:t>Best developed</w:t>
            </w:r>
            <w:r>
              <w:rPr>
                <w:rFonts w:ascii="Times New Roman" w:hAnsi="Times New Roman"/>
                <w:b w:val="0"/>
                <w:i w:val="0"/>
                <w:sz w:val="16"/>
              </w:rPr>
              <w:t xml:space="preserve"> — </w:t>
            </w:r>
            <w:r>
              <w:rPr>
                <w:rFonts w:ascii="Times New Roman" w:hAnsi="Times New Roman"/>
                <w:b w:val="0"/>
                <w:i/>
                <w:sz w:val="16"/>
              </w:rPr>
              <w:t>S. torvum</w:t>
            </w:r>
            <w:r>
              <w:rPr>
                <w:rFonts w:ascii="Times New Roman" w:hAnsi="Times New Roman"/>
                <w:b w:val="0"/>
                <w:i w:val="0"/>
                <w:sz w:val="16"/>
              </w:rPr>
              <w:t xml:space="preserve">, </w:t>
            </w:r>
            <w:r>
              <w:rPr>
                <w:rFonts w:ascii="Times New Roman" w:hAnsi="Times New Roman"/>
                <w:b w:val="0"/>
                <w:i/>
                <w:sz w:val="16"/>
              </w:rPr>
              <w:t>S. viarum</w:t>
            </w:r>
            <w:r>
              <w:rPr>
                <w:rFonts w:ascii="Times New Roman" w:hAnsi="Times New Roman"/>
                <w:b w:val="0"/>
                <w:i w:val="0"/>
                <w:sz w:val="16"/>
              </w:rPr>
              <w:t xml:space="preserve">, </w:t>
            </w:r>
            <w:r>
              <w:rPr>
                <w:rFonts w:ascii="Times New Roman" w:hAnsi="Times New Roman"/>
                <w:b w:val="0"/>
                <w:i/>
                <w:sz w:val="16"/>
              </w:rPr>
              <w:t>S. aethiopicum</w:t>
            </w:r>
            <w:r>
              <w:rPr>
                <w:rFonts w:ascii="Times New Roman" w:hAnsi="Times New Roman"/>
                <w:b w:val="0"/>
                <w:i w:val="0"/>
                <w:sz w:val="16"/>
              </w:rPr>
              <w:t xml:space="preserve">, </w:t>
            </w:r>
            <w:r>
              <w:rPr>
                <w:rFonts w:ascii="Times New Roman" w:hAnsi="Times New Roman"/>
                <w:b w:val="0"/>
                <w:i/>
                <w:sz w:val="16"/>
              </w:rPr>
              <w:t>S. insanum</w:t>
            </w:r>
          </w:p>
        </w:tc>
      </w:tr>
      <w:tr>
        <w:tc>
          <w:tcPr>
            <w:tcW w:type="dxa" w:w="2351"/>
          </w:tcPr>
          <w:p>
            <w:pPr>
              <w:spacing w:line="240" w:lineRule="auto" w:after="20"/>
            </w:pPr>
            <w:r>
              <w:rPr>
                <w:rFonts w:ascii="Times New Roman" w:hAnsi="Times New Roman"/>
                <w:b/>
                <w:i w:val="0"/>
                <w:sz w:val="16"/>
              </w:rPr>
              <w:t>Studies connecting strata</w:t>
            </w:r>
          </w:p>
        </w:tc>
        <w:tc>
          <w:tcPr>
            <w:tcW w:type="dxa" w:w="2351"/>
          </w:tcPr>
          <w:p>
            <w:pPr>
              <w:spacing w:line="240" w:lineRule="auto" w:after="20"/>
            </w:pPr>
            <w:r>
              <w:rPr>
                <w:rFonts w:ascii="Times New Roman" w:hAnsi="Times New Roman"/>
                <w:b/>
                <w:i w:val="0"/>
                <w:sz w:val="16"/>
              </w:rPr>
              <w:t>0</w:t>
            </w:r>
          </w:p>
        </w:tc>
        <w:tc>
          <w:tcPr>
            <w:tcW w:type="dxa" w:w="2351"/>
          </w:tcPr>
          <w:p>
            <w:pPr>
              <w:spacing w:line="240" w:lineRule="auto" w:after="20"/>
            </w:pPr>
            <w:r>
              <w:rPr>
                <w:rFonts w:ascii="Times New Roman" w:hAnsi="Times New Roman"/>
                <w:b w:val="0"/>
                <w:i w:val="0"/>
                <w:sz w:val="16"/>
              </w:rPr>
              <w:t>1 (C1)</w:t>
            </w:r>
          </w:p>
        </w:tc>
        <w:tc>
          <w:tcPr>
            <w:tcW w:type="dxa" w:w="2351"/>
          </w:tcPr>
          <w:p>
            <w:pPr>
              <w:spacing w:line="240" w:lineRule="auto" w:after="20"/>
            </w:pPr>
            <w:r>
              <w:rPr>
                <w:rFonts w:ascii="Times New Roman" w:hAnsi="Times New Roman"/>
                <w:b w:val="0"/>
                <w:i w:val="0"/>
                <w:sz w:val="16"/>
              </w:rPr>
              <w:t>0</w:t>
            </w:r>
          </w:p>
        </w:tc>
      </w:tr>
    </w:tbl>
    <w:p/>
    <w:p>
      <w:pPr>
        <w:spacing w:before="240" w:after="80"/>
      </w:pPr>
      <w:r>
        <w:rPr>
          <w:rFonts w:ascii="Times New Roman" w:hAnsi="Times New Roman"/>
          <w:b/>
          <w:sz w:val="24"/>
        </w:rPr>
        <w:t>6. LOW-COST, SCALABLE GENOTYPING FOR RESOURCE-LIMITED LABORATORIES</w:t>
      </w:r>
    </w:p>
    <w:p>
      <w:pPr>
        <w:spacing w:before="0"/>
        <w:jc w:val="both"/>
      </w:pPr>
      <w:r>
        <w:rPr>
          <w:rFonts w:ascii="Times New Roman" w:hAnsi="Times New Roman"/>
          <w:b w:val="0"/>
          <w:i w:val="0"/>
          <w:sz w:val="24"/>
        </w:rPr>
        <w:t>For a laboratory that has completed a screen with limited resources, the practical question is what to do next. This section compares available platforms on the criteria that constrain such laboratories: not cost alone, but equipment availability and the bioinformatics capacity required.</w:t>
      </w:r>
    </w:p>
    <w:p>
      <w:pPr>
        <w:spacing w:before="240" w:after="80"/>
      </w:pPr>
      <w:r>
        <w:rPr>
          <w:rFonts w:ascii="Times New Roman" w:hAnsi="Times New Roman"/>
          <w:b/>
          <w:sz w:val="24"/>
        </w:rPr>
        <w:t>6.1 Which constraint binds</w:t>
      </w:r>
    </w:p>
    <w:p>
      <w:pPr>
        <w:spacing w:before="0"/>
        <w:jc w:val="both"/>
      </w:pPr>
      <w:r>
        <w:rPr>
          <w:rFonts w:ascii="Times New Roman" w:hAnsi="Times New Roman"/>
          <w:b w:val="0"/>
          <w:i w:val="0"/>
          <w:sz w:val="24"/>
        </w:rPr>
        <w:t>Cost per data point is the headline metric and the least informative in isolation. Three constraints bind, and they bind differently. Equipment binds when there is no real-time PCR instrument, no capillary sequencer, and no access to a sequencing service. Bioinformatics capacity binds when no one can process raw reads, call variants or run association analysis. Money binds least often, because the cheapest methods are also the most labour-intensive. Genome-wide approaches are frequently presented as the affordable option because sequencing costs have fallen; they are affordable in reagents and demanding in analysis. A laboratory with a thermal cycler, gel documentation and no bioinformatician is better served by a small number of targeted assays than by a dataset it cannot interpret.</w:t>
      </w:r>
    </w:p>
    <w:p>
      <w:pPr>
        <w:spacing w:before="240" w:after="80"/>
      </w:pPr>
      <w:r>
        <w:rPr>
          <w:rFonts w:ascii="Times New Roman" w:hAnsi="Times New Roman"/>
          <w:b/>
          <w:sz w:val="24"/>
        </w:rPr>
        <w:t>6.2 Assays requiring only PCR</w:t>
      </w:r>
    </w:p>
    <w:p>
      <w:pPr>
        <w:spacing w:before="0"/>
        <w:jc w:val="both"/>
      </w:pPr>
      <w:r>
        <w:rPr>
          <w:rFonts w:ascii="Times New Roman" w:hAnsi="Times New Roman"/>
          <w:b w:val="0"/>
          <w:i w:val="0"/>
          <w:sz w:val="24"/>
        </w:rPr>
        <w:t xml:space="preserve">Simple sequence repeat genotyping remains the most accessible route to marker–trait association. It requires a thermal cycler and either gel electrophoresis or a capillary sequencer, both widely available, and validated </w:t>
      </w:r>
      <w:r>
        <w:rPr>
          <w:rFonts w:ascii="Times New Roman" w:hAnsi="Times New Roman"/>
          <w:b w:val="0"/>
          <w:i/>
          <w:sz w:val="24"/>
        </w:rPr>
        <w:t>Capsicum</w:t>
      </w:r>
      <w:r>
        <w:rPr>
          <w:rFonts w:ascii="Times New Roman" w:hAnsi="Times New Roman"/>
          <w:b w:val="0"/>
          <w:i w:val="0"/>
          <w:sz w:val="24"/>
        </w:rPr>
        <w:t xml:space="preserve"> panels are published. Markers Hpms1172 and CAMS177 have been associated with a stress tolerance index in chilli across a 78-genotype panel, with principal coordinate analysis aligning with marker-assisted selection output (Bukhari et al., 2024). The limitations are intrinsic: SSRs are low-density, sample few loci, and detect a causal polymorphism only where it lies in sufficient linkage disequilibrium with the amplified repeat.</w:t>
      </w:r>
    </w:p>
    <w:p>
      <w:pPr>
        <w:spacing w:before="0"/>
        <w:jc w:val="both"/>
      </w:pPr>
      <w:r>
        <w:rPr>
          <w:rFonts w:ascii="Times New Roman" w:hAnsi="Times New Roman"/>
          <w:b w:val="0"/>
          <w:i w:val="0"/>
          <w:sz w:val="24"/>
        </w:rPr>
        <w:t xml:space="preserve">Amplicon sequencing of candidate genes offers the highest value for a laboratory with PCR access and a sequencing service. Rather than screening the genome, it interrogates the genes the literature already implicates — </w:t>
      </w:r>
      <w:r>
        <w:rPr>
          <w:rFonts w:ascii="Times New Roman" w:hAnsi="Times New Roman"/>
          <w:b w:val="0"/>
          <w:i/>
          <w:sz w:val="24"/>
        </w:rPr>
        <w:t>CaNAC46</w:t>
      </w:r>
      <w:r>
        <w:rPr>
          <w:rFonts w:ascii="Times New Roman" w:hAnsi="Times New Roman"/>
          <w:b w:val="0"/>
          <w:i w:val="0"/>
          <w:sz w:val="24"/>
        </w:rPr>
        <w:t xml:space="preserve">, </w:t>
      </w:r>
      <w:r>
        <w:rPr>
          <w:rFonts w:ascii="Times New Roman" w:hAnsi="Times New Roman"/>
          <w:b w:val="0"/>
          <w:i/>
          <w:sz w:val="24"/>
        </w:rPr>
        <w:t>CaDREBLP1</w:t>
      </w:r>
      <w:r>
        <w:rPr>
          <w:rFonts w:ascii="Times New Roman" w:hAnsi="Times New Roman"/>
          <w:b w:val="0"/>
          <w:i w:val="0"/>
          <w:sz w:val="24"/>
        </w:rPr>
        <w:t xml:space="preserve">, the </w:t>
      </w:r>
      <w:r>
        <w:rPr>
          <w:rFonts w:ascii="Times New Roman" w:hAnsi="Times New Roman"/>
          <w:b w:val="0"/>
          <w:i/>
          <w:sz w:val="24"/>
        </w:rPr>
        <w:t>CaDREB</w:t>
      </w:r>
      <w:r>
        <w:rPr>
          <w:rFonts w:ascii="Times New Roman" w:hAnsi="Times New Roman"/>
          <w:b w:val="0"/>
          <w:i w:val="0"/>
          <w:sz w:val="24"/>
        </w:rPr>
        <w:t xml:space="preserve">, </w:t>
      </w:r>
      <w:r>
        <w:rPr>
          <w:rFonts w:ascii="Times New Roman" w:hAnsi="Times New Roman"/>
          <w:b w:val="0"/>
          <w:i/>
          <w:sz w:val="24"/>
        </w:rPr>
        <w:t>CaP5CS</w:t>
      </w:r>
      <w:r>
        <w:rPr>
          <w:rFonts w:ascii="Times New Roman" w:hAnsi="Times New Roman"/>
          <w:b w:val="0"/>
          <w:i w:val="0"/>
          <w:sz w:val="24"/>
        </w:rPr>
        <w:t xml:space="preserve"> and aquaporin families (Ma et al., 2021; Sahitya et al., 2019) — across the genotype panel, identifying sequence polymorphism within them. It is inexpensive because the target is small, it produces interpretable variants rather than anonymous markers, and it generates a testable hypothesis. Its limitation is equally clear: it finds variation only in genes someone has already chosen to examine.</w:t>
      </w:r>
    </w:p>
    <w:p>
      <w:pPr>
        <w:spacing w:before="240" w:after="80"/>
      </w:pPr>
      <w:r>
        <w:rPr>
          <w:rFonts w:ascii="Times New Roman" w:hAnsi="Times New Roman"/>
          <w:b/>
          <w:sz w:val="24"/>
        </w:rPr>
        <w:t>6.3 Genome-wide approaches</w:t>
      </w:r>
    </w:p>
    <w:p>
      <w:pPr>
        <w:spacing w:before="0"/>
        <w:jc w:val="both"/>
      </w:pPr>
      <w:r>
        <w:rPr>
          <w:rFonts w:ascii="Times New Roman" w:hAnsi="Times New Roman"/>
          <w:b w:val="0"/>
          <w:i w:val="0"/>
          <w:sz w:val="24"/>
        </w:rPr>
        <w:t xml:space="preserve">Bulk segregant analysis with sequencing is the most cost-effective genome-wide strategy for a trait with contrasting extremes, because it reduces the genotyping unit from the individual to the pool: two pools of extreme-phenotype individuals are sequenced, and allele-frequency differences localise the contributing region (Majeed et al., 2022). It requires only two sequencing reactions. Two caveats apply, and both are biological rather than logistical. Accuracy depends on sequencing depth and coverage, so cost rises with the resolution sought. And its application is constrained in species with large genomes. </w:t>
      </w:r>
      <w:r>
        <w:rPr>
          <w:rFonts w:ascii="Times New Roman" w:hAnsi="Times New Roman"/>
          <w:b w:val="0"/>
          <w:i/>
          <w:sz w:val="24"/>
        </w:rPr>
        <w:t>Capsicum annuum</w:t>
      </w:r>
      <w:r>
        <w:rPr>
          <w:rFonts w:ascii="Times New Roman" w:hAnsi="Times New Roman"/>
          <w:b w:val="0"/>
          <w:i w:val="0"/>
          <w:sz w:val="24"/>
        </w:rPr>
        <w:t xml:space="preserve"> has an approximately 3.5 Gb genome, among the larger among cultivated Solanaceae, which raises the sequencing requirement substantially relative to rice or </w:t>
      </w:r>
      <w:r>
        <w:rPr>
          <w:rFonts w:ascii="Times New Roman" w:hAnsi="Times New Roman"/>
          <w:b w:val="0"/>
          <w:i/>
          <w:sz w:val="24"/>
        </w:rPr>
        <w:t>Arabidopsis</w:t>
      </w:r>
      <w:r>
        <w:rPr>
          <w:rFonts w:ascii="Times New Roman" w:hAnsi="Times New Roman"/>
          <w:b w:val="0"/>
          <w:i w:val="0"/>
          <w:sz w:val="24"/>
        </w:rPr>
        <w:t xml:space="preserve"> (Liu et al., 2023). BSA-seq is a reasonable option in pepper, but not the near-free one it is in small-genome crops. Its extension to outcross populations (OcBSA) widens its applicability beyond inbred-line crosses (Zhang et al., 2024).</w:t>
      </w:r>
    </w:p>
    <w:p>
      <w:pPr>
        <w:spacing w:before="0"/>
        <w:jc w:val="both"/>
      </w:pPr>
      <w:r>
        <w:rPr>
          <w:rFonts w:ascii="Times New Roman" w:hAnsi="Times New Roman"/>
          <w:b w:val="0"/>
          <w:i w:val="0"/>
          <w:sz w:val="24"/>
        </w:rPr>
        <w:t xml:space="preserve">Genotyping-by-sequencing provides genome-wide markers at approximately US$10–50 per sample and has been applied in pepper, including for combined QTL and association mapping of </w:t>
      </w:r>
      <w:r>
        <w:rPr>
          <w:rFonts w:ascii="Times New Roman" w:hAnsi="Times New Roman"/>
          <w:b w:val="0"/>
          <w:i/>
          <w:sz w:val="24"/>
        </w:rPr>
        <w:t>Phytophthora capsici</w:t>
      </w:r>
      <w:r>
        <w:rPr>
          <w:rFonts w:ascii="Times New Roman" w:hAnsi="Times New Roman"/>
          <w:b w:val="0"/>
          <w:i w:val="0"/>
          <w:sz w:val="24"/>
        </w:rPr>
        <w:t xml:space="preserve"> resistance (Sahoo et al., 2025). A pepper SNP array has been used to genotype a GWAS panel, which is the appropriate choice where an off-the-shelf array exists and the panel is large.</w:t>
      </w:r>
    </w:p>
    <w:p>
      <w:pPr>
        <w:spacing w:before="240" w:after="80"/>
      </w:pPr>
      <w:r>
        <w:rPr>
          <w:rFonts w:ascii="Times New Roman" w:hAnsi="Times New Roman"/>
          <w:b/>
          <w:sz w:val="24"/>
        </w:rPr>
        <w:t>6.4 Deployment</w:t>
      </w:r>
    </w:p>
    <w:p>
      <w:pPr>
        <w:spacing w:before="0"/>
        <w:jc w:val="both"/>
      </w:pPr>
      <w:r>
        <w:rPr>
          <w:rFonts w:ascii="Times New Roman" w:hAnsi="Times New Roman"/>
          <w:b w:val="0"/>
          <w:i w:val="0"/>
          <w:sz w:val="24"/>
        </w:rPr>
        <w:t xml:space="preserve">Discovery and deployment are different problems requiring different platforms. Kompetitive allele-specific PCR assays run on a standard real-time PCR instrument, require no gel electrophoresis, and cost approximately </w:t>
      </w:r>
      <w:r>
        <w:rPr>
          <w:rFonts w:ascii="Times New Roman" w:hAnsi="Times New Roman"/>
          <w:b/>
          <w:i w:val="0"/>
          <w:sz w:val="24"/>
        </w:rPr>
        <w:t>US$0.05–0.10 per data point</w:t>
      </w:r>
      <w:r>
        <w:rPr>
          <w:rFonts w:ascii="Times New Roman" w:hAnsi="Times New Roman"/>
          <w:b w:val="0"/>
          <w:i w:val="0"/>
          <w:sz w:val="24"/>
        </w:rPr>
        <w:t xml:space="preserve"> — one to two orders of magnitude below genome-wide approaches on a per-sample basis. A published comparison of PCR-based SNP genotyping platforms positions KASP and PACE as the most cost-effective options for small laboratories, noting that the ability to run these assays on standard real-time instruments makes them accessible to laboratories with limited resources (Sahoo et al., 2025). The barrier to adoption is therefore not equipment but assay design, which requires a known polymorphic site. This is the operational reason to sequence candidate genes first.</w:t>
      </w:r>
    </w:p>
    <w:p>
      <w:pPr>
        <w:spacing w:before="0"/>
        <w:jc w:val="both"/>
      </w:pPr>
      <w:r>
        <w:rPr>
          <w:rFonts w:ascii="Times New Roman" w:hAnsi="Times New Roman"/>
          <w:b/>
          <w:i w:val="0"/>
          <w:sz w:val="24"/>
        </w:rPr>
        <w:t>Table 7</w:t>
      </w:r>
      <w:r>
        <w:rPr>
          <w:rFonts w:ascii="Times New Roman" w:hAnsi="Times New Roman"/>
          <w:b w:val="0"/>
          <w:i w:val="0"/>
          <w:sz w:val="24"/>
        </w:rPr>
        <w:t xml:space="preserve"> — Genotyping platforms compared by cost, marker number, equipment, bioinformatics requirement and best use.</w:t>
      </w:r>
    </w:p>
    <w:p>
      <w:pPr>
        <w:spacing w:before="240" w:after="80"/>
      </w:pPr>
      <w:r>
        <w:rPr>
          <w:rFonts w:ascii="Times New Roman" w:hAnsi="Times New Roman"/>
          <w:b/>
          <w:sz w:val="22"/>
        </w:rPr>
        <w:t>Table 7 — Genotyping platforms compared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20"/>
            </w:pPr>
            <w:r>
              <w:rPr>
                <w:rFonts w:ascii="Times New Roman" w:hAnsi="Times New Roman"/>
                <w:b/>
                <w:i w:val="0"/>
                <w:sz w:val="16"/>
              </w:rPr>
              <w:t>Platform</w:t>
            </w:r>
          </w:p>
        </w:tc>
        <w:tc>
          <w:tcPr>
            <w:tcW w:type="dxa" w:w="1881"/>
          </w:tcPr>
          <w:p>
            <w:pPr>
              <w:spacing w:line="240" w:lineRule="auto" w:after="20"/>
            </w:pPr>
            <w:r>
              <w:rPr>
                <w:rFonts w:ascii="Times New Roman" w:hAnsi="Times New Roman"/>
                <w:b/>
                <w:i w:val="0"/>
                <w:sz w:val="16"/>
              </w:rPr>
              <w:t>Cost</w:t>
            </w:r>
          </w:p>
        </w:tc>
        <w:tc>
          <w:tcPr>
            <w:tcW w:type="dxa" w:w="1881"/>
          </w:tcPr>
          <w:p>
            <w:pPr>
              <w:spacing w:line="240" w:lineRule="auto" w:after="20"/>
            </w:pPr>
            <w:r>
              <w:rPr>
                <w:rFonts w:ascii="Times New Roman" w:hAnsi="Times New Roman"/>
                <w:b/>
                <w:i w:val="0"/>
                <w:sz w:val="16"/>
              </w:rPr>
              <w:t>Equipment</w:t>
            </w:r>
          </w:p>
        </w:tc>
        <w:tc>
          <w:tcPr>
            <w:tcW w:type="dxa" w:w="1881"/>
          </w:tcPr>
          <w:p>
            <w:pPr>
              <w:spacing w:line="240" w:lineRule="auto" w:after="20"/>
            </w:pPr>
            <w:r>
              <w:rPr>
                <w:rFonts w:ascii="Times New Roman" w:hAnsi="Times New Roman"/>
                <w:b/>
                <w:i w:val="0"/>
                <w:sz w:val="16"/>
              </w:rPr>
              <w:t>Bioinformatics</w:t>
            </w:r>
          </w:p>
        </w:tc>
        <w:tc>
          <w:tcPr>
            <w:tcW w:type="dxa" w:w="1881"/>
          </w:tcPr>
          <w:p>
            <w:pPr>
              <w:spacing w:line="240" w:lineRule="auto" w:after="20"/>
            </w:pPr>
            <w:r>
              <w:rPr>
                <w:rFonts w:ascii="Times New Roman" w:hAnsi="Times New Roman"/>
                <w:b/>
                <w:i w:val="0"/>
                <w:sz w:val="16"/>
              </w:rPr>
              <w:t>Best use</w:t>
            </w:r>
          </w:p>
        </w:tc>
      </w:tr>
      <w:tr>
        <w:tc>
          <w:tcPr>
            <w:tcW w:type="dxa" w:w="1881"/>
          </w:tcPr>
          <w:p>
            <w:pPr>
              <w:spacing w:line="240" w:lineRule="auto" w:after="20"/>
            </w:pPr>
            <w:r>
              <w:rPr>
                <w:rFonts w:ascii="Times New Roman" w:hAnsi="Times New Roman"/>
                <w:b/>
                <w:i w:val="0"/>
                <w:sz w:val="16"/>
              </w:rPr>
              <w:t>KASP / PACE</w:t>
            </w:r>
          </w:p>
        </w:tc>
        <w:tc>
          <w:tcPr>
            <w:tcW w:type="dxa" w:w="1881"/>
          </w:tcPr>
          <w:p>
            <w:pPr>
              <w:spacing w:line="240" w:lineRule="auto" w:after="20"/>
            </w:pPr>
            <w:r>
              <w:rPr>
                <w:rFonts w:ascii="Times New Roman" w:hAnsi="Times New Roman"/>
                <w:b/>
                <w:i w:val="0"/>
                <w:sz w:val="16"/>
              </w:rPr>
              <w:t>~US$0.05–0.10 per data point</w:t>
            </w:r>
          </w:p>
        </w:tc>
        <w:tc>
          <w:tcPr>
            <w:tcW w:type="dxa" w:w="1881"/>
          </w:tcPr>
          <w:p>
            <w:pPr>
              <w:spacing w:line="240" w:lineRule="auto" w:after="20"/>
            </w:pPr>
            <w:r>
              <w:rPr>
                <w:rFonts w:ascii="Times New Roman" w:hAnsi="Times New Roman"/>
                <w:b w:val="0"/>
                <w:i w:val="0"/>
                <w:sz w:val="16"/>
              </w:rPr>
              <w:t>Thermal cycler + real-time PCR</w:t>
            </w:r>
          </w:p>
        </w:tc>
        <w:tc>
          <w:tcPr>
            <w:tcW w:type="dxa" w:w="1881"/>
          </w:tcPr>
          <w:p>
            <w:pPr>
              <w:spacing w:line="240" w:lineRule="auto" w:after="20"/>
            </w:pPr>
            <w:r>
              <w:rPr>
                <w:rFonts w:ascii="Times New Roman" w:hAnsi="Times New Roman"/>
                <w:b w:val="0"/>
                <w:i w:val="0"/>
                <w:sz w:val="16"/>
              </w:rPr>
              <w:t>Minimal</w:t>
            </w:r>
          </w:p>
        </w:tc>
        <w:tc>
          <w:tcPr>
            <w:tcW w:type="dxa" w:w="1881"/>
          </w:tcPr>
          <w:p>
            <w:pPr>
              <w:spacing w:line="240" w:lineRule="auto" w:after="20"/>
            </w:pPr>
            <w:r>
              <w:rPr>
                <w:rFonts w:ascii="Times New Roman" w:hAnsi="Times New Roman"/>
                <w:b w:val="0"/>
                <w:i w:val="0"/>
                <w:sz w:val="16"/>
              </w:rPr>
              <w:t>Deployment; marker–trait association in a large panel</w:t>
            </w:r>
          </w:p>
        </w:tc>
      </w:tr>
      <w:tr>
        <w:tc>
          <w:tcPr>
            <w:tcW w:type="dxa" w:w="1881"/>
          </w:tcPr>
          <w:p>
            <w:pPr>
              <w:spacing w:line="240" w:lineRule="auto" w:after="20"/>
            </w:pPr>
            <w:r>
              <w:rPr>
                <w:rFonts w:ascii="Times New Roman" w:hAnsi="Times New Roman"/>
                <w:b w:val="0"/>
                <w:i w:val="0"/>
                <w:sz w:val="16"/>
              </w:rPr>
              <w:t>SSR</w:t>
            </w:r>
          </w:p>
        </w:tc>
        <w:tc>
          <w:tcPr>
            <w:tcW w:type="dxa" w:w="1881"/>
          </w:tcPr>
          <w:p>
            <w:pPr>
              <w:spacing w:line="240" w:lineRule="auto" w:after="20"/>
            </w:pPr>
            <w:r>
              <w:rPr>
                <w:rFonts w:ascii="Times New Roman" w:hAnsi="Times New Roman"/>
                <w:b w:val="0"/>
                <w:i w:val="0"/>
                <w:sz w:val="16"/>
              </w:rPr>
              <w:t>Low per assay</w:t>
            </w:r>
          </w:p>
        </w:tc>
        <w:tc>
          <w:tcPr>
            <w:tcW w:type="dxa" w:w="1881"/>
          </w:tcPr>
          <w:p>
            <w:pPr>
              <w:spacing w:line="240" w:lineRule="auto" w:after="20"/>
            </w:pPr>
            <w:r>
              <w:rPr>
                <w:rFonts w:ascii="Times New Roman" w:hAnsi="Times New Roman"/>
                <w:b w:val="0"/>
                <w:i w:val="0"/>
                <w:sz w:val="16"/>
              </w:rPr>
              <w:t>Thermal cycler + gel or capillary</w:t>
            </w:r>
          </w:p>
        </w:tc>
        <w:tc>
          <w:tcPr>
            <w:tcW w:type="dxa" w:w="1881"/>
          </w:tcPr>
          <w:p>
            <w:pPr>
              <w:spacing w:line="240" w:lineRule="auto" w:after="20"/>
            </w:pPr>
            <w:r>
              <w:rPr>
                <w:rFonts w:ascii="Times New Roman" w:hAnsi="Times New Roman"/>
                <w:b w:val="0"/>
                <w:i w:val="0"/>
                <w:sz w:val="16"/>
              </w:rPr>
              <w:t>Minimal</w:t>
            </w:r>
          </w:p>
        </w:tc>
        <w:tc>
          <w:tcPr>
            <w:tcW w:type="dxa" w:w="1881"/>
          </w:tcPr>
          <w:p>
            <w:pPr>
              <w:spacing w:line="240" w:lineRule="auto" w:after="20"/>
            </w:pPr>
            <w:r>
              <w:rPr>
                <w:rFonts w:ascii="Times New Roman" w:hAnsi="Times New Roman"/>
                <w:b w:val="0"/>
                <w:i w:val="0"/>
                <w:sz w:val="16"/>
              </w:rPr>
              <w:t>Accessible first-pass association (Bukhari et al., 2024)</w:t>
            </w:r>
          </w:p>
        </w:tc>
      </w:tr>
      <w:tr>
        <w:tc>
          <w:tcPr>
            <w:tcW w:type="dxa" w:w="1881"/>
          </w:tcPr>
          <w:p>
            <w:pPr>
              <w:spacing w:line="240" w:lineRule="auto" w:after="20"/>
            </w:pPr>
            <w:r>
              <w:rPr>
                <w:rFonts w:ascii="Times New Roman" w:hAnsi="Times New Roman"/>
                <w:b w:val="0"/>
                <w:i w:val="0"/>
                <w:sz w:val="16"/>
              </w:rPr>
              <w:t>Amplicon sequencing of candidate genes</w:t>
            </w:r>
          </w:p>
        </w:tc>
        <w:tc>
          <w:tcPr>
            <w:tcW w:type="dxa" w:w="1881"/>
          </w:tcPr>
          <w:p>
            <w:pPr>
              <w:spacing w:line="240" w:lineRule="auto" w:after="20"/>
            </w:pPr>
            <w:r>
              <w:rPr>
                <w:rFonts w:ascii="Times New Roman" w:hAnsi="Times New Roman"/>
                <w:b w:val="0"/>
                <w:i w:val="0"/>
                <w:sz w:val="16"/>
              </w:rPr>
              <w:t>Low</w:t>
            </w:r>
          </w:p>
        </w:tc>
        <w:tc>
          <w:tcPr>
            <w:tcW w:type="dxa" w:w="1881"/>
          </w:tcPr>
          <w:p>
            <w:pPr>
              <w:spacing w:line="240" w:lineRule="auto" w:after="20"/>
            </w:pPr>
            <w:r>
              <w:rPr>
                <w:rFonts w:ascii="Times New Roman" w:hAnsi="Times New Roman"/>
                <w:b w:val="0"/>
                <w:i w:val="0"/>
                <w:sz w:val="16"/>
              </w:rPr>
              <w:t>PCR + sequencing service</w:t>
            </w:r>
          </w:p>
        </w:tc>
        <w:tc>
          <w:tcPr>
            <w:tcW w:type="dxa" w:w="1881"/>
          </w:tcPr>
          <w:p>
            <w:pPr>
              <w:spacing w:line="240" w:lineRule="auto" w:after="20"/>
            </w:pPr>
            <w:r>
              <w:rPr>
                <w:rFonts w:ascii="Times New Roman" w:hAnsi="Times New Roman"/>
                <w:b w:val="0"/>
                <w:i w:val="0"/>
                <w:sz w:val="16"/>
              </w:rPr>
              <w:t>Moderate</w:t>
            </w:r>
          </w:p>
        </w:tc>
        <w:tc>
          <w:tcPr>
            <w:tcW w:type="dxa" w:w="1881"/>
          </w:tcPr>
          <w:p>
            <w:pPr>
              <w:spacing w:line="240" w:lineRule="auto" w:after="20"/>
            </w:pPr>
            <w:r>
              <w:rPr>
                <w:rFonts w:ascii="Times New Roman" w:hAnsi="Times New Roman"/>
                <w:b/>
                <w:i w:val="0"/>
                <w:sz w:val="16"/>
              </w:rPr>
              <w:t>Highest value for a PCR-capable lab</w:t>
            </w:r>
          </w:p>
        </w:tc>
      </w:tr>
      <w:tr>
        <w:tc>
          <w:tcPr>
            <w:tcW w:type="dxa" w:w="1881"/>
          </w:tcPr>
          <w:p>
            <w:pPr>
              <w:spacing w:line="240" w:lineRule="auto" w:after="20"/>
            </w:pPr>
            <w:r>
              <w:rPr>
                <w:rFonts w:ascii="Times New Roman" w:hAnsi="Times New Roman"/>
                <w:b w:val="0"/>
                <w:i w:val="0"/>
                <w:sz w:val="16"/>
              </w:rPr>
              <w:t>GBS</w:t>
            </w:r>
          </w:p>
        </w:tc>
        <w:tc>
          <w:tcPr>
            <w:tcW w:type="dxa" w:w="1881"/>
          </w:tcPr>
          <w:p>
            <w:pPr>
              <w:spacing w:line="240" w:lineRule="auto" w:after="20"/>
            </w:pPr>
            <w:r>
              <w:rPr>
                <w:rFonts w:ascii="Times New Roman" w:hAnsi="Times New Roman"/>
                <w:b w:val="0"/>
                <w:i w:val="0"/>
                <w:sz w:val="16"/>
              </w:rPr>
              <w:t>~US$10–50 per sample</w:t>
            </w:r>
          </w:p>
        </w:tc>
        <w:tc>
          <w:tcPr>
            <w:tcW w:type="dxa" w:w="1881"/>
          </w:tcPr>
          <w:p>
            <w:pPr>
              <w:spacing w:line="240" w:lineRule="auto" w:after="20"/>
            </w:pPr>
            <w:r>
              <w:rPr>
                <w:rFonts w:ascii="Times New Roman" w:hAnsi="Times New Roman"/>
                <w:b w:val="0"/>
                <w:i w:val="0"/>
                <w:sz w:val="16"/>
              </w:rPr>
              <w:t>Sequencing service</w:t>
            </w:r>
          </w:p>
        </w:tc>
        <w:tc>
          <w:tcPr>
            <w:tcW w:type="dxa" w:w="1881"/>
          </w:tcPr>
          <w:p>
            <w:pPr>
              <w:spacing w:line="240" w:lineRule="auto" w:after="20"/>
            </w:pPr>
            <w:r>
              <w:rPr>
                <w:rFonts w:ascii="Times New Roman" w:hAnsi="Times New Roman"/>
                <w:b w:val="0"/>
                <w:i w:val="0"/>
                <w:sz w:val="16"/>
              </w:rPr>
              <w:t>High</w:t>
            </w:r>
          </w:p>
        </w:tc>
        <w:tc>
          <w:tcPr>
            <w:tcW w:type="dxa" w:w="1881"/>
          </w:tcPr>
          <w:p>
            <w:pPr>
              <w:spacing w:line="240" w:lineRule="auto" w:after="20"/>
            </w:pPr>
            <w:r>
              <w:rPr>
                <w:rFonts w:ascii="Times New Roman" w:hAnsi="Times New Roman"/>
                <w:b w:val="0"/>
                <w:i w:val="0"/>
                <w:sz w:val="16"/>
              </w:rPr>
              <w:t>Genome-wide markers where no array exists</w:t>
            </w:r>
          </w:p>
        </w:tc>
      </w:tr>
      <w:tr>
        <w:tc>
          <w:tcPr>
            <w:tcW w:type="dxa" w:w="1881"/>
          </w:tcPr>
          <w:p>
            <w:pPr>
              <w:spacing w:line="240" w:lineRule="auto" w:after="20"/>
            </w:pPr>
            <w:r>
              <w:rPr>
                <w:rFonts w:ascii="Times New Roman" w:hAnsi="Times New Roman"/>
                <w:b w:val="0"/>
                <w:i w:val="0"/>
                <w:sz w:val="16"/>
              </w:rPr>
              <w:t>BSA-seq</w:t>
            </w:r>
          </w:p>
        </w:tc>
        <w:tc>
          <w:tcPr>
            <w:tcW w:type="dxa" w:w="1881"/>
          </w:tcPr>
          <w:p>
            <w:pPr>
              <w:spacing w:line="240" w:lineRule="auto" w:after="20"/>
            </w:pPr>
            <w:r>
              <w:rPr>
                <w:rFonts w:ascii="Times New Roman" w:hAnsi="Times New Roman"/>
                <w:b w:val="0"/>
                <w:i w:val="0"/>
                <w:sz w:val="16"/>
              </w:rPr>
              <w:t>2 reactions, depth-dependent</w:t>
            </w:r>
          </w:p>
        </w:tc>
        <w:tc>
          <w:tcPr>
            <w:tcW w:type="dxa" w:w="1881"/>
          </w:tcPr>
          <w:p>
            <w:pPr>
              <w:spacing w:line="240" w:lineRule="auto" w:after="20"/>
            </w:pPr>
            <w:r>
              <w:rPr>
                <w:rFonts w:ascii="Times New Roman" w:hAnsi="Times New Roman"/>
                <w:b w:val="0"/>
                <w:i w:val="0"/>
                <w:sz w:val="16"/>
              </w:rPr>
              <w:t>Sequencing service</w:t>
            </w:r>
          </w:p>
        </w:tc>
        <w:tc>
          <w:tcPr>
            <w:tcW w:type="dxa" w:w="1881"/>
          </w:tcPr>
          <w:p>
            <w:pPr>
              <w:spacing w:line="240" w:lineRule="auto" w:after="20"/>
            </w:pPr>
            <w:r>
              <w:rPr>
                <w:rFonts w:ascii="Times New Roman" w:hAnsi="Times New Roman"/>
                <w:b w:val="0"/>
                <w:i w:val="0"/>
                <w:sz w:val="16"/>
              </w:rPr>
              <w:t>High</w:t>
            </w:r>
          </w:p>
        </w:tc>
        <w:tc>
          <w:tcPr>
            <w:tcW w:type="dxa" w:w="1881"/>
          </w:tcPr>
          <w:p>
            <w:pPr>
              <w:spacing w:line="240" w:lineRule="auto" w:after="20"/>
            </w:pPr>
            <w:r>
              <w:rPr>
                <w:rFonts w:ascii="Times New Roman" w:hAnsi="Times New Roman"/>
                <w:b w:val="0"/>
                <w:i w:val="0"/>
                <w:sz w:val="16"/>
              </w:rPr>
              <w:t xml:space="preserve">Contrasting extremes; </w:t>
            </w:r>
            <w:r>
              <w:rPr>
                <w:rFonts w:ascii="Times New Roman" w:hAnsi="Times New Roman"/>
                <w:b/>
                <w:i w:val="0"/>
                <w:sz w:val="16"/>
              </w:rPr>
              <w:t>constrained by genome size — *C. annuum* ~3.5 Gb</w:t>
            </w:r>
          </w:p>
        </w:tc>
      </w:tr>
      <w:tr>
        <w:tc>
          <w:tcPr>
            <w:tcW w:type="dxa" w:w="1881"/>
          </w:tcPr>
          <w:p>
            <w:pPr>
              <w:spacing w:line="240" w:lineRule="auto" w:after="20"/>
            </w:pPr>
            <w:r>
              <w:rPr>
                <w:rFonts w:ascii="Times New Roman" w:hAnsi="Times New Roman"/>
                <w:b w:val="0"/>
                <w:i w:val="0"/>
                <w:sz w:val="16"/>
              </w:rPr>
              <w:t>SNP array</w:t>
            </w:r>
          </w:p>
        </w:tc>
        <w:tc>
          <w:tcPr>
            <w:tcW w:type="dxa" w:w="1881"/>
          </w:tcPr>
          <w:p>
            <w:pPr>
              <w:spacing w:line="240" w:lineRule="auto" w:after="20"/>
            </w:pPr>
            <w:r>
              <w:rPr>
                <w:rFonts w:ascii="Times New Roman" w:hAnsi="Times New Roman"/>
                <w:b w:val="0"/>
                <w:i w:val="0"/>
                <w:sz w:val="16"/>
              </w:rPr>
              <w:t>Per-sample array cost</w:t>
            </w:r>
          </w:p>
        </w:tc>
        <w:tc>
          <w:tcPr>
            <w:tcW w:type="dxa" w:w="1881"/>
          </w:tcPr>
          <w:p>
            <w:pPr>
              <w:spacing w:line="240" w:lineRule="auto" w:after="20"/>
            </w:pPr>
            <w:r>
              <w:rPr>
                <w:rFonts w:ascii="Times New Roman" w:hAnsi="Times New Roman"/>
                <w:b w:val="0"/>
                <w:i w:val="0"/>
                <w:sz w:val="16"/>
              </w:rPr>
              <w:t>Service provider</w:t>
            </w:r>
          </w:p>
        </w:tc>
        <w:tc>
          <w:tcPr>
            <w:tcW w:type="dxa" w:w="1881"/>
          </w:tcPr>
          <w:p>
            <w:pPr>
              <w:spacing w:line="240" w:lineRule="auto" w:after="20"/>
            </w:pPr>
            <w:r>
              <w:rPr>
                <w:rFonts w:ascii="Times New Roman" w:hAnsi="Times New Roman"/>
                <w:b w:val="0"/>
                <w:i w:val="0"/>
                <w:sz w:val="16"/>
              </w:rPr>
              <w:t>Moderate</w:t>
            </w:r>
          </w:p>
        </w:tc>
        <w:tc>
          <w:tcPr>
            <w:tcW w:type="dxa" w:w="1881"/>
          </w:tcPr>
          <w:p>
            <w:pPr>
              <w:spacing w:line="240" w:lineRule="auto" w:after="20"/>
            </w:pPr>
            <w:r>
              <w:rPr>
                <w:rFonts w:ascii="Times New Roman" w:hAnsi="Times New Roman"/>
                <w:b w:val="0"/>
                <w:i w:val="0"/>
                <w:sz w:val="16"/>
              </w:rPr>
              <w:t>Large panel where an array exists</w:t>
            </w:r>
          </w:p>
        </w:tc>
      </w:tr>
    </w:tbl>
    <w:p/>
    <w:p>
      <w:pPr>
        <w:spacing w:before="240" w:after="80"/>
      </w:pPr>
      <w:r>
        <w:rPr>
          <w:rFonts w:ascii="Times New Roman" w:hAnsi="Times New Roman"/>
          <w:b/>
          <w:sz w:val="24"/>
        </w:rPr>
        <w:t>6.5 A note on platform costs</w:t>
      </w:r>
    </w:p>
    <w:p>
      <w:pPr>
        <w:spacing w:before="0"/>
        <w:jc w:val="both"/>
      </w:pPr>
      <w:r>
        <w:rPr>
          <w:rFonts w:ascii="Times New Roman" w:hAnsi="Times New Roman"/>
          <w:b w:val="0"/>
          <w:i w:val="0"/>
          <w:sz w:val="24"/>
        </w:rPr>
        <w:t>Cost figures for genotyping platforms are frequently sourced from vendor material rather than peer-reviewed literature, and vendor pricing changes. The figures used above are drawn from a peer-reviewed review of PCR-based SNP genotyping (Sahoo et al., 2025) and from the same source for sequencing-based approaches. Laboratories budgeting a project should treat them as order-of-magnitude indicators and obtain current quotations.</w:t>
      </w:r>
    </w:p>
    <w:p>
      <w:pPr>
        <w:spacing w:before="240" w:after="80"/>
      </w:pPr>
      <w:r>
        <w:rPr>
          <w:rFonts w:ascii="Times New Roman" w:hAnsi="Times New Roman"/>
          <w:b/>
          <w:sz w:val="24"/>
        </w:rPr>
        <w:t>7. SYNTHESIS: A PROPOSED FRAMEWORK AND MINIMUM REPORTING STANDARD</w:t>
      </w:r>
    </w:p>
    <w:p>
      <w:pPr>
        <w:spacing w:before="240" w:after="80"/>
      </w:pPr>
      <w:r>
        <w:rPr>
          <w:rFonts w:ascii="Times New Roman" w:hAnsi="Times New Roman"/>
          <w:b/>
          <w:sz w:val="24"/>
        </w:rPr>
        <w:t>7.1 What this review has established</w:t>
      </w:r>
    </w:p>
    <w:p>
      <w:pPr>
        <w:spacing w:before="0"/>
        <w:jc w:val="both"/>
      </w:pPr>
      <w:r>
        <w:rPr>
          <w:rFonts w:ascii="Times New Roman" w:hAnsi="Times New Roman"/>
          <w:b w:val="0"/>
          <w:i w:val="0"/>
          <w:sz w:val="24"/>
        </w:rPr>
        <w:t>The preceding sections support four conclusions, and they are more encouraging than a critical reading of any one of them suggests. Figure 1 sets out the resulting framework and its decision points.</w:t>
      </w:r>
    </w:p>
    <w:p>
      <w:pPr>
        <w:jc w:val="center"/>
      </w:pPr>
      <w:r>
        <w:drawing>
          <wp:inline xmlns:a="http://schemas.openxmlformats.org/drawingml/2006/main" xmlns:pic="http://schemas.openxmlformats.org/drawingml/2006/picture">
            <wp:extent cx="5760000" cy="2110030"/>
            <wp:docPr id="5" name="Picture 5"/>
            <wp:cNvGraphicFramePr>
              <a:graphicFrameLocks noChangeAspect="1"/>
            </wp:cNvGraphicFramePr>
            <a:graphic>
              <a:graphicData uri="http://schemas.openxmlformats.org/drawingml/2006/picture">
                <pic:pic>
                  <pic:nvPicPr>
                    <pic:cNvPr id="0" name="figure-1-framework.png"/>
                    <pic:cNvPicPr/>
                  </pic:nvPicPr>
                  <pic:blipFill>
                    <a:blip r:embed="rId13"/>
                    <a:stretch>
                      <a:fillRect/>
                    </a:stretch>
                  </pic:blipFill>
                  <pic:spPr>
                    <a:xfrm>
                      <a:off x="0" y="0"/>
                      <a:ext cx="5760000" cy="2110030"/>
                    </a:xfrm>
                    <a:prstGeom prst="rect"/>
                  </pic:spPr>
                </pic:pic>
              </a:graphicData>
            </a:graphic>
          </wp:inline>
        </w:drawing>
      </w:r>
    </w:p>
    <w:p>
      <w:pPr>
        <w:spacing w:before="0"/>
        <w:jc w:val="both"/>
      </w:pPr>
      <w:r>
        <w:rPr>
          <w:rFonts w:ascii="Times New Roman" w:hAnsi="Times New Roman"/>
          <w:b w:val="0"/>
          <w:i w:val="0"/>
          <w:sz w:val="24"/>
        </w:rPr>
        <w:t>Early-stage osmotic screening works in the sense that it discriminates. It has produced tolerant germplasm in every Solanaceae crop examined, at low cost, without a field season, and independently in many laboratories. The genetic variation it detects is real.</w:t>
      </w:r>
    </w:p>
    <w:p>
      <w:pPr>
        <w:spacing w:before="0"/>
        <w:jc w:val="both"/>
      </w:pPr>
      <w:r>
        <w:rPr>
          <w:rFonts w:ascii="Times New Roman" w:hAnsi="Times New Roman"/>
          <w:b w:val="0"/>
          <w:i w:val="0"/>
          <w:sz w:val="24"/>
        </w:rPr>
        <w:t>It does not currently function as a general proxy for field drought tolerance, and the field does not agree on whether it can. Of the studies testing transfer across developmental stages, four support it and four contradict it. The disagreement is not random; it tracks identifiable design choices.</w:t>
      </w:r>
    </w:p>
    <w:p>
      <w:pPr>
        <w:spacing w:before="0"/>
        <w:jc w:val="both"/>
      </w:pPr>
      <w:r>
        <w:rPr>
          <w:rFonts w:ascii="Times New Roman" w:hAnsi="Times New Roman"/>
          <w:b w:val="0"/>
          <w:i w:val="0"/>
          <w:sz w:val="24"/>
        </w:rPr>
        <w:t>Those design choices are cheap to fix. Internal-consistency correlation being reported as cross-stage transfer, trait-level tests being used where genotype-level concordance is required, fixed PEG concentrations applied where genotype-specific levels are needed, and developmental stage being ignored — each has a remedy that costs little.</w:t>
      </w:r>
    </w:p>
    <w:p>
      <w:pPr>
        <w:spacing w:before="0"/>
        <w:jc w:val="both"/>
      </w:pPr>
      <w:r>
        <w:rPr>
          <w:rFonts w:ascii="Times New Roman" w:hAnsi="Times New Roman"/>
          <w:b w:val="0"/>
          <w:i w:val="0"/>
          <w:sz w:val="24"/>
        </w:rPr>
        <w:t>The molecular route is more open than it was. Pepper's transformation recalcitrance has historically capped functional validation, but virus-induced gene silencing and heritable virus-induced gene editing now provide tissue-culture-free routes. The constraint has moved from capability to coordination.</w:t>
      </w:r>
    </w:p>
    <w:p>
      <w:pPr>
        <w:spacing w:before="240" w:after="80"/>
      </w:pPr>
      <w:r>
        <w:rPr>
          <w:rFonts w:ascii="Times New Roman" w:hAnsi="Times New Roman"/>
          <w:b/>
          <w:sz w:val="24"/>
        </w:rPr>
        <w:t>7.2 Why current practice was reasonable</w:t>
      </w:r>
    </w:p>
    <w:p>
      <w:pPr>
        <w:spacing w:before="0"/>
        <w:jc w:val="both"/>
      </w:pPr>
      <w:r>
        <w:rPr>
          <w:rFonts w:ascii="Times New Roman" w:hAnsi="Times New Roman"/>
          <w:b w:val="0"/>
          <w:i w:val="0"/>
          <w:sz w:val="24"/>
        </w:rPr>
        <w:t>Each of the practices this review identifies as limiting was, and remains, a defensible response to real constraints. Stating this is not a courtesy; it explains why what follows is a standard rather than a correction.</w:t>
      </w:r>
    </w:p>
    <w:p>
      <w:pPr>
        <w:spacing w:before="0"/>
        <w:jc w:val="both"/>
      </w:pPr>
      <w:r>
        <w:rPr>
          <w:rFonts w:ascii="Times New Roman" w:hAnsi="Times New Roman"/>
          <w:b w:val="0"/>
          <w:i w:val="0"/>
          <w:sz w:val="24"/>
        </w:rPr>
        <w:t>Fixed PEG concentrations are the only practical choice when a screening panel is large and no prior information about individual genotypes exists. Genotype-specific determination requires a pre-experiment that many screening programmes are not resourced to run.</w:t>
      </w:r>
    </w:p>
    <w:p>
      <w:pPr>
        <w:spacing w:before="0"/>
        <w:jc w:val="both"/>
      </w:pPr>
      <w:r>
        <w:rPr>
          <w:rFonts w:ascii="Times New Roman" w:hAnsi="Times New Roman"/>
          <w:b w:val="0"/>
          <w:i w:val="0"/>
          <w:sz w:val="24"/>
        </w:rPr>
        <w:t>Analysis of variance on germination data has a long and accepted history in seed science, and for crops with uniformly high germination the assumptions are met in practice. The conditions that osmotic screening creates — means driven toward 0% and 100% — are precisely those where the method fails, and this follows from the experimental design rather than from analytical carelessness.</w:t>
      </w:r>
    </w:p>
    <w:p>
      <w:pPr>
        <w:spacing w:before="0"/>
        <w:jc w:val="both"/>
      </w:pPr>
      <w:r>
        <w:rPr>
          <w:rFonts w:ascii="Times New Roman" w:hAnsi="Times New Roman"/>
          <w:b w:val="0"/>
          <w:i w:val="0"/>
          <w:sz w:val="24"/>
        </w:rPr>
        <w:t>Reporting the non-penetration of PEG as established was reasonable when first advanced and has been reproduced in introductions ever since. The original measurements predate the modern publication cycle by five decades and are effectively outside the citation reach of most authors writing today.</w:t>
      </w:r>
    </w:p>
    <w:p>
      <w:pPr>
        <w:spacing w:before="0"/>
        <w:jc w:val="both"/>
      </w:pPr>
      <w:r>
        <w:rPr>
          <w:rFonts w:ascii="Times New Roman" w:hAnsi="Times New Roman"/>
          <w:b w:val="0"/>
          <w:i w:val="0"/>
          <w:sz w:val="24"/>
        </w:rPr>
        <w:t>Testing at a single developmental stage is what makes screening cheap. A programme that tests all stages is no longer a screening programme but a breeding pipeline, and it costs proportionally more.</w:t>
      </w:r>
    </w:p>
    <w:p>
      <w:pPr>
        <w:spacing w:before="0"/>
        <w:jc w:val="both"/>
      </w:pPr>
      <w:r>
        <w:rPr>
          <w:rFonts w:ascii="Times New Roman" w:hAnsi="Times New Roman"/>
          <w:b w:val="0"/>
          <w:i w:val="0"/>
          <w:sz w:val="24"/>
        </w:rPr>
        <w:t>The recommendation that follows is therefore offered as a shared standard that would make the existing literature cumulative.</w:t>
      </w:r>
    </w:p>
    <w:p>
      <w:pPr>
        <w:spacing w:before="240" w:after="80"/>
      </w:pPr>
      <w:r>
        <w:rPr>
          <w:rFonts w:ascii="Times New Roman" w:hAnsi="Times New Roman"/>
          <w:b/>
          <w:sz w:val="24"/>
        </w:rPr>
        <w:t>7.3 The proposed framework</w:t>
      </w:r>
    </w:p>
    <w:p>
      <w:pPr>
        <w:spacing w:before="0"/>
        <w:jc w:val="both"/>
      </w:pPr>
      <w:r>
        <w:rPr>
          <w:rFonts w:ascii="Times New Roman" w:hAnsi="Times New Roman"/>
          <w:b w:val="0"/>
          <w:i w:val="0"/>
          <w:sz w:val="24"/>
        </w:rPr>
        <w:t>The framework has four stages, each with an explicit decision point.</w:t>
      </w:r>
    </w:p>
    <w:p>
      <w:pPr>
        <w:spacing w:before="0"/>
        <w:jc w:val="both"/>
      </w:pPr>
      <w:r>
        <w:rPr>
          <w:rFonts w:ascii="Times New Roman" w:hAnsi="Times New Roman"/>
          <w:b/>
          <w:i w:val="0"/>
          <w:sz w:val="24"/>
        </w:rPr>
        <w:t>Stage 1 — Screen.</w:t>
      </w:r>
      <w:r>
        <w:rPr>
          <w:rFonts w:ascii="Times New Roman" w:hAnsi="Times New Roman"/>
          <w:b w:val="0"/>
          <w:i w:val="0"/>
          <w:sz w:val="24"/>
        </w:rPr>
        <w:t xml:space="preserve"> Use a panel of at least 20 genotypes including wild relatives and at least one known tolerant and one known susceptible check. Record PEG molecular weight, supplier and batch. Use genotype-specific sub-lethal concentrations where feasible, or at least three levels spanning the informative range otherwise. Measure and report osmotic potential, naming the instrument. Control and report temperature. Treat the Petri dish as the experimental unit with at least four replicates of at least ten seeds. Score the standard trait set. Analyse with a generalised linear mixed model, binomial family, logit link, with dish as a random effect, and report the genotype × treatment interaction. Report at least one productivity-oriented and one susceptibility-oriented index. Retain a spectrum of tolerant, intermediate and susceptible genotypes rather than only the extremes. </w:t>
      </w:r>
      <w:r>
        <w:rPr>
          <w:rFonts w:ascii="Times New Roman" w:hAnsi="Times New Roman"/>
          <w:b/>
          <w:i w:val="0"/>
          <w:sz w:val="24"/>
        </w:rPr>
        <w:t>Decision:</w:t>
      </w:r>
      <w:r>
        <w:rPr>
          <w:rFonts w:ascii="Times New Roman" w:hAnsi="Times New Roman"/>
          <w:b w:val="0"/>
          <w:i w:val="0"/>
          <w:sz w:val="24"/>
        </w:rPr>
        <w:t xml:space="preserve"> which genotypes advance, and on what stated criterion.</w:t>
      </w:r>
    </w:p>
    <w:p>
      <w:pPr>
        <w:spacing w:before="0"/>
        <w:jc w:val="both"/>
      </w:pPr>
      <w:r>
        <w:rPr>
          <w:rFonts w:ascii="Times New Roman" w:hAnsi="Times New Roman"/>
          <w:b/>
          <w:i w:val="0"/>
          <w:sz w:val="24"/>
        </w:rPr>
        <w:t>Stage 2 — Validate.</w:t>
      </w:r>
      <w:r>
        <w:rPr>
          <w:rFonts w:ascii="Times New Roman" w:hAnsi="Times New Roman"/>
          <w:b w:val="0"/>
          <w:i w:val="0"/>
          <w:sz w:val="24"/>
        </w:rPr>
        <w:t xml:space="preserve"> Impose managed drought at the agronomically relevant stage rather than relying on seasonal conditions, with an irrigated control, a randomised complete block design, and at least two site-years. Analyse with a mixed model treating site-year as a random effect. Report the concordance rate: the proportion of screen-selected genotypes that prove superior in the field. </w:t>
      </w:r>
      <w:r>
        <w:rPr>
          <w:rFonts w:ascii="Times New Roman" w:hAnsi="Times New Roman"/>
          <w:b/>
          <w:i w:val="0"/>
          <w:sz w:val="24"/>
        </w:rPr>
        <w:t>Decision:</w:t>
      </w:r>
      <w:r>
        <w:rPr>
          <w:rFonts w:ascii="Times New Roman" w:hAnsi="Times New Roman"/>
          <w:b w:val="0"/>
          <w:i w:val="0"/>
          <w:sz w:val="24"/>
        </w:rPr>
        <w:t xml:space="preserve"> does the screen predict the field? If not, state that the screen selects for a different trait, which is itself a publishable result.</w:t>
      </w:r>
    </w:p>
    <w:p>
      <w:pPr>
        <w:spacing w:before="0"/>
        <w:jc w:val="both"/>
      </w:pPr>
      <w:r>
        <w:rPr>
          <w:rFonts w:ascii="Times New Roman" w:hAnsi="Times New Roman"/>
          <w:b/>
          <w:i w:val="0"/>
          <w:sz w:val="24"/>
        </w:rPr>
        <w:t>Stage 3 — Characterise.</w:t>
      </w:r>
      <w:r>
        <w:rPr>
          <w:rFonts w:ascii="Times New Roman" w:hAnsi="Times New Roman"/>
          <w:b w:val="0"/>
          <w:i w:val="0"/>
          <w:sz w:val="24"/>
        </w:rPr>
        <w:t xml:space="preserve"> Use contrasting genotype pairs from Stage 1. Perform candidate-gene quantitative RT-PCR following MIQE, with reference genes validated for the tissue and treatment rather than assumed. Add amplicon sequencing of candidate genes across the panel. Where capacity permits, test function by virus-induced gene silencing or virus-induced gene editing. </w:t>
      </w:r>
      <w:r>
        <w:rPr>
          <w:rFonts w:ascii="Times New Roman" w:hAnsi="Times New Roman"/>
          <w:b/>
          <w:i w:val="0"/>
          <w:sz w:val="24"/>
        </w:rPr>
        <w:t>Decision:</w:t>
      </w:r>
      <w:r>
        <w:rPr>
          <w:rFonts w:ascii="Times New Roman" w:hAnsi="Times New Roman"/>
          <w:b w:val="0"/>
          <w:i w:val="0"/>
          <w:sz w:val="24"/>
        </w:rPr>
        <w:t xml:space="preserve"> is there an expression or sequence difference, or both?</w:t>
      </w:r>
    </w:p>
    <w:p>
      <w:pPr>
        <w:spacing w:before="0"/>
        <w:jc w:val="both"/>
      </w:pPr>
      <w:r>
        <w:rPr>
          <w:rFonts w:ascii="Times New Roman" w:hAnsi="Times New Roman"/>
          <w:b/>
          <w:i w:val="0"/>
          <w:sz w:val="24"/>
        </w:rPr>
        <w:t>Stage 4 — Deploy.</w:t>
      </w:r>
      <w:r>
        <w:rPr>
          <w:rFonts w:ascii="Times New Roman" w:hAnsi="Times New Roman"/>
          <w:b w:val="0"/>
          <w:i w:val="0"/>
          <w:sz w:val="24"/>
        </w:rPr>
        <w:t xml:space="preserve"> Convert the polymorphism to a KASP, CAPS or SSR assay and test marker–trait association in an independent panel, reporting marker effect size and the genotype concordance rate.</w:t>
      </w:r>
    </w:p>
    <w:p>
      <w:pPr>
        <w:spacing w:before="240" w:after="80"/>
      </w:pPr>
      <w:r>
        <w:rPr>
          <w:rFonts w:ascii="Times New Roman" w:hAnsi="Times New Roman"/>
          <w:b/>
          <w:sz w:val="24"/>
        </w:rPr>
        <w:t>7.4 Minimum reporting standard</w:t>
      </w:r>
    </w:p>
    <w:p>
      <w:pPr>
        <w:spacing w:before="0"/>
        <w:jc w:val="both"/>
      </w:pPr>
      <w:r>
        <w:rPr>
          <w:rFonts w:ascii="Times New Roman" w:hAnsi="Times New Roman"/>
          <w:b/>
          <w:i w:val="0"/>
          <w:sz w:val="24"/>
        </w:rPr>
        <w:t>Table 8</w:t>
      </w:r>
      <w:r>
        <w:rPr>
          <w:rFonts w:ascii="Times New Roman" w:hAnsi="Times New Roman"/>
          <w:b w:val="0"/>
          <w:i w:val="0"/>
          <w:sz w:val="24"/>
        </w:rPr>
        <w:t xml:space="preserve"> presents the review's principal deliverable: a fifteen-item minimum reporting standard, offered as a checklist for authors, reviewers and editors. Each item is either free or inexpensive to satisfy.</w:t>
      </w:r>
    </w:p>
    <w:p>
      <w:pPr>
        <w:spacing w:before="240" w:after="80"/>
      </w:pPr>
      <w:r>
        <w:rPr>
          <w:rFonts w:ascii="Times New Roman" w:hAnsi="Times New Roman"/>
          <w:b/>
          <w:sz w:val="22"/>
        </w:rPr>
        <w:t>Table 8 — Proposed minimum reporting standard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20"/>
            </w:pPr>
            <w:r>
              <w:rPr>
                <w:rFonts w:ascii="Times New Roman" w:hAnsi="Times New Roman"/>
                <w:b/>
                <w:i w:val="0"/>
                <w:sz w:val="16"/>
              </w:rPr>
              <w:t>#</w:t>
            </w:r>
          </w:p>
        </w:tc>
        <w:tc>
          <w:tcPr>
            <w:tcW w:type="dxa" w:w="1881"/>
          </w:tcPr>
          <w:p>
            <w:pPr>
              <w:spacing w:line="240" w:lineRule="auto" w:after="20"/>
            </w:pPr>
            <w:r>
              <w:rPr>
                <w:rFonts w:ascii="Times New Roman" w:hAnsi="Times New Roman"/>
                <w:b/>
                <w:i w:val="0"/>
                <w:sz w:val="16"/>
              </w:rPr>
              <w:t>Parameter</w:t>
            </w:r>
          </w:p>
        </w:tc>
        <w:tc>
          <w:tcPr>
            <w:tcW w:type="dxa" w:w="1881"/>
          </w:tcPr>
          <w:p>
            <w:pPr>
              <w:spacing w:line="240" w:lineRule="auto" w:after="20"/>
            </w:pPr>
            <w:r>
              <w:rPr>
                <w:rFonts w:ascii="Times New Roman" w:hAnsi="Times New Roman"/>
                <w:b/>
                <w:i w:val="0"/>
                <w:sz w:val="16"/>
              </w:rPr>
              <w:t>Minimum</w:t>
            </w:r>
          </w:p>
        </w:tc>
        <w:tc>
          <w:tcPr>
            <w:tcW w:type="dxa" w:w="1881"/>
          </w:tcPr>
          <w:p>
            <w:pPr>
              <w:spacing w:line="240" w:lineRule="auto" w:after="20"/>
            </w:pPr>
            <w:r>
              <w:rPr>
                <w:rFonts w:ascii="Times New Roman" w:hAnsi="Times New Roman"/>
                <w:b/>
                <w:i w:val="0"/>
                <w:sz w:val="16"/>
              </w:rPr>
              <w:t>Rationale</w:t>
            </w:r>
          </w:p>
        </w:tc>
        <w:tc>
          <w:tcPr>
            <w:tcW w:type="dxa" w:w="1881"/>
          </w:tcPr>
          <w:p>
            <w:pPr>
              <w:spacing w:line="240" w:lineRule="auto" w:after="20"/>
            </w:pPr>
            <w:r>
              <w:rPr>
                <w:rFonts w:ascii="Times New Roman" w:hAnsi="Times New Roman"/>
                <w:b/>
                <w:i w:val="0"/>
                <w:sz w:val="16"/>
              </w:rPr>
              <w:t>Costs extra?</w:t>
            </w:r>
          </w:p>
        </w:tc>
      </w:tr>
      <w:tr>
        <w:tc>
          <w:tcPr>
            <w:tcW w:type="dxa" w:w="1881"/>
          </w:tcPr>
          <w:p>
            <w:pPr>
              <w:spacing w:line="240" w:lineRule="auto" w:after="20"/>
            </w:pPr>
            <w:r>
              <w:rPr>
                <w:rFonts w:ascii="Times New Roman" w:hAnsi="Times New Roman"/>
                <w:b w:val="0"/>
                <w:i w:val="0"/>
                <w:sz w:val="16"/>
              </w:rPr>
              <w:t>1</w:t>
            </w:r>
          </w:p>
        </w:tc>
        <w:tc>
          <w:tcPr>
            <w:tcW w:type="dxa" w:w="1881"/>
          </w:tcPr>
          <w:p>
            <w:pPr>
              <w:spacing w:line="240" w:lineRule="auto" w:after="20"/>
            </w:pPr>
            <w:r>
              <w:rPr>
                <w:rFonts w:ascii="Times New Roman" w:hAnsi="Times New Roman"/>
                <w:b w:val="0"/>
                <w:i w:val="0"/>
                <w:sz w:val="16"/>
              </w:rPr>
              <w:t>Genotype panel</w:t>
            </w:r>
          </w:p>
        </w:tc>
        <w:tc>
          <w:tcPr>
            <w:tcW w:type="dxa" w:w="1881"/>
          </w:tcPr>
          <w:p>
            <w:pPr>
              <w:spacing w:line="240" w:lineRule="auto" w:after="20"/>
            </w:pPr>
            <w:r>
              <w:rPr>
                <w:rFonts w:ascii="Times New Roman" w:hAnsi="Times New Roman"/>
                <w:b w:val="0"/>
                <w:i w:val="0"/>
                <w:sz w:val="16"/>
              </w:rPr>
              <w:t>≥20, including wild relatives and tolerant/susceptible checks</w:t>
            </w:r>
          </w:p>
        </w:tc>
        <w:tc>
          <w:tcPr>
            <w:tcW w:type="dxa" w:w="1881"/>
          </w:tcPr>
          <w:p>
            <w:pPr>
              <w:spacing w:line="240" w:lineRule="auto" w:after="20"/>
            </w:pPr>
            <w:r>
              <w:rPr>
                <w:rFonts w:ascii="Times New Roman" w:hAnsi="Times New Roman"/>
                <w:b w:val="0"/>
                <w:i w:val="0"/>
                <w:sz w:val="16"/>
              </w:rPr>
              <w:t>Checks anchor the ranking; wild relatives carry tolerance absent from cultivars</w:t>
            </w:r>
          </w:p>
        </w:tc>
        <w:tc>
          <w:tcPr>
            <w:tcW w:type="dxa" w:w="1881"/>
          </w:tcPr>
          <w:p>
            <w:pPr>
              <w:spacing w:line="240" w:lineRule="auto" w:after="20"/>
            </w:pPr>
            <w:r>
              <w:rPr>
                <w:rFonts w:ascii="Times New Roman" w:hAnsi="Times New Roman"/>
                <w:b w:val="0"/>
                <w:i w:val="0"/>
                <w:sz w:val="16"/>
              </w:rPr>
              <w:t>Design</w:t>
            </w:r>
          </w:p>
        </w:tc>
      </w:tr>
      <w:tr>
        <w:tc>
          <w:tcPr>
            <w:tcW w:type="dxa" w:w="1881"/>
          </w:tcPr>
          <w:p>
            <w:pPr>
              <w:spacing w:line="240" w:lineRule="auto" w:after="20"/>
            </w:pPr>
            <w:r>
              <w:rPr>
                <w:rFonts w:ascii="Times New Roman" w:hAnsi="Times New Roman"/>
                <w:b w:val="0"/>
                <w:i w:val="0"/>
                <w:sz w:val="16"/>
              </w:rPr>
              <w:t>2</w:t>
            </w:r>
          </w:p>
        </w:tc>
        <w:tc>
          <w:tcPr>
            <w:tcW w:type="dxa" w:w="1881"/>
          </w:tcPr>
          <w:p>
            <w:pPr>
              <w:spacing w:line="240" w:lineRule="auto" w:after="20"/>
            </w:pPr>
            <w:r>
              <w:rPr>
                <w:rFonts w:ascii="Times New Roman" w:hAnsi="Times New Roman"/>
                <w:b w:val="0"/>
                <w:i w:val="0"/>
                <w:sz w:val="16"/>
              </w:rPr>
              <w:t>Osmoticum identity</w:t>
            </w:r>
          </w:p>
        </w:tc>
        <w:tc>
          <w:tcPr>
            <w:tcW w:type="dxa" w:w="1881"/>
          </w:tcPr>
          <w:p>
            <w:pPr>
              <w:spacing w:line="240" w:lineRule="auto" w:after="20"/>
            </w:pPr>
            <w:r>
              <w:rPr>
                <w:rFonts w:ascii="Times New Roman" w:hAnsi="Times New Roman"/>
                <w:b w:val="0"/>
                <w:i w:val="0"/>
                <w:sz w:val="16"/>
              </w:rPr>
              <w:t>PEG molecular weight, supplier, batch</w:t>
            </w:r>
          </w:p>
        </w:tc>
        <w:tc>
          <w:tcPr>
            <w:tcW w:type="dxa" w:w="1881"/>
          </w:tcPr>
          <w:p>
            <w:pPr>
              <w:spacing w:line="240" w:lineRule="auto" w:after="20"/>
            </w:pPr>
            <w:r>
              <w:rPr>
                <w:rFonts w:ascii="Times New Roman" w:hAnsi="Times New Roman"/>
                <w:b w:val="0"/>
                <w:i w:val="0"/>
                <w:sz w:val="16"/>
              </w:rPr>
              <w:t>Osmotic pressure at equal mass varies with molecular weight; site of action differs</w:t>
            </w:r>
          </w:p>
        </w:tc>
        <w:tc>
          <w:tcPr>
            <w:tcW w:type="dxa" w:w="1881"/>
          </w:tcPr>
          <w:p>
            <w:pPr>
              <w:spacing w:line="240" w:lineRule="auto" w:after="20"/>
            </w:pPr>
            <w:r>
              <w:rPr>
                <w:rFonts w:ascii="Times New Roman" w:hAnsi="Times New Roman"/>
                <w:b w:val="0"/>
                <w:i w:val="0"/>
                <w:sz w:val="16"/>
              </w:rPr>
              <w:t>No</w:t>
            </w:r>
          </w:p>
        </w:tc>
      </w:tr>
      <w:tr>
        <w:tc>
          <w:tcPr>
            <w:tcW w:type="dxa" w:w="1881"/>
          </w:tcPr>
          <w:p>
            <w:pPr>
              <w:spacing w:line="240" w:lineRule="auto" w:after="20"/>
            </w:pPr>
            <w:r>
              <w:rPr>
                <w:rFonts w:ascii="Times New Roman" w:hAnsi="Times New Roman"/>
                <w:b w:val="0"/>
                <w:i w:val="0"/>
                <w:sz w:val="16"/>
              </w:rPr>
              <w:t>3</w:t>
            </w:r>
          </w:p>
        </w:tc>
        <w:tc>
          <w:tcPr>
            <w:tcW w:type="dxa" w:w="1881"/>
          </w:tcPr>
          <w:p>
            <w:pPr>
              <w:spacing w:line="240" w:lineRule="auto" w:after="20"/>
            </w:pPr>
            <w:r>
              <w:rPr>
                <w:rFonts w:ascii="Times New Roman" w:hAnsi="Times New Roman"/>
                <w:b w:val="0"/>
                <w:i w:val="0"/>
                <w:sz w:val="16"/>
              </w:rPr>
              <w:t>Concentration</w:t>
            </w:r>
          </w:p>
        </w:tc>
        <w:tc>
          <w:tcPr>
            <w:tcW w:type="dxa" w:w="1881"/>
          </w:tcPr>
          <w:p>
            <w:pPr>
              <w:spacing w:line="240" w:lineRule="auto" w:after="20"/>
            </w:pPr>
            <w:r>
              <w:rPr>
                <w:rFonts w:ascii="Times New Roman" w:hAnsi="Times New Roman"/>
                <w:b w:val="0"/>
                <w:i w:val="0"/>
                <w:sz w:val="16"/>
              </w:rPr>
              <w:t>Genotype-specific sub-lethal level where feasible; otherwise ≥3 levels</w:t>
            </w:r>
          </w:p>
        </w:tc>
        <w:tc>
          <w:tcPr>
            <w:tcW w:type="dxa" w:w="1881"/>
          </w:tcPr>
          <w:p>
            <w:pPr>
              <w:spacing w:line="240" w:lineRule="auto" w:after="20"/>
            </w:pPr>
            <w:r>
              <w:rPr>
                <w:rFonts w:ascii="Times New Roman" w:hAnsi="Times New Roman"/>
                <w:b w:val="0"/>
                <w:i w:val="0"/>
                <w:sz w:val="16"/>
              </w:rPr>
              <w:t>A single fixed level produces floor effects at the extremes</w:t>
            </w:r>
          </w:p>
        </w:tc>
        <w:tc>
          <w:tcPr>
            <w:tcW w:type="dxa" w:w="1881"/>
          </w:tcPr>
          <w:p>
            <w:pPr>
              <w:spacing w:line="240" w:lineRule="auto" w:after="20"/>
            </w:pPr>
            <w:r>
              <w:rPr>
                <w:rFonts w:ascii="Times New Roman" w:hAnsi="Times New Roman"/>
                <w:b w:val="0"/>
                <w:i w:val="0"/>
                <w:sz w:val="16"/>
              </w:rPr>
              <w:t>Prelim. experiment</w:t>
            </w:r>
          </w:p>
        </w:tc>
      </w:tr>
      <w:tr>
        <w:tc>
          <w:tcPr>
            <w:tcW w:type="dxa" w:w="1881"/>
          </w:tcPr>
          <w:p>
            <w:pPr>
              <w:spacing w:line="240" w:lineRule="auto" w:after="20"/>
            </w:pPr>
            <w:r>
              <w:rPr>
                <w:rFonts w:ascii="Times New Roman" w:hAnsi="Times New Roman"/>
                <w:b w:val="0"/>
                <w:i w:val="0"/>
                <w:sz w:val="16"/>
              </w:rPr>
              <w:t>4</w:t>
            </w:r>
          </w:p>
        </w:tc>
        <w:tc>
          <w:tcPr>
            <w:tcW w:type="dxa" w:w="1881"/>
          </w:tcPr>
          <w:p>
            <w:pPr>
              <w:spacing w:line="240" w:lineRule="auto" w:after="20"/>
            </w:pPr>
            <w:r>
              <w:rPr>
                <w:rFonts w:ascii="Times New Roman" w:hAnsi="Times New Roman"/>
                <w:b w:val="0"/>
                <w:i w:val="0"/>
                <w:sz w:val="16"/>
              </w:rPr>
              <w:t>Osmotic potential</w:t>
            </w:r>
          </w:p>
        </w:tc>
        <w:tc>
          <w:tcPr>
            <w:tcW w:type="dxa" w:w="1881"/>
          </w:tcPr>
          <w:p>
            <w:pPr>
              <w:spacing w:line="240" w:lineRule="auto" w:after="20"/>
            </w:pPr>
            <w:r>
              <w:rPr>
                <w:rFonts w:ascii="Times New Roman" w:hAnsi="Times New Roman"/>
                <w:b w:val="0"/>
                <w:i w:val="0"/>
                <w:sz w:val="16"/>
              </w:rPr>
              <w:t>Measured, instrument named</w:t>
            </w:r>
          </w:p>
        </w:tc>
        <w:tc>
          <w:tcPr>
            <w:tcW w:type="dxa" w:w="1881"/>
          </w:tcPr>
          <w:p>
            <w:pPr>
              <w:spacing w:line="240" w:lineRule="auto" w:after="20"/>
            </w:pPr>
            <w:r>
              <w:rPr>
                <w:rFonts w:ascii="Times New Roman" w:hAnsi="Times New Roman"/>
                <w:b w:val="0"/>
                <w:i w:val="0"/>
                <w:sz w:val="16"/>
              </w:rPr>
              <w:t>Nominal values carry temperature- and method-dependent error</w:t>
            </w:r>
          </w:p>
        </w:tc>
        <w:tc>
          <w:tcPr>
            <w:tcW w:type="dxa" w:w="1881"/>
          </w:tcPr>
          <w:p>
            <w:pPr>
              <w:spacing w:line="240" w:lineRule="auto" w:after="20"/>
            </w:pPr>
            <w:r>
              <w:rPr>
                <w:rFonts w:ascii="Times New Roman" w:hAnsi="Times New Roman"/>
                <w:b w:val="0"/>
                <w:i w:val="0"/>
                <w:sz w:val="16"/>
              </w:rPr>
              <w:t>Minimal</w:t>
            </w:r>
          </w:p>
        </w:tc>
      </w:tr>
      <w:tr>
        <w:tc>
          <w:tcPr>
            <w:tcW w:type="dxa" w:w="1881"/>
          </w:tcPr>
          <w:p>
            <w:pPr>
              <w:spacing w:line="240" w:lineRule="auto" w:after="20"/>
            </w:pPr>
            <w:r>
              <w:rPr>
                <w:rFonts w:ascii="Times New Roman" w:hAnsi="Times New Roman"/>
                <w:b w:val="0"/>
                <w:i w:val="0"/>
                <w:sz w:val="16"/>
              </w:rPr>
              <w:t>5</w:t>
            </w:r>
          </w:p>
        </w:tc>
        <w:tc>
          <w:tcPr>
            <w:tcW w:type="dxa" w:w="1881"/>
          </w:tcPr>
          <w:p>
            <w:pPr>
              <w:spacing w:line="240" w:lineRule="auto" w:after="20"/>
            </w:pPr>
            <w:r>
              <w:rPr>
                <w:rFonts w:ascii="Times New Roman" w:hAnsi="Times New Roman"/>
                <w:b w:val="0"/>
                <w:i w:val="0"/>
                <w:sz w:val="16"/>
              </w:rPr>
              <w:t>Temperature</w:t>
            </w:r>
          </w:p>
        </w:tc>
        <w:tc>
          <w:tcPr>
            <w:tcW w:type="dxa" w:w="1881"/>
          </w:tcPr>
          <w:p>
            <w:pPr>
              <w:spacing w:line="240" w:lineRule="auto" w:after="20"/>
            </w:pPr>
            <w:r>
              <w:rPr>
                <w:rFonts w:ascii="Times New Roman" w:hAnsi="Times New Roman"/>
                <w:b w:val="0"/>
                <w:i w:val="0"/>
                <w:sz w:val="16"/>
              </w:rPr>
              <w:t>Controlled and reported</w:t>
            </w:r>
          </w:p>
        </w:tc>
        <w:tc>
          <w:tcPr>
            <w:tcW w:type="dxa" w:w="1881"/>
          </w:tcPr>
          <w:p>
            <w:pPr>
              <w:spacing w:line="240" w:lineRule="auto" w:after="20"/>
            </w:pPr>
            <w:r>
              <w:rPr>
                <w:rFonts w:ascii="Times New Roman" w:hAnsi="Times New Roman"/>
                <w:b w:val="0"/>
                <w:i w:val="0"/>
                <w:sz w:val="16"/>
              </w:rPr>
              <w:t>Osmotic potential is temperature-dependent</w:t>
            </w:r>
          </w:p>
        </w:tc>
        <w:tc>
          <w:tcPr>
            <w:tcW w:type="dxa" w:w="1881"/>
          </w:tcPr>
          <w:p>
            <w:pPr>
              <w:spacing w:line="240" w:lineRule="auto" w:after="20"/>
            </w:pPr>
            <w:r>
              <w:rPr>
                <w:rFonts w:ascii="Times New Roman" w:hAnsi="Times New Roman"/>
                <w:b w:val="0"/>
                <w:i w:val="0"/>
                <w:sz w:val="16"/>
              </w:rPr>
              <w:t>No</w:t>
            </w:r>
          </w:p>
        </w:tc>
      </w:tr>
      <w:tr>
        <w:tc>
          <w:tcPr>
            <w:tcW w:type="dxa" w:w="1881"/>
          </w:tcPr>
          <w:p>
            <w:pPr>
              <w:spacing w:line="240" w:lineRule="auto" w:after="20"/>
            </w:pPr>
            <w:r>
              <w:rPr>
                <w:rFonts w:ascii="Times New Roman" w:hAnsi="Times New Roman"/>
                <w:b w:val="0"/>
                <w:i w:val="0"/>
                <w:sz w:val="16"/>
              </w:rPr>
              <w:t>6</w:t>
            </w:r>
          </w:p>
        </w:tc>
        <w:tc>
          <w:tcPr>
            <w:tcW w:type="dxa" w:w="1881"/>
          </w:tcPr>
          <w:p>
            <w:pPr>
              <w:spacing w:line="240" w:lineRule="auto" w:after="20"/>
            </w:pPr>
            <w:r>
              <w:rPr>
                <w:rFonts w:ascii="Times New Roman" w:hAnsi="Times New Roman"/>
                <w:b w:val="0"/>
                <w:i w:val="0"/>
                <w:sz w:val="16"/>
              </w:rPr>
              <w:t>Experimental unit</w:t>
            </w:r>
          </w:p>
        </w:tc>
        <w:tc>
          <w:tcPr>
            <w:tcW w:type="dxa" w:w="1881"/>
          </w:tcPr>
          <w:p>
            <w:pPr>
              <w:spacing w:line="240" w:lineRule="auto" w:after="20"/>
            </w:pPr>
            <w:r>
              <w:rPr>
                <w:rFonts w:ascii="Times New Roman" w:hAnsi="Times New Roman"/>
                <w:b w:val="0"/>
                <w:i w:val="0"/>
                <w:sz w:val="16"/>
              </w:rPr>
              <w:t>Petri dish or plot, stated explicitly</w:t>
            </w:r>
          </w:p>
        </w:tc>
        <w:tc>
          <w:tcPr>
            <w:tcW w:type="dxa" w:w="1881"/>
          </w:tcPr>
          <w:p>
            <w:pPr>
              <w:spacing w:line="240" w:lineRule="auto" w:after="20"/>
            </w:pPr>
            <w:r>
              <w:rPr>
                <w:rFonts w:ascii="Times New Roman" w:hAnsi="Times New Roman"/>
                <w:b w:val="0"/>
                <w:i w:val="0"/>
                <w:sz w:val="16"/>
              </w:rPr>
              <w:t>Prevents pseudoreplication; the unit is not the seed</w:t>
            </w:r>
          </w:p>
        </w:tc>
        <w:tc>
          <w:tcPr>
            <w:tcW w:type="dxa" w:w="1881"/>
          </w:tcPr>
          <w:p>
            <w:pPr>
              <w:spacing w:line="240" w:lineRule="auto" w:after="20"/>
            </w:pPr>
            <w:r>
              <w:rPr>
                <w:rFonts w:ascii="Times New Roman" w:hAnsi="Times New Roman"/>
                <w:b/>
                <w:i w:val="0"/>
                <w:sz w:val="16"/>
              </w:rPr>
              <w:t>No</w:t>
            </w:r>
          </w:p>
        </w:tc>
      </w:tr>
      <w:tr>
        <w:tc>
          <w:tcPr>
            <w:tcW w:type="dxa" w:w="1881"/>
          </w:tcPr>
          <w:p>
            <w:pPr>
              <w:spacing w:line="240" w:lineRule="auto" w:after="20"/>
            </w:pPr>
            <w:r>
              <w:rPr>
                <w:rFonts w:ascii="Times New Roman" w:hAnsi="Times New Roman"/>
                <w:b w:val="0"/>
                <w:i w:val="0"/>
                <w:sz w:val="16"/>
              </w:rPr>
              <w:t>7</w:t>
            </w:r>
          </w:p>
        </w:tc>
        <w:tc>
          <w:tcPr>
            <w:tcW w:type="dxa" w:w="1881"/>
          </w:tcPr>
          <w:p>
            <w:pPr>
              <w:spacing w:line="240" w:lineRule="auto" w:after="20"/>
            </w:pPr>
            <w:r>
              <w:rPr>
                <w:rFonts w:ascii="Times New Roman" w:hAnsi="Times New Roman"/>
                <w:b w:val="0"/>
                <w:i w:val="0"/>
                <w:sz w:val="16"/>
              </w:rPr>
              <w:t>Replication</w:t>
            </w:r>
          </w:p>
        </w:tc>
        <w:tc>
          <w:tcPr>
            <w:tcW w:type="dxa" w:w="1881"/>
          </w:tcPr>
          <w:p>
            <w:pPr>
              <w:spacing w:line="240" w:lineRule="auto" w:after="20"/>
            </w:pPr>
            <w:r>
              <w:rPr>
                <w:rFonts w:ascii="Times New Roman" w:hAnsi="Times New Roman"/>
                <w:b w:val="0"/>
                <w:i w:val="0"/>
                <w:sz w:val="16"/>
              </w:rPr>
              <w:t>≥4 units, ≥10 seeds per unit</w:t>
            </w:r>
          </w:p>
        </w:tc>
        <w:tc>
          <w:tcPr>
            <w:tcW w:type="dxa" w:w="1881"/>
          </w:tcPr>
          <w:p>
            <w:pPr>
              <w:spacing w:line="240" w:lineRule="auto" w:after="20"/>
            </w:pPr>
            <w:r>
              <w:rPr>
                <w:rFonts w:ascii="Times New Roman" w:hAnsi="Times New Roman"/>
                <w:b w:val="0"/>
                <w:i w:val="0"/>
                <w:sz w:val="16"/>
              </w:rPr>
              <w:t>Generalised linear model stability</w:t>
            </w:r>
          </w:p>
        </w:tc>
        <w:tc>
          <w:tcPr>
            <w:tcW w:type="dxa" w:w="1881"/>
          </w:tcPr>
          <w:p>
            <w:pPr>
              <w:spacing w:line="240" w:lineRule="auto" w:after="20"/>
            </w:pPr>
            <w:r>
              <w:rPr>
                <w:rFonts w:ascii="Times New Roman" w:hAnsi="Times New Roman"/>
                <w:b w:val="0"/>
                <w:i w:val="0"/>
                <w:sz w:val="16"/>
              </w:rPr>
              <w:t>Design</w:t>
            </w:r>
          </w:p>
        </w:tc>
      </w:tr>
      <w:tr>
        <w:tc>
          <w:tcPr>
            <w:tcW w:type="dxa" w:w="1881"/>
          </w:tcPr>
          <w:p>
            <w:pPr>
              <w:spacing w:line="240" w:lineRule="auto" w:after="20"/>
            </w:pPr>
            <w:r>
              <w:rPr>
                <w:rFonts w:ascii="Times New Roman" w:hAnsi="Times New Roman"/>
                <w:b w:val="0"/>
                <w:i w:val="0"/>
                <w:sz w:val="16"/>
              </w:rPr>
              <w:t>8</w:t>
            </w:r>
          </w:p>
        </w:tc>
        <w:tc>
          <w:tcPr>
            <w:tcW w:type="dxa" w:w="1881"/>
          </w:tcPr>
          <w:p>
            <w:pPr>
              <w:spacing w:line="240" w:lineRule="auto" w:after="20"/>
            </w:pPr>
            <w:r>
              <w:rPr>
                <w:rFonts w:ascii="Times New Roman" w:hAnsi="Times New Roman"/>
                <w:b w:val="0"/>
                <w:i w:val="0"/>
                <w:sz w:val="16"/>
              </w:rPr>
              <w:t>Statistical model</w:t>
            </w:r>
          </w:p>
        </w:tc>
        <w:tc>
          <w:tcPr>
            <w:tcW w:type="dxa" w:w="1881"/>
          </w:tcPr>
          <w:p>
            <w:pPr>
              <w:spacing w:line="240" w:lineRule="auto" w:after="20"/>
            </w:pPr>
            <w:r>
              <w:rPr>
                <w:rFonts w:ascii="Times New Roman" w:hAnsi="Times New Roman"/>
                <w:b w:val="0"/>
                <w:i w:val="0"/>
                <w:sz w:val="16"/>
              </w:rPr>
              <w:t>Generalised linear mixed model, binomial family, logit link</w:t>
            </w:r>
          </w:p>
        </w:tc>
        <w:tc>
          <w:tcPr>
            <w:tcW w:type="dxa" w:w="1881"/>
          </w:tcPr>
          <w:p>
            <w:pPr>
              <w:spacing w:line="240" w:lineRule="auto" w:after="20"/>
            </w:pPr>
            <w:r>
              <w:rPr>
                <w:rFonts w:ascii="Times New Roman" w:hAnsi="Times New Roman"/>
                <w:b w:val="0"/>
                <w:i w:val="0"/>
                <w:sz w:val="16"/>
              </w:rPr>
              <w:t>Binomial data violate normal-error assumptions, especially near boundaries</w:t>
            </w:r>
          </w:p>
        </w:tc>
        <w:tc>
          <w:tcPr>
            <w:tcW w:type="dxa" w:w="1881"/>
          </w:tcPr>
          <w:p>
            <w:pPr>
              <w:spacing w:line="240" w:lineRule="auto" w:after="20"/>
            </w:pPr>
            <w:r>
              <w:rPr>
                <w:rFonts w:ascii="Times New Roman" w:hAnsi="Times New Roman"/>
                <w:b/>
                <w:i w:val="0"/>
                <w:sz w:val="16"/>
              </w:rPr>
              <w:t>No</w:t>
            </w:r>
          </w:p>
        </w:tc>
      </w:tr>
      <w:tr>
        <w:tc>
          <w:tcPr>
            <w:tcW w:type="dxa" w:w="1881"/>
          </w:tcPr>
          <w:p>
            <w:pPr>
              <w:spacing w:line="240" w:lineRule="auto" w:after="20"/>
            </w:pPr>
            <w:r>
              <w:rPr>
                <w:rFonts w:ascii="Times New Roman" w:hAnsi="Times New Roman"/>
                <w:b w:val="0"/>
                <w:i w:val="0"/>
                <w:sz w:val="16"/>
              </w:rPr>
              <w:t>9</w:t>
            </w:r>
          </w:p>
        </w:tc>
        <w:tc>
          <w:tcPr>
            <w:tcW w:type="dxa" w:w="1881"/>
          </w:tcPr>
          <w:p>
            <w:pPr>
              <w:spacing w:line="240" w:lineRule="auto" w:after="20"/>
            </w:pPr>
            <w:r>
              <w:rPr>
                <w:rFonts w:ascii="Times New Roman" w:hAnsi="Times New Roman"/>
                <w:b w:val="0"/>
                <w:i w:val="0"/>
                <w:sz w:val="16"/>
              </w:rPr>
              <w:t>Interaction term</w:t>
            </w:r>
          </w:p>
        </w:tc>
        <w:tc>
          <w:tcPr>
            <w:tcW w:type="dxa" w:w="1881"/>
          </w:tcPr>
          <w:p>
            <w:pPr>
              <w:spacing w:line="240" w:lineRule="auto" w:after="20"/>
            </w:pPr>
            <w:r>
              <w:rPr>
                <w:rFonts w:ascii="Times New Roman" w:hAnsi="Times New Roman"/>
                <w:b w:val="0"/>
                <w:i w:val="0"/>
                <w:sz w:val="16"/>
              </w:rPr>
              <w:t>Genotype × treatment reported</w:t>
            </w:r>
          </w:p>
        </w:tc>
        <w:tc>
          <w:tcPr>
            <w:tcW w:type="dxa" w:w="1881"/>
          </w:tcPr>
          <w:p>
            <w:pPr>
              <w:spacing w:line="240" w:lineRule="auto" w:after="20"/>
            </w:pPr>
            <w:r>
              <w:rPr>
                <w:rFonts w:ascii="Times New Roman" w:hAnsi="Times New Roman"/>
                <w:b w:val="0"/>
                <w:i w:val="0"/>
                <w:sz w:val="16"/>
              </w:rPr>
              <w:t>Separates stress tolerance from general vigour</w:t>
            </w:r>
          </w:p>
        </w:tc>
        <w:tc>
          <w:tcPr>
            <w:tcW w:type="dxa" w:w="1881"/>
          </w:tcPr>
          <w:p>
            <w:pPr>
              <w:spacing w:line="240" w:lineRule="auto" w:after="20"/>
            </w:pPr>
            <w:r>
              <w:rPr>
                <w:rFonts w:ascii="Times New Roman" w:hAnsi="Times New Roman"/>
                <w:b/>
                <w:i w:val="0"/>
                <w:sz w:val="16"/>
              </w:rPr>
              <w:t>No</w:t>
            </w:r>
          </w:p>
        </w:tc>
      </w:tr>
      <w:tr>
        <w:tc>
          <w:tcPr>
            <w:tcW w:type="dxa" w:w="1881"/>
          </w:tcPr>
          <w:p>
            <w:pPr>
              <w:spacing w:line="240" w:lineRule="auto" w:after="20"/>
            </w:pPr>
            <w:r>
              <w:rPr>
                <w:rFonts w:ascii="Times New Roman" w:hAnsi="Times New Roman"/>
                <w:b w:val="0"/>
                <w:i w:val="0"/>
                <w:sz w:val="16"/>
              </w:rPr>
              <w:t>10</w:t>
            </w:r>
          </w:p>
        </w:tc>
        <w:tc>
          <w:tcPr>
            <w:tcW w:type="dxa" w:w="1881"/>
          </w:tcPr>
          <w:p>
            <w:pPr>
              <w:spacing w:line="240" w:lineRule="auto" w:after="20"/>
            </w:pPr>
            <w:r>
              <w:rPr>
                <w:rFonts w:ascii="Times New Roman" w:hAnsi="Times New Roman"/>
                <w:b w:val="0"/>
                <w:i w:val="0"/>
                <w:sz w:val="16"/>
              </w:rPr>
              <w:t>Indices</w:t>
            </w:r>
          </w:p>
        </w:tc>
        <w:tc>
          <w:tcPr>
            <w:tcW w:type="dxa" w:w="1881"/>
          </w:tcPr>
          <w:p>
            <w:pPr>
              <w:spacing w:line="240" w:lineRule="auto" w:after="20"/>
            </w:pPr>
            <w:r>
              <w:rPr>
                <w:rFonts w:ascii="Times New Roman" w:hAnsi="Times New Roman"/>
                <w:b w:val="0"/>
                <w:i w:val="0"/>
                <w:sz w:val="16"/>
              </w:rPr>
              <w:t>≥1 productivity-oriented and ≥1 susceptibility-oriented, with justification</w:t>
            </w:r>
          </w:p>
        </w:tc>
        <w:tc>
          <w:tcPr>
            <w:tcW w:type="dxa" w:w="1881"/>
          </w:tcPr>
          <w:p>
            <w:pPr>
              <w:spacing w:line="240" w:lineRule="auto" w:after="20"/>
            </w:pPr>
            <w:r>
              <w:rPr>
                <w:rFonts w:ascii="Times New Roman" w:hAnsi="Times New Roman"/>
                <w:b w:val="0"/>
                <w:i w:val="0"/>
                <w:sz w:val="16"/>
              </w:rPr>
              <w:t>Index choice determines genotype ranking</w:t>
            </w:r>
          </w:p>
        </w:tc>
        <w:tc>
          <w:tcPr>
            <w:tcW w:type="dxa" w:w="1881"/>
          </w:tcPr>
          <w:p>
            <w:pPr>
              <w:spacing w:line="240" w:lineRule="auto" w:after="20"/>
            </w:pPr>
            <w:r>
              <w:rPr>
                <w:rFonts w:ascii="Times New Roman" w:hAnsi="Times New Roman"/>
                <w:b/>
                <w:i w:val="0"/>
                <w:sz w:val="16"/>
              </w:rPr>
              <w:t>No</w:t>
            </w:r>
          </w:p>
        </w:tc>
      </w:tr>
      <w:tr>
        <w:tc>
          <w:tcPr>
            <w:tcW w:type="dxa" w:w="1881"/>
          </w:tcPr>
          <w:p>
            <w:pPr>
              <w:spacing w:line="240" w:lineRule="auto" w:after="20"/>
            </w:pPr>
            <w:r>
              <w:rPr>
                <w:rFonts w:ascii="Times New Roman" w:hAnsi="Times New Roman"/>
                <w:b w:val="0"/>
                <w:i w:val="0"/>
                <w:sz w:val="16"/>
              </w:rPr>
              <w:t>11</w:t>
            </w:r>
          </w:p>
        </w:tc>
        <w:tc>
          <w:tcPr>
            <w:tcW w:type="dxa" w:w="1881"/>
          </w:tcPr>
          <w:p>
            <w:pPr>
              <w:spacing w:line="240" w:lineRule="auto" w:after="20"/>
            </w:pPr>
            <w:r>
              <w:rPr>
                <w:rFonts w:ascii="Times New Roman" w:hAnsi="Times New Roman"/>
                <w:b w:val="0"/>
                <w:i w:val="0"/>
                <w:sz w:val="16"/>
              </w:rPr>
              <w:t>Selection range</w:t>
            </w:r>
          </w:p>
        </w:tc>
        <w:tc>
          <w:tcPr>
            <w:tcW w:type="dxa" w:w="1881"/>
          </w:tcPr>
          <w:p>
            <w:pPr>
              <w:spacing w:line="240" w:lineRule="auto" w:after="20"/>
            </w:pPr>
            <w:r>
              <w:rPr>
                <w:rFonts w:ascii="Times New Roman" w:hAnsi="Times New Roman"/>
                <w:b w:val="0"/>
                <w:i w:val="0"/>
                <w:sz w:val="16"/>
              </w:rPr>
              <w:t>Spectrum retained, not extremes only</w:t>
            </w:r>
          </w:p>
        </w:tc>
        <w:tc>
          <w:tcPr>
            <w:tcW w:type="dxa" w:w="1881"/>
          </w:tcPr>
          <w:p>
            <w:pPr>
              <w:spacing w:line="240" w:lineRule="auto" w:after="20"/>
            </w:pPr>
            <w:r>
              <w:rPr>
                <w:rFonts w:ascii="Times New Roman" w:hAnsi="Times New Roman"/>
                <w:b w:val="0"/>
                <w:i w:val="0"/>
                <w:sz w:val="16"/>
              </w:rPr>
              <w:t>Selecting extremes truncates the predictor and attenuates later correlation</w:t>
            </w:r>
          </w:p>
        </w:tc>
        <w:tc>
          <w:tcPr>
            <w:tcW w:type="dxa" w:w="1881"/>
          </w:tcPr>
          <w:p>
            <w:pPr>
              <w:spacing w:line="240" w:lineRule="auto" w:after="20"/>
            </w:pPr>
            <w:r>
              <w:rPr>
                <w:rFonts w:ascii="Times New Roman" w:hAnsi="Times New Roman"/>
                <w:b w:val="0"/>
                <w:i w:val="0"/>
                <w:sz w:val="16"/>
              </w:rPr>
              <w:t>Design</w:t>
            </w:r>
          </w:p>
        </w:tc>
      </w:tr>
      <w:tr>
        <w:tc>
          <w:tcPr>
            <w:tcW w:type="dxa" w:w="1881"/>
          </w:tcPr>
          <w:p>
            <w:pPr>
              <w:spacing w:line="240" w:lineRule="auto" w:after="20"/>
            </w:pPr>
            <w:r>
              <w:rPr>
                <w:rFonts w:ascii="Times New Roman" w:hAnsi="Times New Roman"/>
                <w:b w:val="0"/>
                <w:i w:val="0"/>
                <w:sz w:val="16"/>
              </w:rPr>
              <w:t>12</w:t>
            </w:r>
          </w:p>
        </w:tc>
        <w:tc>
          <w:tcPr>
            <w:tcW w:type="dxa" w:w="1881"/>
          </w:tcPr>
          <w:p>
            <w:pPr>
              <w:spacing w:line="240" w:lineRule="auto" w:after="20"/>
            </w:pPr>
            <w:r>
              <w:rPr>
                <w:rFonts w:ascii="Times New Roman" w:hAnsi="Times New Roman"/>
                <w:b w:val="0"/>
                <w:i w:val="0"/>
                <w:sz w:val="16"/>
              </w:rPr>
              <w:t>Correlation reporting</w:t>
            </w:r>
          </w:p>
        </w:tc>
        <w:tc>
          <w:tcPr>
            <w:tcW w:type="dxa" w:w="1881"/>
          </w:tcPr>
          <w:p>
            <w:pPr>
              <w:spacing w:line="240" w:lineRule="auto" w:after="20"/>
            </w:pPr>
            <w:r>
              <w:rPr>
                <w:rFonts w:ascii="Times New Roman" w:hAnsi="Times New Roman"/>
                <w:b w:val="0"/>
                <w:i w:val="0"/>
                <w:sz w:val="16"/>
              </w:rPr>
              <w:t>Internal and cross-stage correlations reported separately</w:t>
            </w:r>
          </w:p>
        </w:tc>
        <w:tc>
          <w:tcPr>
            <w:tcW w:type="dxa" w:w="1881"/>
          </w:tcPr>
          <w:p>
            <w:pPr>
              <w:spacing w:line="240" w:lineRule="auto" w:after="20"/>
            </w:pPr>
            <w:r>
              <w:rPr>
                <w:rFonts w:ascii="Times New Roman" w:hAnsi="Times New Roman"/>
                <w:b w:val="0"/>
                <w:i w:val="0"/>
                <w:sz w:val="16"/>
              </w:rPr>
              <w:t>Internal concordance is not evidence of transfer</w:t>
            </w:r>
          </w:p>
        </w:tc>
        <w:tc>
          <w:tcPr>
            <w:tcW w:type="dxa" w:w="1881"/>
          </w:tcPr>
          <w:p>
            <w:pPr>
              <w:spacing w:line="240" w:lineRule="auto" w:after="20"/>
            </w:pPr>
            <w:r>
              <w:rPr>
                <w:rFonts w:ascii="Times New Roman" w:hAnsi="Times New Roman"/>
                <w:b/>
                <w:i w:val="0"/>
                <w:sz w:val="16"/>
              </w:rPr>
              <w:t>No</w:t>
            </w:r>
          </w:p>
        </w:tc>
      </w:tr>
      <w:tr>
        <w:tc>
          <w:tcPr>
            <w:tcW w:type="dxa" w:w="1881"/>
          </w:tcPr>
          <w:p>
            <w:pPr>
              <w:spacing w:line="240" w:lineRule="auto" w:after="20"/>
            </w:pPr>
            <w:r>
              <w:rPr>
                <w:rFonts w:ascii="Times New Roman" w:hAnsi="Times New Roman"/>
                <w:b w:val="0"/>
                <w:i w:val="0"/>
                <w:sz w:val="16"/>
              </w:rPr>
              <w:t>13</w:t>
            </w:r>
          </w:p>
        </w:tc>
        <w:tc>
          <w:tcPr>
            <w:tcW w:type="dxa" w:w="1881"/>
          </w:tcPr>
          <w:p>
            <w:pPr>
              <w:spacing w:line="240" w:lineRule="auto" w:after="20"/>
            </w:pPr>
            <w:r>
              <w:rPr>
                <w:rFonts w:ascii="Times New Roman" w:hAnsi="Times New Roman"/>
                <w:b w:val="0"/>
                <w:i w:val="0"/>
                <w:sz w:val="16"/>
              </w:rPr>
              <w:t>Field validation</w:t>
            </w:r>
          </w:p>
        </w:tc>
        <w:tc>
          <w:tcPr>
            <w:tcW w:type="dxa" w:w="1881"/>
          </w:tcPr>
          <w:p>
            <w:pPr>
              <w:spacing w:line="240" w:lineRule="auto" w:after="20"/>
            </w:pPr>
            <w:r>
              <w:rPr>
                <w:rFonts w:ascii="Times New Roman" w:hAnsi="Times New Roman"/>
                <w:b w:val="0"/>
                <w:i w:val="0"/>
                <w:sz w:val="16"/>
              </w:rPr>
              <w:t>Multi-season, managed drought</w:t>
            </w:r>
          </w:p>
        </w:tc>
        <w:tc>
          <w:tcPr>
            <w:tcW w:type="dxa" w:w="1881"/>
          </w:tcPr>
          <w:p>
            <w:pPr>
              <w:spacing w:line="240" w:lineRule="auto" w:after="20"/>
            </w:pPr>
            <w:r>
              <w:rPr>
                <w:rFonts w:ascii="Times New Roman" w:hAnsi="Times New Roman"/>
                <w:b w:val="0"/>
                <w:i w:val="0"/>
                <w:sz w:val="16"/>
              </w:rPr>
              <w:t>The only test of predictive value</w:t>
            </w:r>
          </w:p>
        </w:tc>
        <w:tc>
          <w:tcPr>
            <w:tcW w:type="dxa" w:w="1881"/>
          </w:tcPr>
          <w:p>
            <w:pPr>
              <w:spacing w:line="240" w:lineRule="auto" w:after="20"/>
            </w:pPr>
            <w:r>
              <w:rPr>
                <w:rFonts w:ascii="Times New Roman" w:hAnsi="Times New Roman"/>
                <w:b w:val="0"/>
                <w:i w:val="0"/>
                <w:sz w:val="16"/>
              </w:rPr>
              <w:t>Field season</w:t>
            </w:r>
          </w:p>
        </w:tc>
      </w:tr>
      <w:tr>
        <w:tc>
          <w:tcPr>
            <w:tcW w:type="dxa" w:w="1881"/>
          </w:tcPr>
          <w:p>
            <w:pPr>
              <w:spacing w:line="240" w:lineRule="auto" w:after="20"/>
            </w:pPr>
            <w:r>
              <w:rPr>
                <w:rFonts w:ascii="Times New Roman" w:hAnsi="Times New Roman"/>
                <w:b w:val="0"/>
                <w:i w:val="0"/>
                <w:sz w:val="16"/>
              </w:rPr>
              <w:t>14</w:t>
            </w:r>
          </w:p>
        </w:tc>
        <w:tc>
          <w:tcPr>
            <w:tcW w:type="dxa" w:w="1881"/>
          </w:tcPr>
          <w:p>
            <w:pPr>
              <w:spacing w:line="240" w:lineRule="auto" w:after="20"/>
            </w:pPr>
            <w:r>
              <w:rPr>
                <w:rFonts w:ascii="Times New Roman" w:hAnsi="Times New Roman"/>
                <w:b w:val="0"/>
                <w:i w:val="0"/>
                <w:sz w:val="16"/>
              </w:rPr>
              <w:t>Concordance rate</w:t>
            </w:r>
          </w:p>
        </w:tc>
        <w:tc>
          <w:tcPr>
            <w:tcW w:type="dxa" w:w="1881"/>
          </w:tcPr>
          <w:p>
            <w:pPr>
              <w:spacing w:line="240" w:lineRule="auto" w:after="20"/>
            </w:pPr>
            <w:r>
              <w:rPr>
                <w:rFonts w:ascii="Times New Roman" w:hAnsi="Times New Roman"/>
                <w:b w:val="0"/>
                <w:i w:val="0"/>
                <w:sz w:val="16"/>
              </w:rPr>
              <w:t>Reported wherever a screen feeds a breeding programme</w:t>
            </w:r>
          </w:p>
        </w:tc>
        <w:tc>
          <w:tcPr>
            <w:tcW w:type="dxa" w:w="1881"/>
          </w:tcPr>
          <w:p>
            <w:pPr>
              <w:spacing w:line="240" w:lineRule="auto" w:after="20"/>
            </w:pPr>
            <w:r>
              <w:rPr>
                <w:rFonts w:ascii="Times New Roman" w:hAnsi="Times New Roman"/>
                <w:b w:val="0"/>
                <w:i w:val="0"/>
                <w:sz w:val="16"/>
              </w:rPr>
              <w:t>Genotype overlap, not trait correlation, is the quantity that matters</w:t>
            </w:r>
          </w:p>
        </w:tc>
        <w:tc>
          <w:tcPr>
            <w:tcW w:type="dxa" w:w="1881"/>
          </w:tcPr>
          <w:p>
            <w:pPr>
              <w:spacing w:line="240" w:lineRule="auto" w:after="20"/>
            </w:pPr>
            <w:r>
              <w:rPr>
                <w:rFonts w:ascii="Times New Roman" w:hAnsi="Times New Roman"/>
                <w:b/>
                <w:i w:val="0"/>
                <w:sz w:val="16"/>
              </w:rPr>
              <w:t>No — reporting only</w:t>
            </w:r>
          </w:p>
        </w:tc>
      </w:tr>
      <w:tr>
        <w:tc>
          <w:tcPr>
            <w:tcW w:type="dxa" w:w="1881"/>
          </w:tcPr>
          <w:p>
            <w:pPr>
              <w:spacing w:line="240" w:lineRule="auto" w:after="20"/>
            </w:pPr>
            <w:r>
              <w:rPr>
                <w:rFonts w:ascii="Times New Roman" w:hAnsi="Times New Roman"/>
                <w:b w:val="0"/>
                <w:i w:val="0"/>
                <w:sz w:val="16"/>
              </w:rPr>
              <w:t>15</w:t>
            </w:r>
          </w:p>
        </w:tc>
        <w:tc>
          <w:tcPr>
            <w:tcW w:type="dxa" w:w="1881"/>
          </w:tcPr>
          <w:p>
            <w:pPr>
              <w:spacing w:line="240" w:lineRule="auto" w:after="20"/>
            </w:pPr>
            <w:r>
              <w:rPr>
                <w:rFonts w:ascii="Times New Roman" w:hAnsi="Times New Roman"/>
                <w:b w:val="0"/>
                <w:i w:val="0"/>
                <w:sz w:val="16"/>
              </w:rPr>
              <w:t>Terminology</w:t>
            </w:r>
          </w:p>
        </w:tc>
        <w:tc>
          <w:tcPr>
            <w:tcW w:type="dxa" w:w="1881"/>
          </w:tcPr>
          <w:p>
            <w:pPr>
              <w:spacing w:line="240" w:lineRule="auto" w:after="20"/>
            </w:pPr>
            <w:r>
              <w:rPr>
                <w:rFonts w:ascii="Times New Roman" w:hAnsi="Times New Roman"/>
                <w:b w:val="0"/>
                <w:i w:val="0"/>
                <w:sz w:val="16"/>
              </w:rPr>
              <w:t>"Osmotic stress induced by PEG," not "drought"</w:t>
            </w:r>
          </w:p>
        </w:tc>
        <w:tc>
          <w:tcPr>
            <w:tcW w:type="dxa" w:w="1881"/>
          </w:tcPr>
          <w:p>
            <w:pPr>
              <w:spacing w:line="240" w:lineRule="auto" w:after="20"/>
            </w:pPr>
            <w:r>
              <w:rPr>
                <w:rFonts w:ascii="Times New Roman" w:hAnsi="Times New Roman"/>
                <w:b w:val="0"/>
                <w:i w:val="0"/>
                <w:sz w:val="16"/>
              </w:rPr>
              <w:t>The treatment does not simulate drought</w:t>
            </w:r>
          </w:p>
        </w:tc>
        <w:tc>
          <w:tcPr>
            <w:tcW w:type="dxa" w:w="1881"/>
          </w:tcPr>
          <w:p>
            <w:pPr>
              <w:spacing w:line="240" w:lineRule="auto" w:after="20"/>
            </w:pPr>
            <w:r>
              <w:rPr>
                <w:rFonts w:ascii="Times New Roman" w:hAnsi="Times New Roman"/>
                <w:b/>
                <w:i w:val="0"/>
                <w:sz w:val="16"/>
              </w:rPr>
              <w:t>No</w:t>
            </w:r>
          </w:p>
        </w:tc>
      </w:tr>
    </w:tbl>
    <w:p/>
    <w:p>
      <w:pPr>
        <w:spacing w:before="240" w:after="80"/>
      </w:pPr>
      <w:r>
        <w:rPr>
          <w:rFonts w:ascii="Times New Roman" w:hAnsi="Times New Roman"/>
          <w:b/>
          <w:sz w:val="24"/>
        </w:rPr>
        <w:t>7.5 What adoption would change</w:t>
      </w:r>
    </w:p>
    <w:p>
      <w:pPr>
        <w:spacing w:before="0"/>
        <w:jc w:val="both"/>
      </w:pPr>
      <w:r>
        <w:rPr>
          <w:rFonts w:ascii="Times New Roman" w:hAnsi="Times New Roman"/>
          <w:b w:val="0"/>
          <w:i w:val="0"/>
          <w:sz w:val="24"/>
        </w:rPr>
        <w:t>The standard is deliberately undemanding. Items 6, 8, 9, 10, 12 and 15 are reporting or analysis choices requiring no additional experiment, material or field season. Items 1, 2, 3, 7 and 11 are design choices within existing budgets, with genotype-specific concentration determination the only one requiring a preliminary experiment and optional where resources are constrained.</w:t>
      </w:r>
    </w:p>
    <w:p>
      <w:pPr>
        <w:spacing w:before="0"/>
        <w:jc w:val="both"/>
      </w:pPr>
      <w:r>
        <w:rPr>
          <w:rFonts w:ascii="Times New Roman" w:hAnsi="Times New Roman"/>
          <w:b w:val="0"/>
          <w:i w:val="0"/>
          <w:sz w:val="24"/>
        </w:rPr>
        <w:t>The substantive change would be item 14. If screening studies routinely reported the proportion of their selected genotypes that proved superior in field evaluation, the question this review identifies as unresolved would be answered within a few publication cycles using data that screening programmes already generate. The information exists; it is not reported in a form that permits synthesis.</w:t>
      </w:r>
    </w:p>
    <w:p>
      <w:pPr>
        <w:spacing w:before="0"/>
        <w:jc w:val="both"/>
      </w:pPr>
      <w:r>
        <w:rPr>
          <w:rFonts w:ascii="Times New Roman" w:hAnsi="Times New Roman"/>
          <w:b/>
          <w:i w:val="0"/>
          <w:sz w:val="24"/>
        </w:rPr>
        <w:t>Table 8</w:t>
      </w:r>
      <w:r>
        <w:rPr>
          <w:rFonts w:ascii="Times New Roman" w:hAnsi="Times New Roman"/>
          <w:b w:val="0"/>
          <w:i w:val="0"/>
          <w:sz w:val="24"/>
        </w:rPr>
        <w:t xml:space="preserve"> — Minimum reporting standard.</w:t>
        <w:br/>
      </w:r>
      <w:r>
        <w:rPr>
          <w:rFonts w:ascii="Times New Roman" w:hAnsi="Times New Roman"/>
          <w:b/>
          <w:i w:val="0"/>
          <w:sz w:val="24"/>
        </w:rPr>
        <w:t>Figure 1</w:t>
      </w:r>
      <w:r>
        <w:rPr>
          <w:rFonts w:ascii="Times New Roman" w:hAnsi="Times New Roman"/>
          <w:b w:val="0"/>
          <w:i w:val="0"/>
          <w:sz w:val="24"/>
        </w:rPr>
        <w:t xml:space="preserve"> — The proposed framework with decision points at each stage.</w:t>
      </w:r>
    </w:p>
    <w:p>
      <w:pPr>
        <w:spacing w:before="240" w:after="80"/>
      </w:pPr>
      <w:r>
        <w:rPr>
          <w:rFonts w:ascii="Times New Roman" w:hAnsi="Times New Roman"/>
          <w:b/>
          <w:sz w:val="24"/>
        </w:rPr>
        <w:t>8. **RESOLVE THE BARLEY CONTRADICTION.** TWO RECENT, LARGE STUDIES REACH OPPOSITE CONCLUSIONS ABOUT WHETHER DROUGHT TOLERANCE IS CONSISTENT ACROSS DEVELOPMENTAL STAGES. THE DISAGREEMENT IS TRACTABLE: IT MAY LIE IN POPULATION, PEG CONCENTRATION, STRESS TIMING OR THE TRAITS SCORED. REANALYSING BOTH DATASETS TOGETHER WOULD SETTLE IT MORE EFFICIENTLY THAN A FURTHER INDEPENDENT SCREEN, AND THE OUTCOME WOULD DETERMINE HOW MUCH WEIGHT THE WIDER SCREENING LITERATURE CAN BEAR.</w:t>
      </w:r>
    </w:p>
    <w:p>
      <w:pPr>
        <w:spacing w:before="0"/>
        <w:jc w:val="both"/>
      </w:pPr>
      <w:r>
        <w:rPr>
          <w:rFonts w:ascii="Times New Roman" w:hAnsi="Times New Roman"/>
          <w:b/>
          <w:i w:val="0"/>
          <w:sz w:val="24"/>
        </w:rPr>
        <w:t>Establish dose–response rather than single-point rankings.</w:t>
      </w:r>
      <w:r>
        <w:rPr>
          <w:rFonts w:ascii="Times New Roman" w:hAnsi="Times New Roman"/>
          <w:b w:val="0"/>
          <w:i w:val="0"/>
          <w:sz w:val="24"/>
        </w:rPr>
        <w:t xml:space="preserve"> Correlations between seedling traits and yield were significant at 15% PEG and non-significant at 20%, and most tomato genotypes fail to germinate above −0.35 MPa. The informative range appears to be narrow and genotype-dependent. Characterising it explicitly would improve discrimination and prevent the floor effects that currently afflict severe treatments.</w:t>
      </w:r>
    </w:p>
    <w:p>
      <w:pPr>
        <w:spacing w:before="0"/>
        <w:jc w:val="both"/>
      </w:pPr>
      <w:r>
        <w:rPr>
          <w:rFonts w:ascii="Times New Roman" w:hAnsi="Times New Roman"/>
          <w:b/>
          <w:i w:val="0"/>
          <w:sz w:val="24"/>
        </w:rPr>
        <w:t>Test the concordance rate systematically.</w:t>
      </w:r>
      <w:r>
        <w:rPr>
          <w:rFonts w:ascii="Times New Roman" w:hAnsi="Times New Roman"/>
          <w:b w:val="0"/>
          <w:i w:val="0"/>
          <w:sz w:val="24"/>
        </w:rPr>
        <w:t xml:space="preserve"> The quantity that determines the value of a screening programme is the proportion of screen-selected genotypes that prove superior in the field. It is almost never reported. A coordinated effort to publish field evaluation of screened material alongside the screens would answer the central question without requiring new methodology.</w:t>
      </w:r>
    </w:p>
    <w:p>
      <w:pPr>
        <w:spacing w:before="0"/>
        <w:jc w:val="both"/>
      </w:pPr>
      <w:r>
        <w:rPr>
          <w:rFonts w:ascii="Times New Roman" w:hAnsi="Times New Roman"/>
          <w:b/>
          <w:i w:val="0"/>
          <w:sz w:val="24"/>
        </w:rPr>
        <w:t>Close the *Capsicum* specific gap.</w:t>
      </w:r>
      <w:r>
        <w:rPr>
          <w:rFonts w:ascii="Times New Roman" w:hAnsi="Times New Roman"/>
          <w:b w:val="0"/>
          <w:i w:val="0"/>
          <w:sz w:val="24"/>
        </w:rPr>
        <w:t xml:space="preserve"> The transfer question has been tested in tomato, potato and cereals, but not in pepper. A single multi-season study correlating germination-stage indices against field drought performance in </w:t>
      </w:r>
      <w:r>
        <w:rPr>
          <w:rFonts w:ascii="Times New Roman" w:hAnsi="Times New Roman"/>
          <w:b w:val="0"/>
          <w:i/>
          <w:sz w:val="24"/>
        </w:rPr>
        <w:t>Capsicum</w:t>
      </w:r>
      <w:r>
        <w:rPr>
          <w:rFonts w:ascii="Times New Roman" w:hAnsi="Times New Roman"/>
          <w:b w:val="0"/>
          <w:i w:val="0"/>
          <w:sz w:val="24"/>
        </w:rPr>
        <w:t xml:space="preserve"> would be the most valuable missing experiment in this literature.</w:t>
      </w:r>
    </w:p>
    <w:p>
      <w:pPr>
        <w:spacing w:before="0"/>
        <w:jc w:val="both"/>
      </w:pPr>
      <w:r>
        <w:rPr>
          <w:rFonts w:ascii="Times New Roman" w:hAnsi="Times New Roman"/>
          <w:b/>
          <w:i w:val="0"/>
          <w:sz w:val="24"/>
        </w:rPr>
        <w:t>Include wild relatives in pepper screening panels.</w:t>
      </w:r>
      <w:r>
        <w:rPr>
          <w:rFonts w:ascii="Times New Roman" w:hAnsi="Times New Roman"/>
          <w:b w:val="0"/>
          <w:i w:val="0"/>
          <w:sz w:val="24"/>
        </w:rPr>
        <w:t xml:space="preserve"> Eggplant screening routinely includes </w:t>
      </w:r>
      <w:r>
        <w:rPr>
          <w:rFonts w:ascii="Times New Roman" w:hAnsi="Times New Roman"/>
          <w:b w:val="0"/>
          <w:i/>
          <w:sz w:val="24"/>
        </w:rPr>
        <w:t>S. torvum</w:t>
      </w:r>
      <w:r>
        <w:rPr>
          <w:rFonts w:ascii="Times New Roman" w:hAnsi="Times New Roman"/>
          <w:b w:val="0"/>
          <w:i w:val="0"/>
          <w:sz w:val="24"/>
        </w:rPr>
        <w:t xml:space="preserve">, </w:t>
      </w:r>
      <w:r>
        <w:rPr>
          <w:rFonts w:ascii="Times New Roman" w:hAnsi="Times New Roman"/>
          <w:b w:val="0"/>
          <w:i/>
          <w:sz w:val="24"/>
        </w:rPr>
        <w:t>S. viarum</w:t>
      </w:r>
      <w:r>
        <w:rPr>
          <w:rFonts w:ascii="Times New Roman" w:hAnsi="Times New Roman"/>
          <w:b w:val="0"/>
          <w:i w:val="0"/>
          <w:sz w:val="24"/>
        </w:rPr>
        <w:t xml:space="preserve">, </w:t>
      </w:r>
      <w:r>
        <w:rPr>
          <w:rFonts w:ascii="Times New Roman" w:hAnsi="Times New Roman"/>
          <w:b w:val="0"/>
          <w:i/>
          <w:sz w:val="24"/>
        </w:rPr>
        <w:t>S. violaceum</w:t>
      </w:r>
      <w:r>
        <w:rPr>
          <w:rFonts w:ascii="Times New Roman" w:hAnsi="Times New Roman"/>
          <w:b w:val="0"/>
          <w:i w:val="0"/>
          <w:sz w:val="24"/>
        </w:rPr>
        <w:t xml:space="preserve"> and </w:t>
      </w:r>
      <w:r>
        <w:rPr>
          <w:rFonts w:ascii="Times New Roman" w:hAnsi="Times New Roman"/>
          <w:b w:val="0"/>
          <w:i/>
          <w:sz w:val="24"/>
        </w:rPr>
        <w:t>S. aethiopicum</w:t>
      </w:r>
      <w:r>
        <w:rPr>
          <w:rFonts w:ascii="Times New Roman" w:hAnsi="Times New Roman"/>
          <w:b w:val="0"/>
          <w:i w:val="0"/>
          <w:sz w:val="24"/>
        </w:rPr>
        <w:t xml:space="preserve">, and identifies them as more tolerant than cultivated material. Pepper's pan-genome shows that </w:t>
      </w:r>
      <w:r>
        <w:rPr>
          <w:rFonts w:ascii="Times New Roman" w:hAnsi="Times New Roman"/>
          <w:b w:val="0"/>
          <w:i/>
          <w:sz w:val="24"/>
        </w:rPr>
        <w:t>C. baccatum</w:t>
      </w:r>
      <w:r>
        <w:rPr>
          <w:rFonts w:ascii="Times New Roman" w:hAnsi="Times New Roman"/>
          <w:b w:val="0"/>
          <w:i w:val="0"/>
          <w:sz w:val="24"/>
        </w:rPr>
        <w:t xml:space="preserve"> introgressions carry abiotic stress tolerance genes. Screening panels confined to cultivars may be excluding the tolerance they are searching for.</w:t>
      </w:r>
    </w:p>
    <w:p>
      <w:pPr>
        <w:spacing w:before="0"/>
        <w:jc w:val="both"/>
      </w:pPr>
      <w:r>
        <w:rPr>
          <w:rFonts w:ascii="Times New Roman" w:hAnsi="Times New Roman"/>
          <w:b/>
          <w:i w:val="0"/>
          <w:sz w:val="24"/>
        </w:rPr>
        <w:t>Compare osmotica directly in a Solanaceae crop.</w:t>
      </w:r>
      <w:r>
        <w:rPr>
          <w:rFonts w:ascii="Times New Roman" w:hAnsi="Times New Roman"/>
          <w:b w:val="0"/>
          <w:i w:val="0"/>
          <w:sz w:val="24"/>
        </w:rPr>
        <w:t xml:space="preserve"> The ranking of PEG against mannitol is unresolved, with studies in different species reaching opposite conclusions. A direct comparison in a single crop, on the same genotypes, using both germination and physiological endpoints, would clarify whether the widespread use of PEG carries a systematic bias.</w:t>
      </w:r>
    </w:p>
    <w:p>
      <w:pPr>
        <w:spacing w:before="0"/>
        <w:jc w:val="both"/>
      </w:pPr>
      <w:r>
        <w:rPr>
          <w:rFonts w:ascii="Times New Roman" w:hAnsi="Times New Roman"/>
          <w:b/>
          <w:i w:val="0"/>
          <w:sz w:val="24"/>
        </w:rPr>
        <w:t>Adopt tissue-culture-free validation.</w:t>
      </w:r>
      <w:r>
        <w:rPr>
          <w:rFonts w:ascii="Times New Roman" w:hAnsi="Times New Roman"/>
          <w:b w:val="0"/>
          <w:i w:val="0"/>
          <w:sz w:val="24"/>
        </w:rPr>
        <w:t xml:space="preserve"> Virus-induced gene silencing and heritable virus-induced gene editing are established in pepper. Their adoption by laboratories conducting screening work would allow candidate genes to be tested in the crop rather than in </w:t>
      </w:r>
      <w:r>
        <w:rPr>
          <w:rFonts w:ascii="Times New Roman" w:hAnsi="Times New Roman"/>
          <w:b w:val="0"/>
          <w:i/>
          <w:sz w:val="24"/>
        </w:rPr>
        <w:t>Arabidopsis</w:t>
      </w:r>
      <w:r>
        <w:rPr>
          <w:rFonts w:ascii="Times New Roman" w:hAnsi="Times New Roman"/>
          <w:b w:val="0"/>
          <w:i w:val="0"/>
          <w:sz w:val="24"/>
        </w:rPr>
        <w:t>, raising the evidence from association toward causation.</w:t>
      </w:r>
    </w:p>
    <w:p>
      <w:pPr>
        <w:spacing w:before="240" w:after="80"/>
      </w:pPr>
      <w:r>
        <w:rPr>
          <w:rFonts w:ascii="Times New Roman" w:hAnsi="Times New Roman"/>
          <w:b/>
          <w:sz w:val="24"/>
        </w:rPr>
        <w:t>9. EARLY-STAGE OSMOTIC SCREENING WITH PEG IS THE MOST WIDELY USED METHOD FOR IDENTIFYING DROUGHT-TOLERANT GENOTYPES IN THE SOLANACEAE. IT IS INEXPENSIVE, REQUIRES NO FIELD SEASON, AND HAS PRODUCED TOLERANT GERMPLASM IN CHILLI, TOMATO AND EGGPLANT. ITS OUTPUTS, HOWEVER, ARE MORE HEAVILY CONDITIONED THAN THE LITERATURE GENERALLY ACKNOWLEDGES. THE TREATMENT DOES NOT SIMULATE DROUGHT; THE ASSUMPTION THAT PEG DOES NOT ENTER PLANT TISSUE IS CONTRADICTED BY MEASUREMENT IN PEPPER ITSELF; AND THE STATISTICAL TREATMENT APPLIED TO GERMINATION DATA FAILS PRECISELY IN THE BOUNDARY CONDITIONS THAT DROUGHT SCREENING CREATES. MOST CONSEQUENTIALLY, WHETHER GERMINATION-STAGE RANKINGS PREDICT FIELD PERFORMANCE AT THE STAGE WHERE YIELD IS DETERMINED REMAINS UNRESOLVED — SUPPORTED BY FOUR STUDIES, CONTRADICTED BY FOUR, AND UNTESTED IN *CAPSICUM*.</w:t>
      </w:r>
    </w:p>
    <w:p>
      <w:pPr>
        <w:spacing w:before="0"/>
        <w:jc w:val="both"/>
      </w:pPr>
      <w:r>
        <w:rPr>
          <w:rFonts w:ascii="Times New Roman" w:hAnsi="Times New Roman"/>
          <w:b w:val="0"/>
          <w:i w:val="0"/>
          <w:sz w:val="24"/>
        </w:rPr>
        <w:t>None of these findings requires the method to be abandoned. Each has a cheap remedy, and six of the fifteen items in the proposed reporting standard require no additional experiment at all. The single substantive change — reporting the proportion of screen-selected genotypes that prove superior in the field — would answer the central question using data that screening programmes already produce. The screening literature has generated the material and the infrastructure. What it has not yet generated is the reporting convention that would let its results accumulate.</w:t>
      </w:r>
    </w:p>
    <w:p>
      <w:pPr>
        <w:spacing w:before="240" w:after="80"/>
      </w:pPr>
      <w:r>
        <w:rPr>
          <w:rFonts w:ascii="Times New Roman" w:hAnsi="Times New Roman"/>
          <w:b/>
          <w:sz w:val="24"/>
        </w:rPr>
        <w:t>DECLARATIONS</w:t>
      </w:r>
    </w:p>
    <w:p>
      <w:pPr>
        <w:spacing w:before="0"/>
        <w:jc w:val="both"/>
      </w:pPr>
      <w:r>
        <w:rPr>
          <w:rFonts w:ascii="Times New Roman" w:hAnsi="Times New Roman"/>
          <w:b/>
          <w:i w:val="0"/>
          <w:sz w:val="24"/>
        </w:rPr>
        <w:t>CRediT authorship contribution statement.</w:t>
      </w:r>
      <w:r>
        <w:rPr>
          <w:rFonts w:ascii="Times New Roman" w:hAnsi="Times New Roman"/>
          <w:b w:val="0"/>
          <w:i w:val="0"/>
          <w:sz w:val="24"/>
        </w:rPr>
        <w:t xml:space="preserve"> The Author: Conceptualization, Investigation, Methodology, Visualization, Writing – original draft, Writing – review and editing.</w:t>
      </w:r>
    </w:p>
    <w:p>
      <w:pPr>
        <w:spacing w:before="0"/>
        <w:jc w:val="both"/>
      </w:pPr>
      <w:r>
        <w:rPr>
          <w:rFonts w:ascii="Times New Roman" w:hAnsi="Times New Roman"/>
          <w:b/>
          <w:i w:val="0"/>
          <w:sz w:val="24"/>
        </w:rPr>
        <w:t>Declaration of competing interest.</w:t>
      </w:r>
      <w:r>
        <w:rPr>
          <w:rFonts w:ascii="Times New Roman" w:hAnsi="Times New Roman"/>
          <w:b w:val="0"/>
          <w:i w:val="0"/>
          <w:sz w:val="24"/>
        </w:rPr>
        <w:t xml:space="preserve"> The author declares no known competing financial interests or personal relationships that could have appeared to influence the work reported in this paper.</w:t>
      </w:r>
    </w:p>
    <w:p>
      <w:pPr>
        <w:spacing w:before="0"/>
        <w:jc w:val="both"/>
      </w:pPr>
      <w:r>
        <w:rPr>
          <w:rFonts w:ascii="Times New Roman" w:hAnsi="Times New Roman"/>
          <w:b/>
          <w:i w:val="0"/>
          <w:sz w:val="24"/>
        </w:rPr>
        <w:t>Acknowledgments.</w:t>
      </w:r>
      <w:r>
        <w:rPr>
          <w:rFonts w:ascii="Times New Roman" w:hAnsi="Times New Roman"/>
          <w:b w:val="0"/>
          <w:i w:val="0"/>
          <w:sz w:val="24"/>
        </w:rPr>
        <w:t xml:space="preserve"> [Acknowledge any individuals or institutions that provided support, advice or assistance. Delete this item if there are none.]</w:t>
      </w:r>
    </w:p>
    <w:p>
      <w:pPr>
        <w:spacing w:before="0"/>
        <w:jc w:val="both"/>
      </w:pPr>
      <w:r>
        <w:rPr>
          <w:rFonts w:ascii="Times New Roman" w:hAnsi="Times New Roman"/>
          <w:b/>
          <w:i w:val="0"/>
          <w:sz w:val="24"/>
        </w:rPr>
        <w:t>Funding.</w:t>
      </w:r>
      <w:r>
        <w:rPr>
          <w:rFonts w:ascii="Times New Roman" w:hAnsi="Times New Roman"/>
          <w:b w:val="0"/>
          <w:i w:val="0"/>
          <w:sz w:val="24"/>
        </w:rPr>
        <w:t xml:space="preserve"> This research received no specific grant from any funding agency in the public, commercial or not-for-profit sectors. [Amend if this is not correct.]</w:t>
      </w:r>
    </w:p>
    <w:p>
      <w:pPr>
        <w:spacing w:before="0"/>
        <w:jc w:val="both"/>
      </w:pPr>
      <w:r>
        <w:rPr>
          <w:rFonts w:ascii="Times New Roman" w:hAnsi="Times New Roman"/>
          <w:b/>
          <w:i w:val="0"/>
          <w:sz w:val="24"/>
        </w:rPr>
        <w:t>Data availability.</w:t>
      </w:r>
      <w:r>
        <w:rPr>
          <w:rFonts w:ascii="Times New Roman" w:hAnsi="Times New Roman"/>
          <w:b w:val="0"/>
          <w:i w:val="0"/>
          <w:sz w:val="24"/>
        </w:rPr>
        <w:t xml:space="preserve"> This review analysed only previously published literature. No new data were generated or analysed for this study.</w:t>
      </w:r>
    </w:p>
    <w:p>
      <w:pPr>
        <w:spacing w:before="0"/>
        <w:jc w:val="both"/>
      </w:pPr>
      <w:r>
        <w:rPr>
          <w:rFonts w:ascii="Times New Roman" w:hAnsi="Times New Roman"/>
          <w:b/>
          <w:i w:val="0"/>
          <w:sz w:val="24"/>
        </w:rPr>
        <w:t>Generative AI disclosure.</w:t>
      </w:r>
      <w:r>
        <w:rPr>
          <w:rFonts w:ascii="Times New Roman" w:hAnsi="Times New Roman"/>
          <w:b w:val="0"/>
          <w:i w:val="0"/>
          <w:sz w:val="24"/>
        </w:rPr>
        <w:t xml:space="preserve"> During the preparation of this work the author used [TOOL NAME, VERSION, PROVIDER] to assist with literature synthesis, drafting and language editing. The author set the scope and framing, verified every cited source against primary records and publisher metadata, drew the figures from published equations and reported data, and reviewed and edited all content, and takes full responsibility for the content of the publication.</w:t>
      </w:r>
    </w:p>
    <w:p>
      <w:pPr>
        <w:spacing w:before="240" w:after="80"/>
      </w:pPr>
      <w:r>
        <w:rPr>
          <w:rFonts w:ascii="Times New Roman" w:hAnsi="Times New Roman"/>
          <w:b/>
          <w:sz w:val="24"/>
        </w:rPr>
        <w:t>REFERENCES</w:t>
      </w:r>
    </w:p>
    <w:p>
      <w:pPr>
        <w:spacing w:before="0"/>
        <w:jc w:val="both"/>
      </w:pPr>
      <w:r>
        <w:rPr>
          <w:rFonts w:ascii="Times New Roman" w:hAnsi="Times New Roman"/>
          <w:b w:val="0"/>
          <w:i w:val="0"/>
          <w:sz w:val="22"/>
        </w:rPr>
        <w:t>Basavaraj, P.S., Rane, J., Jangid, K.K., Babar, R., Kumar, M., Gangurde, A., Shinde, S., Boraiah, K.M., Harisha, C.B., Halli, H.M., Reddy, K.S. and Prabhakar, M. (2025). Index-based selection of chickpea (</w:t>
      </w:r>
      <w:r>
        <w:rPr>
          <w:rFonts w:ascii="Times New Roman" w:hAnsi="Times New Roman"/>
          <w:b w:val="0"/>
          <w:i/>
          <w:sz w:val="22"/>
        </w:rPr>
        <w:t>Cicer arietinum</w:t>
      </w:r>
      <w:r>
        <w:rPr>
          <w:rFonts w:ascii="Times New Roman" w:hAnsi="Times New Roman"/>
          <w:b w:val="0"/>
          <w:i w:val="0"/>
          <w:sz w:val="22"/>
        </w:rPr>
        <w:t xml:space="preserve"> L.) genotypes for enhanced drought tolerance. </w:t>
      </w:r>
      <w:r>
        <w:rPr>
          <w:rFonts w:ascii="Times New Roman" w:hAnsi="Times New Roman"/>
          <w:b w:val="0"/>
          <w:i/>
          <w:sz w:val="22"/>
        </w:rPr>
        <w:t>Scientific Reports</w:t>
      </w:r>
      <w:r>
        <w:rPr>
          <w:rFonts w:ascii="Times New Roman" w:hAnsi="Times New Roman"/>
          <w:b w:val="0"/>
          <w:i w:val="0"/>
          <w:sz w:val="22"/>
        </w:rPr>
        <w:t>, 15(1). doi:10.1038/s41598-025-93273-1</w:t>
      </w:r>
    </w:p>
    <w:p>
      <w:pPr>
        <w:spacing w:before="0"/>
        <w:jc w:val="both"/>
      </w:pPr>
      <w:r>
        <w:rPr>
          <w:rFonts w:ascii="Times New Roman" w:hAnsi="Times New Roman"/>
          <w:b w:val="0"/>
          <w:i w:val="0"/>
          <w:sz w:val="22"/>
        </w:rPr>
        <w:t xml:space="preserve">Muzafarov, N., Kapustian, M., Ponurenko, S., Kemešytė, V. and Kolomatska, V. (2026). Integrated assessment of drought tolerance indices in maize genotype selection. </w:t>
      </w:r>
      <w:r>
        <w:rPr>
          <w:rFonts w:ascii="Times New Roman" w:hAnsi="Times New Roman"/>
          <w:b w:val="0"/>
          <w:i/>
          <w:sz w:val="22"/>
        </w:rPr>
        <w:t>Agronomy</w:t>
      </w:r>
      <w:r>
        <w:rPr>
          <w:rFonts w:ascii="Times New Roman" w:hAnsi="Times New Roman"/>
          <w:b w:val="0"/>
          <w:i w:val="0"/>
          <w:sz w:val="22"/>
        </w:rPr>
        <w:t>, 16(15), 1457. doi:10.3390/agronomy16151457</w:t>
      </w:r>
    </w:p>
    <w:p>
      <w:pPr>
        <w:spacing w:before="0"/>
        <w:jc w:val="both"/>
      </w:pPr>
      <w:r>
        <w:rPr>
          <w:rFonts w:ascii="Times New Roman" w:hAnsi="Times New Roman"/>
          <w:b w:val="0"/>
          <w:i w:val="0"/>
          <w:sz w:val="22"/>
        </w:rPr>
        <w:t xml:space="preserve">Sileshi, G.W. (2012). A critique of current trends in the statistical analysis of seed germination and viability data. </w:t>
      </w:r>
      <w:r>
        <w:rPr>
          <w:rFonts w:ascii="Times New Roman" w:hAnsi="Times New Roman"/>
          <w:b w:val="0"/>
          <w:i/>
          <w:sz w:val="22"/>
        </w:rPr>
        <w:t>Seed Science Research</w:t>
      </w:r>
      <w:r>
        <w:rPr>
          <w:rFonts w:ascii="Times New Roman" w:hAnsi="Times New Roman"/>
          <w:b w:val="0"/>
          <w:i w:val="0"/>
          <w:sz w:val="22"/>
        </w:rPr>
        <w:t>, 22(3), 145–159. doi:10.1017/S0960258512000025</w:t>
      </w:r>
    </w:p>
    <w:p>
      <w:pPr>
        <w:spacing w:before="0"/>
        <w:jc w:val="both"/>
      </w:pPr>
      <w:r>
        <w:rPr>
          <w:rFonts w:ascii="Times New Roman" w:hAnsi="Times New Roman"/>
          <w:b w:val="0"/>
          <w:i w:val="0"/>
          <w:sz w:val="22"/>
        </w:rPr>
        <w:t xml:space="preserve">Warton, D.I. and Hui, F.K.C. (2011). The arcsine is asinine: the analysis of proportions in ecology. </w:t>
      </w:r>
      <w:r>
        <w:rPr>
          <w:rFonts w:ascii="Times New Roman" w:hAnsi="Times New Roman"/>
          <w:b w:val="0"/>
          <w:i/>
          <w:sz w:val="22"/>
        </w:rPr>
        <w:t>Ecology</w:t>
      </w:r>
      <w:r>
        <w:rPr>
          <w:rFonts w:ascii="Times New Roman" w:hAnsi="Times New Roman"/>
          <w:b w:val="0"/>
          <w:i w:val="0"/>
          <w:sz w:val="22"/>
        </w:rPr>
        <w:t>, 92(1), 3–10. doi:10.1890/10-0340.1</w:t>
      </w:r>
    </w:p>
    <w:p>
      <w:pPr>
        <w:spacing w:before="0"/>
        <w:jc w:val="both"/>
      </w:pPr>
      <w:r>
        <w:rPr>
          <w:rFonts w:ascii="Times New Roman" w:hAnsi="Times New Roman"/>
          <w:b w:val="0"/>
          <w:i w:val="0"/>
          <w:sz w:val="22"/>
        </w:rPr>
        <w:t xml:space="preserve">Bouslama, M. and Schapaugh, W.T. (1984). Stress tolerance in soybeans. I. Evaluation of three screening techniques for heat and drought tolerance. </w:t>
      </w:r>
      <w:r>
        <w:rPr>
          <w:rFonts w:ascii="Times New Roman" w:hAnsi="Times New Roman"/>
          <w:b w:val="0"/>
          <w:i/>
          <w:sz w:val="22"/>
        </w:rPr>
        <w:t>Crop Science</w:t>
      </w:r>
      <w:r>
        <w:rPr>
          <w:rFonts w:ascii="Times New Roman" w:hAnsi="Times New Roman"/>
          <w:b w:val="0"/>
          <w:i w:val="0"/>
          <w:sz w:val="22"/>
        </w:rPr>
        <w:t>, 24(5), 933–937. doi:10.2135/cropsci1984.0011183x002400050026x</w:t>
      </w:r>
    </w:p>
    <w:p>
      <w:pPr>
        <w:spacing w:before="0"/>
        <w:jc w:val="both"/>
      </w:pPr>
      <w:r>
        <w:rPr>
          <w:rFonts w:ascii="Times New Roman" w:hAnsi="Times New Roman"/>
          <w:b w:val="0"/>
          <w:i w:val="0"/>
          <w:sz w:val="22"/>
        </w:rPr>
        <w:t xml:space="preserve">Fischer, R.A. and Maurer, R. (1978). Drought resistance in spring wheat cultivars. I. Grain yield responses. </w:t>
      </w:r>
      <w:r>
        <w:rPr>
          <w:rFonts w:ascii="Times New Roman" w:hAnsi="Times New Roman"/>
          <w:b w:val="0"/>
          <w:i/>
          <w:sz w:val="22"/>
        </w:rPr>
        <w:t>Australian Journal of Agricultural Research</w:t>
      </w:r>
      <w:r>
        <w:rPr>
          <w:rFonts w:ascii="Times New Roman" w:hAnsi="Times New Roman"/>
          <w:b w:val="0"/>
          <w:i w:val="0"/>
          <w:sz w:val="22"/>
        </w:rPr>
        <w:t>, 29(5), 897–912. doi:10.1071/ar9780897</w:t>
      </w:r>
    </w:p>
    <w:p>
      <w:pPr>
        <w:spacing w:before="0"/>
        <w:jc w:val="both"/>
      </w:pPr>
      <w:r>
        <w:rPr>
          <w:rFonts w:ascii="Times New Roman" w:hAnsi="Times New Roman"/>
          <w:b w:val="0"/>
          <w:i w:val="0"/>
          <w:sz w:val="22"/>
        </w:rPr>
        <w:t xml:space="preserve">Rosielle, A.A. and Hamblin, J. (1981). Theoretical aspects of selection for yield in stress and non-stress environments. </w:t>
      </w:r>
      <w:r>
        <w:rPr>
          <w:rFonts w:ascii="Times New Roman" w:hAnsi="Times New Roman"/>
          <w:b w:val="0"/>
          <w:i/>
          <w:sz w:val="22"/>
        </w:rPr>
        <w:t>Crop Science</w:t>
      </w:r>
      <w:r>
        <w:rPr>
          <w:rFonts w:ascii="Times New Roman" w:hAnsi="Times New Roman"/>
          <w:b w:val="0"/>
          <w:i w:val="0"/>
          <w:sz w:val="22"/>
        </w:rPr>
        <w:t>, 21(6), 943–946. doi:10.2135/cropsci1981.0011183x002100060033x</w:t>
      </w:r>
    </w:p>
    <w:p>
      <w:pPr>
        <w:spacing w:before="0"/>
        <w:jc w:val="both"/>
      </w:pPr>
      <w:r>
        <w:rPr>
          <w:rFonts w:ascii="Times New Roman" w:hAnsi="Times New Roman"/>
          <w:b w:val="0"/>
          <w:i w:val="0"/>
          <w:sz w:val="22"/>
        </w:rPr>
        <w:t xml:space="preserve">Fan, S. and Blake, T.J. (1997). Comparison of polyethylene glycol 3350 induced osmotic stress and soil drying for drought simulation in three woody species. </w:t>
      </w:r>
      <w:r>
        <w:rPr>
          <w:rFonts w:ascii="Times New Roman" w:hAnsi="Times New Roman"/>
          <w:b w:val="0"/>
          <w:i/>
          <w:sz w:val="22"/>
        </w:rPr>
        <w:t>Trees</w:t>
      </w:r>
      <w:r>
        <w:rPr>
          <w:rFonts w:ascii="Times New Roman" w:hAnsi="Times New Roman"/>
          <w:b w:val="0"/>
          <w:i w:val="0"/>
          <w:sz w:val="22"/>
        </w:rPr>
        <w:t>, 11(6), 342. doi:10.1007/s004680050094</w:t>
      </w:r>
    </w:p>
    <w:p>
      <w:pPr>
        <w:spacing w:before="0"/>
        <w:jc w:val="both"/>
      </w:pPr>
      <w:r>
        <w:rPr>
          <w:rFonts w:ascii="Times New Roman" w:hAnsi="Times New Roman"/>
          <w:b w:val="0"/>
          <w:i w:val="0"/>
          <w:sz w:val="22"/>
        </w:rPr>
        <w:t xml:space="preserve">Janes, B.E. (1974). The effect of molecular size, concentration in nutrient solution, and exposure time on the amount and distribution of polyethylene glycol in pepper plants. </w:t>
      </w:r>
      <w:r>
        <w:rPr>
          <w:rFonts w:ascii="Times New Roman" w:hAnsi="Times New Roman"/>
          <w:b w:val="0"/>
          <w:i/>
          <w:sz w:val="22"/>
        </w:rPr>
        <w:t>Plant Physiology</w:t>
      </w:r>
      <w:r>
        <w:rPr>
          <w:rFonts w:ascii="Times New Roman" w:hAnsi="Times New Roman"/>
          <w:b w:val="0"/>
          <w:i w:val="0"/>
          <w:sz w:val="22"/>
        </w:rPr>
        <w:t>, 54(3), 226–230. doi:10.1104/pp.54.3.226</w:t>
      </w:r>
    </w:p>
    <w:p>
      <w:pPr>
        <w:spacing w:before="0"/>
        <w:jc w:val="both"/>
      </w:pPr>
      <w:r>
        <w:rPr>
          <w:rFonts w:ascii="Times New Roman" w:hAnsi="Times New Roman"/>
          <w:b w:val="0"/>
          <w:i w:val="0"/>
          <w:sz w:val="22"/>
        </w:rPr>
        <w:t xml:space="preserve">Kylyshbayeva, G., Bishimbayeva, N., Jatayev, S., Eliby, S. and Shavrukov, Y. (2025). Polyethylene glycol (PEG) application triggers plant dehydration but does not accurately simulate drought. </w:t>
      </w:r>
      <w:r>
        <w:rPr>
          <w:rFonts w:ascii="Times New Roman" w:hAnsi="Times New Roman"/>
          <w:b w:val="0"/>
          <w:i/>
          <w:sz w:val="22"/>
        </w:rPr>
        <w:t>Plants</w:t>
      </w:r>
      <w:r>
        <w:rPr>
          <w:rFonts w:ascii="Times New Roman" w:hAnsi="Times New Roman"/>
          <w:b w:val="0"/>
          <w:i w:val="0"/>
          <w:sz w:val="22"/>
        </w:rPr>
        <w:t>, 14(1), 92. doi:10.3390/plants14010092</w:t>
      </w:r>
    </w:p>
    <w:p>
      <w:pPr>
        <w:spacing w:before="0"/>
        <w:jc w:val="both"/>
      </w:pPr>
      <w:r>
        <w:rPr>
          <w:rFonts w:ascii="Times New Roman" w:hAnsi="Times New Roman"/>
          <w:b w:val="0"/>
          <w:i w:val="0"/>
          <w:sz w:val="22"/>
        </w:rPr>
        <w:t xml:space="preserve">Lagerwerff, J.V., Ogata, G. and Eagle, H.E. (1961). Control of osmotic pressure of culture solutions with polyethylene glycol. </w:t>
      </w:r>
      <w:r>
        <w:rPr>
          <w:rFonts w:ascii="Times New Roman" w:hAnsi="Times New Roman"/>
          <w:b w:val="0"/>
          <w:i/>
          <w:sz w:val="22"/>
        </w:rPr>
        <w:t>Science</w:t>
      </w:r>
      <w:r>
        <w:rPr>
          <w:rFonts w:ascii="Times New Roman" w:hAnsi="Times New Roman"/>
          <w:b w:val="0"/>
          <w:i w:val="0"/>
          <w:sz w:val="22"/>
        </w:rPr>
        <w:t>, 133(3463), 1486–1487. doi:10.1126/science.133.3463.1486</w:t>
      </w:r>
    </w:p>
    <w:p>
      <w:pPr>
        <w:spacing w:before="0"/>
        <w:jc w:val="both"/>
      </w:pPr>
      <w:r>
        <w:rPr>
          <w:rFonts w:ascii="Times New Roman" w:hAnsi="Times New Roman"/>
          <w:b w:val="0"/>
          <w:i w:val="0"/>
          <w:sz w:val="22"/>
        </w:rPr>
        <w:t xml:space="preserve">Lawlor, D.W. (1970). Absorption of polyethylene glycols by plants and their effects on plant growth. </w:t>
      </w:r>
      <w:r>
        <w:rPr>
          <w:rFonts w:ascii="Times New Roman" w:hAnsi="Times New Roman"/>
          <w:b w:val="0"/>
          <w:i/>
          <w:sz w:val="22"/>
        </w:rPr>
        <w:t>New Phytologist</w:t>
      </w:r>
      <w:r>
        <w:rPr>
          <w:rFonts w:ascii="Times New Roman" w:hAnsi="Times New Roman"/>
          <w:b w:val="0"/>
          <w:i w:val="0"/>
          <w:sz w:val="22"/>
        </w:rPr>
        <w:t>, 69(2), 501–513. doi:10.1111/j.1469-8137.1970.tb02446.x</w:t>
      </w:r>
    </w:p>
    <w:p>
      <w:pPr>
        <w:spacing w:before="0"/>
        <w:jc w:val="both"/>
      </w:pPr>
      <w:r>
        <w:rPr>
          <w:rFonts w:ascii="Times New Roman" w:hAnsi="Times New Roman"/>
          <w:b w:val="0"/>
          <w:i w:val="0"/>
          <w:sz w:val="22"/>
        </w:rPr>
        <w:t xml:space="preserve">McClendon, J.H. (1981). The osmotic pressure of concentrated solutions of polyethylene glycol 6000, and its variation with temperature. </w:t>
      </w:r>
      <w:r>
        <w:rPr>
          <w:rFonts w:ascii="Times New Roman" w:hAnsi="Times New Roman"/>
          <w:b w:val="0"/>
          <w:i/>
          <w:sz w:val="22"/>
        </w:rPr>
        <w:t>Journal of Experimental Botany</w:t>
      </w:r>
      <w:r>
        <w:rPr>
          <w:rFonts w:ascii="Times New Roman" w:hAnsi="Times New Roman"/>
          <w:b w:val="0"/>
          <w:i w:val="0"/>
          <w:sz w:val="22"/>
        </w:rPr>
        <w:t>, 32(4), 861–866. doi:10.1093/jxb/32.4.861</w:t>
      </w:r>
    </w:p>
    <w:p>
      <w:pPr>
        <w:spacing w:before="0"/>
        <w:jc w:val="both"/>
      </w:pPr>
      <w:r>
        <w:rPr>
          <w:rFonts w:ascii="Times New Roman" w:hAnsi="Times New Roman"/>
          <w:b w:val="0"/>
          <w:i w:val="0"/>
          <w:sz w:val="22"/>
        </w:rPr>
        <w:t xml:space="preserve">Michel, B.E. and Kaufmann, M.R. (1973). The osmotic potential of polyethylene glycol 6000. </w:t>
      </w:r>
      <w:r>
        <w:rPr>
          <w:rFonts w:ascii="Times New Roman" w:hAnsi="Times New Roman"/>
          <w:b w:val="0"/>
          <w:i/>
          <w:sz w:val="22"/>
        </w:rPr>
        <w:t>Plant Physiology</w:t>
      </w:r>
      <w:r>
        <w:rPr>
          <w:rFonts w:ascii="Times New Roman" w:hAnsi="Times New Roman"/>
          <w:b w:val="0"/>
          <w:i w:val="0"/>
          <w:sz w:val="22"/>
        </w:rPr>
        <w:t>, 51(5), 914–916. doi:10.1104/pp.51.5.914</w:t>
      </w:r>
    </w:p>
    <w:p>
      <w:pPr>
        <w:spacing w:before="0"/>
        <w:jc w:val="both"/>
      </w:pPr>
      <w:r>
        <w:rPr>
          <w:rFonts w:ascii="Times New Roman" w:hAnsi="Times New Roman"/>
          <w:b w:val="0"/>
          <w:i w:val="0"/>
          <w:sz w:val="22"/>
        </w:rPr>
        <w:t xml:space="preserve">Money, N.P. (1989). Osmotic pressure of aqueous polyethylene glycols: relationship between molecular weight and vapor pressure deficit. </w:t>
      </w:r>
      <w:r>
        <w:rPr>
          <w:rFonts w:ascii="Times New Roman" w:hAnsi="Times New Roman"/>
          <w:b w:val="0"/>
          <w:i/>
          <w:sz w:val="22"/>
        </w:rPr>
        <w:t>Plant Physiology</w:t>
      </w:r>
      <w:r>
        <w:rPr>
          <w:rFonts w:ascii="Times New Roman" w:hAnsi="Times New Roman"/>
          <w:b w:val="0"/>
          <w:i w:val="0"/>
          <w:sz w:val="22"/>
        </w:rPr>
        <w:t>, 91(2), 766–769. doi:10.1104/pp.91.2.766</w:t>
      </w:r>
    </w:p>
    <w:p>
      <w:pPr>
        <w:spacing w:before="0"/>
        <w:jc w:val="both"/>
      </w:pPr>
      <w:r>
        <w:rPr>
          <w:rFonts w:ascii="Times New Roman" w:hAnsi="Times New Roman"/>
          <w:b w:val="0"/>
          <w:i w:val="0"/>
          <w:sz w:val="22"/>
        </w:rPr>
        <w:t xml:space="preserve">Sajid, Z.A. and Aftab, F. (2022). Improvement of polyethylene glycol, sorbitol, mannitol, and sucrose-induced osmotic stress tolerance through modulation of the polyamines, proteins, and superoxide dismutase activity in potato. </w:t>
      </w:r>
      <w:r>
        <w:rPr>
          <w:rFonts w:ascii="Times New Roman" w:hAnsi="Times New Roman"/>
          <w:b w:val="0"/>
          <w:i/>
          <w:sz w:val="22"/>
        </w:rPr>
        <w:t>International Journal of Agronomy</w:t>
      </w:r>
      <w:r>
        <w:rPr>
          <w:rFonts w:ascii="Times New Roman" w:hAnsi="Times New Roman"/>
          <w:b w:val="0"/>
          <w:i w:val="0"/>
          <w:sz w:val="22"/>
        </w:rPr>
        <w:t>, 2022, 1–14. doi:10.1155/2022/5158768</w:t>
      </w:r>
    </w:p>
    <w:p>
      <w:pPr>
        <w:spacing w:before="0"/>
        <w:jc w:val="both"/>
      </w:pPr>
      <w:r>
        <w:rPr>
          <w:rFonts w:ascii="Times New Roman" w:hAnsi="Times New Roman"/>
          <w:b w:val="0"/>
          <w:i w:val="0"/>
          <w:sz w:val="22"/>
        </w:rPr>
        <w:t xml:space="preserve">Sharma, M.L. (1973). Simulation of drought and its effect on germination of five pasture species. </w:t>
      </w:r>
      <w:r>
        <w:rPr>
          <w:rFonts w:ascii="Times New Roman" w:hAnsi="Times New Roman"/>
          <w:b w:val="0"/>
          <w:i/>
          <w:sz w:val="22"/>
        </w:rPr>
        <w:t>Agronomy Journal</w:t>
      </w:r>
      <w:r>
        <w:rPr>
          <w:rFonts w:ascii="Times New Roman" w:hAnsi="Times New Roman"/>
          <w:b w:val="0"/>
          <w:i w:val="0"/>
          <w:sz w:val="22"/>
        </w:rPr>
        <w:t>, 65(6), 982–987. doi:10.2134/agronj1973.00021962006500060041x</w:t>
      </w:r>
    </w:p>
    <w:p>
      <w:pPr>
        <w:spacing w:before="0"/>
        <w:jc w:val="both"/>
      </w:pPr>
      <w:r>
        <w:rPr>
          <w:rFonts w:ascii="Times New Roman" w:hAnsi="Times New Roman"/>
          <w:b w:val="0"/>
          <w:i w:val="0"/>
          <w:sz w:val="22"/>
        </w:rPr>
        <w:t xml:space="preserve">Tajaragh, R.P., Rasouli, F., Giglou, M.T., Zahedi, S.M., Hassanpouraghdam, M.B., Aazami, M.A., Adámková, A. and Mlček, J. (2022). Morphological and physiological responses of in vitro-grown </w:t>
      </w:r>
      <w:r>
        <w:rPr>
          <w:rFonts w:ascii="Times New Roman" w:hAnsi="Times New Roman"/>
          <w:b w:val="0"/>
          <w:i/>
          <w:sz w:val="22"/>
        </w:rPr>
        <w:t>Cucurbita</w:t>
      </w:r>
      <w:r>
        <w:rPr>
          <w:rFonts w:ascii="Times New Roman" w:hAnsi="Times New Roman"/>
          <w:b w:val="0"/>
          <w:i w:val="0"/>
          <w:sz w:val="22"/>
        </w:rPr>
        <w:t xml:space="preserve"> sp. landraces seedlings under osmotic stress by mannitol and PEG. </w:t>
      </w:r>
      <w:r>
        <w:rPr>
          <w:rFonts w:ascii="Times New Roman" w:hAnsi="Times New Roman"/>
          <w:b w:val="0"/>
          <w:i/>
          <w:sz w:val="22"/>
        </w:rPr>
        <w:t>Horticulturae</w:t>
      </w:r>
      <w:r>
        <w:rPr>
          <w:rFonts w:ascii="Times New Roman" w:hAnsi="Times New Roman"/>
          <w:b w:val="0"/>
          <w:i w:val="0"/>
          <w:sz w:val="22"/>
        </w:rPr>
        <w:t>, 8(12), 1117. doi:10.3390/horticulturae8121117</w:t>
      </w:r>
    </w:p>
    <w:p>
      <w:pPr>
        <w:spacing w:before="0"/>
        <w:jc w:val="both"/>
      </w:pPr>
      <w:r>
        <w:rPr>
          <w:rFonts w:ascii="Times New Roman" w:hAnsi="Times New Roman"/>
          <w:b w:val="0"/>
          <w:i w:val="0"/>
          <w:sz w:val="22"/>
        </w:rPr>
        <w:t xml:space="preserve">Badr, A., El-Shazly, H.H., Mahdy, M., Schierenbeck, M., Helmi, R.Y., Börner, A. and Youssef, H.M. (2025). GWAS identifies novel loci linked to seedling growth traits in highly diverse barley population under drought stress. </w:t>
      </w:r>
      <w:r>
        <w:rPr>
          <w:rFonts w:ascii="Times New Roman" w:hAnsi="Times New Roman"/>
          <w:b w:val="0"/>
          <w:i/>
          <w:sz w:val="22"/>
        </w:rPr>
        <w:t>Scientific Reports</w:t>
      </w:r>
      <w:r>
        <w:rPr>
          <w:rFonts w:ascii="Times New Roman" w:hAnsi="Times New Roman"/>
          <w:b w:val="0"/>
          <w:i w:val="0"/>
          <w:sz w:val="22"/>
        </w:rPr>
        <w:t>, 15(1). doi:10.1038/s41598-025-94175-y</w:t>
      </w:r>
    </w:p>
    <w:p>
      <w:pPr>
        <w:spacing w:before="0"/>
        <w:jc w:val="both"/>
      </w:pPr>
      <w:r>
        <w:rPr>
          <w:rFonts w:ascii="Times New Roman" w:hAnsi="Times New Roman"/>
          <w:b w:val="0"/>
          <w:i w:val="0"/>
          <w:sz w:val="22"/>
        </w:rPr>
        <w:t>El-Rawy, M.A. and Hassan, M.I. (2014). A diallel analysis of drought tolerance indices at seedling stage in bread wheat (</w:t>
      </w:r>
      <w:r>
        <w:rPr>
          <w:rFonts w:ascii="Times New Roman" w:hAnsi="Times New Roman"/>
          <w:b w:val="0"/>
          <w:i/>
          <w:sz w:val="22"/>
        </w:rPr>
        <w:t>Triticum aestivum</w:t>
      </w:r>
      <w:r>
        <w:rPr>
          <w:rFonts w:ascii="Times New Roman" w:hAnsi="Times New Roman"/>
          <w:b w:val="0"/>
          <w:i w:val="0"/>
          <w:sz w:val="22"/>
        </w:rPr>
        <w:t xml:space="preserve"> L.). </w:t>
      </w:r>
      <w:r>
        <w:rPr>
          <w:rFonts w:ascii="Times New Roman" w:hAnsi="Times New Roman"/>
          <w:b w:val="0"/>
          <w:i/>
          <w:sz w:val="22"/>
        </w:rPr>
        <w:t>Plant Breeding and Biotechnology</w:t>
      </w:r>
      <w:r>
        <w:rPr>
          <w:rFonts w:ascii="Times New Roman" w:hAnsi="Times New Roman"/>
          <w:b w:val="0"/>
          <w:i w:val="0"/>
          <w:sz w:val="22"/>
        </w:rPr>
        <w:t>, 2(3), 276–288. doi:10.9787/PBB.2014.2.3.276</w:t>
      </w:r>
    </w:p>
    <w:p>
      <w:pPr>
        <w:spacing w:before="0"/>
        <w:jc w:val="both"/>
      </w:pPr>
      <w:r>
        <w:rPr>
          <w:rFonts w:ascii="Times New Roman" w:hAnsi="Times New Roman"/>
          <w:b w:val="0"/>
          <w:i w:val="0"/>
          <w:sz w:val="22"/>
        </w:rPr>
        <w:t xml:space="preserve">Köhl, K.I., Aneley, G.M. and Haas, M. (2023). Finding phenotypic biomarkers for drought tolerance in </w:t>
      </w:r>
      <w:r>
        <w:rPr>
          <w:rFonts w:ascii="Times New Roman" w:hAnsi="Times New Roman"/>
          <w:b w:val="0"/>
          <w:i/>
          <w:sz w:val="22"/>
        </w:rPr>
        <w:t>Solanum tuberosum</w:t>
      </w:r>
      <w:r>
        <w:rPr>
          <w:rFonts w:ascii="Times New Roman" w:hAnsi="Times New Roman"/>
          <w:b w:val="0"/>
          <w:i w:val="0"/>
          <w:sz w:val="22"/>
        </w:rPr>
        <w:t xml:space="preserve">. </w:t>
      </w:r>
      <w:r>
        <w:rPr>
          <w:rFonts w:ascii="Times New Roman" w:hAnsi="Times New Roman"/>
          <w:b w:val="0"/>
          <w:i/>
          <w:sz w:val="22"/>
        </w:rPr>
        <w:t>Agronomy</w:t>
      </w:r>
      <w:r>
        <w:rPr>
          <w:rFonts w:ascii="Times New Roman" w:hAnsi="Times New Roman"/>
          <w:b w:val="0"/>
          <w:i w:val="0"/>
          <w:sz w:val="22"/>
        </w:rPr>
        <w:t>, 13(6), 1457. doi:10.3390/agronomy13061457</w:t>
      </w:r>
    </w:p>
    <w:p>
      <w:pPr>
        <w:spacing w:before="0"/>
        <w:jc w:val="both"/>
      </w:pPr>
      <w:r>
        <w:rPr>
          <w:rFonts w:ascii="Times New Roman" w:hAnsi="Times New Roman"/>
          <w:b w:val="0"/>
          <w:i w:val="0"/>
          <w:sz w:val="22"/>
        </w:rPr>
        <w:t xml:space="preserve">Mohamed, E.A., Ahmed, A.A.M., Schierenbeck, M., Hussein, M.Y., Baenziger, P.S., Börner, A. and Sallam, A. (2023). Screening spring wheat genotypes for </w:t>
      </w:r>
      <w:r>
        <w:rPr>
          <w:rFonts w:ascii="Times New Roman" w:hAnsi="Times New Roman"/>
          <w:b w:val="0"/>
          <w:i/>
          <w:sz w:val="22"/>
        </w:rPr>
        <w:t>TaDreb-B1</w:t>
      </w:r>
      <w:r>
        <w:rPr>
          <w:rFonts w:ascii="Times New Roman" w:hAnsi="Times New Roman"/>
          <w:b w:val="0"/>
          <w:i w:val="0"/>
          <w:sz w:val="22"/>
        </w:rPr>
        <w:t xml:space="preserve"> and </w:t>
      </w:r>
      <w:r>
        <w:rPr>
          <w:rFonts w:ascii="Times New Roman" w:hAnsi="Times New Roman"/>
          <w:b w:val="0"/>
          <w:i/>
          <w:sz w:val="22"/>
        </w:rPr>
        <w:t>Fehw3</w:t>
      </w:r>
      <w:r>
        <w:rPr>
          <w:rFonts w:ascii="Times New Roman" w:hAnsi="Times New Roman"/>
          <w:b w:val="0"/>
          <w:i w:val="0"/>
          <w:sz w:val="22"/>
        </w:rPr>
        <w:t xml:space="preserve"> genes under severe drought stress at the germination stage using KASP technology. </w:t>
      </w:r>
      <w:r>
        <w:rPr>
          <w:rFonts w:ascii="Times New Roman" w:hAnsi="Times New Roman"/>
          <w:b w:val="0"/>
          <w:i/>
          <w:sz w:val="22"/>
        </w:rPr>
        <w:t>Genes</w:t>
      </w:r>
      <w:r>
        <w:rPr>
          <w:rFonts w:ascii="Times New Roman" w:hAnsi="Times New Roman"/>
          <w:b w:val="0"/>
          <w:i w:val="0"/>
          <w:sz w:val="22"/>
        </w:rPr>
        <w:t>, 14(2), 373. doi:10.3390/genes14020373</w:t>
      </w:r>
    </w:p>
    <w:p>
      <w:pPr>
        <w:spacing w:before="0"/>
        <w:jc w:val="both"/>
      </w:pPr>
      <w:r>
        <w:rPr>
          <w:rFonts w:ascii="Times New Roman" w:hAnsi="Times New Roman"/>
          <w:b w:val="0"/>
          <w:i w:val="0"/>
          <w:sz w:val="22"/>
        </w:rPr>
        <w:t xml:space="preserve">Pessoa, H.P., Dariva, F.D., Copati, M.G.F., de Paula, R.G., Dias, F. de O. and Gomes, C.N. (2023). Uncovering tomato candidate genes associated with drought tolerance using </w:t>
      </w:r>
      <w:r>
        <w:rPr>
          <w:rFonts w:ascii="Times New Roman" w:hAnsi="Times New Roman"/>
          <w:b w:val="0"/>
          <w:i/>
          <w:sz w:val="22"/>
        </w:rPr>
        <w:t>Solanum pennellii</w:t>
      </w:r>
      <w:r>
        <w:rPr>
          <w:rFonts w:ascii="Times New Roman" w:hAnsi="Times New Roman"/>
          <w:b w:val="0"/>
          <w:i w:val="0"/>
          <w:sz w:val="22"/>
        </w:rPr>
        <w:t xml:space="preserve"> introgression lines. </w:t>
      </w:r>
      <w:r>
        <w:rPr>
          <w:rFonts w:ascii="Times New Roman" w:hAnsi="Times New Roman"/>
          <w:b w:val="0"/>
          <w:i/>
          <w:sz w:val="22"/>
        </w:rPr>
        <w:t>PLOS ONE</w:t>
      </w:r>
      <w:r>
        <w:rPr>
          <w:rFonts w:ascii="Times New Roman" w:hAnsi="Times New Roman"/>
          <w:b w:val="0"/>
          <w:i w:val="0"/>
          <w:sz w:val="22"/>
        </w:rPr>
        <w:t>, 18(6), e0287178. doi:10.1371/journal.pone.0287178</w:t>
      </w:r>
    </w:p>
    <w:p>
      <w:pPr>
        <w:spacing w:before="0"/>
        <w:jc w:val="both"/>
      </w:pPr>
      <w:r>
        <w:rPr>
          <w:rFonts w:ascii="Times New Roman" w:hAnsi="Times New Roman"/>
          <w:b w:val="0"/>
          <w:i w:val="0"/>
          <w:sz w:val="22"/>
        </w:rPr>
        <w:t>Sallam, A., Mourad, A.M.I., Hussain, W. and Baenziger, P.S. (2018). Genetic variation in drought tolerance at seedling stage and grain yield in low rainfall environments in wheat (</w:t>
      </w:r>
      <w:r>
        <w:rPr>
          <w:rFonts w:ascii="Times New Roman" w:hAnsi="Times New Roman"/>
          <w:b w:val="0"/>
          <w:i/>
          <w:sz w:val="22"/>
        </w:rPr>
        <w:t>Triticum aestivum</w:t>
      </w:r>
      <w:r>
        <w:rPr>
          <w:rFonts w:ascii="Times New Roman" w:hAnsi="Times New Roman"/>
          <w:b w:val="0"/>
          <w:i w:val="0"/>
          <w:sz w:val="22"/>
        </w:rPr>
        <w:t xml:space="preserve"> L.). </w:t>
      </w:r>
      <w:r>
        <w:rPr>
          <w:rFonts w:ascii="Times New Roman" w:hAnsi="Times New Roman"/>
          <w:b w:val="0"/>
          <w:i/>
          <w:sz w:val="22"/>
        </w:rPr>
        <w:t>Euphytica</w:t>
      </w:r>
      <w:r>
        <w:rPr>
          <w:rFonts w:ascii="Times New Roman" w:hAnsi="Times New Roman"/>
          <w:b w:val="0"/>
          <w:i w:val="0"/>
          <w:sz w:val="22"/>
        </w:rPr>
        <w:t>, 214(9), 169. doi:10.1007/s10681-018-2245-9</w:t>
      </w:r>
    </w:p>
    <w:p>
      <w:pPr>
        <w:spacing w:before="0"/>
        <w:jc w:val="both"/>
      </w:pPr>
      <w:r>
        <w:rPr>
          <w:rFonts w:ascii="Times New Roman" w:hAnsi="Times New Roman"/>
          <w:b w:val="0"/>
          <w:i w:val="0"/>
          <w:sz w:val="22"/>
        </w:rPr>
        <w:t xml:space="preserve">Slawin, C., Ajayi, O. and Mahalingam, R. (2024). Association mapping unravels the genetic basis for drought related traits in different developmental stages of barley. </w:t>
      </w:r>
      <w:r>
        <w:rPr>
          <w:rFonts w:ascii="Times New Roman" w:hAnsi="Times New Roman"/>
          <w:b w:val="0"/>
          <w:i/>
          <w:sz w:val="22"/>
        </w:rPr>
        <w:t>Scientific Reports</w:t>
      </w:r>
      <w:r>
        <w:rPr>
          <w:rFonts w:ascii="Times New Roman" w:hAnsi="Times New Roman"/>
          <w:b w:val="0"/>
          <w:i w:val="0"/>
          <w:sz w:val="22"/>
        </w:rPr>
        <w:t>, 14(1). doi:10.1038/s41598-024-73618-y</w:t>
      </w:r>
    </w:p>
    <w:p>
      <w:pPr>
        <w:spacing w:before="0"/>
        <w:jc w:val="both"/>
      </w:pPr>
      <w:r>
        <w:rPr>
          <w:rFonts w:ascii="Times New Roman" w:hAnsi="Times New Roman"/>
          <w:b w:val="0"/>
          <w:i w:val="0"/>
          <w:sz w:val="22"/>
        </w:rPr>
        <w:t xml:space="preserve">Alnaddaf, O., Mohsen, W., Al-Tawaha, A.R., Al-Tawaha, A.R.M., Al-Rawashdeh, I.M. and Karnwal, A. (2026). Physiological responses of tomato callus and regenerated plants under PEG-induced stress during in vitro selection for drought tolerance. </w:t>
      </w:r>
      <w:r>
        <w:rPr>
          <w:rFonts w:ascii="Times New Roman" w:hAnsi="Times New Roman"/>
          <w:b w:val="0"/>
          <w:i/>
          <w:sz w:val="22"/>
        </w:rPr>
        <w:t>BMC Plant Biology</w:t>
      </w:r>
      <w:r>
        <w:rPr>
          <w:rFonts w:ascii="Times New Roman" w:hAnsi="Times New Roman"/>
          <w:b w:val="0"/>
          <w:i w:val="0"/>
          <w:sz w:val="22"/>
        </w:rPr>
        <w:t>, 26(1). doi:10.1186/s12870-026-08989-7</w:t>
      </w:r>
    </w:p>
    <w:p>
      <w:pPr>
        <w:spacing w:before="0"/>
        <w:jc w:val="both"/>
      </w:pPr>
      <w:r>
        <w:rPr>
          <w:rFonts w:ascii="Times New Roman" w:hAnsi="Times New Roman"/>
          <w:b w:val="0"/>
          <w:i w:val="0"/>
          <w:sz w:val="22"/>
        </w:rPr>
        <w:t xml:space="preserve">Anagha, P.T.K., Kutty, M.S., Pradheep, K. and Santhoshkumar, A.V. (2026). Differential response of wild and domesticated </w:t>
      </w:r>
      <w:r>
        <w:rPr>
          <w:rFonts w:ascii="Times New Roman" w:hAnsi="Times New Roman"/>
          <w:b w:val="0"/>
          <w:i/>
          <w:sz w:val="22"/>
        </w:rPr>
        <w:t>Solanum</w:t>
      </w:r>
      <w:r>
        <w:rPr>
          <w:rFonts w:ascii="Times New Roman" w:hAnsi="Times New Roman"/>
          <w:b w:val="0"/>
          <w:i w:val="0"/>
          <w:sz w:val="22"/>
        </w:rPr>
        <w:t xml:space="preserve"> genotypes to water stress. </w:t>
      </w:r>
      <w:r>
        <w:rPr>
          <w:rFonts w:ascii="Times New Roman" w:hAnsi="Times New Roman"/>
          <w:b w:val="0"/>
          <w:i/>
          <w:sz w:val="22"/>
        </w:rPr>
        <w:t>Genetic Resources and Crop Evolution</w:t>
      </w:r>
      <w:r>
        <w:rPr>
          <w:rFonts w:ascii="Times New Roman" w:hAnsi="Times New Roman"/>
          <w:b w:val="0"/>
          <w:i w:val="0"/>
          <w:sz w:val="22"/>
        </w:rPr>
        <w:t>, 73(6). doi:10.1007/s10722-026-02875-9</w:t>
      </w:r>
    </w:p>
    <w:p>
      <w:pPr>
        <w:spacing w:before="0"/>
        <w:jc w:val="both"/>
      </w:pPr>
      <w:r>
        <w:rPr>
          <w:rFonts w:ascii="Times New Roman" w:hAnsi="Times New Roman"/>
          <w:b w:val="0"/>
          <w:i w:val="0"/>
          <w:sz w:val="22"/>
        </w:rPr>
        <w:t xml:space="preserve">Kouassi, A.B., Kouassi, K.B.A., Sylla, Z., Plazas, M., Fonseka, R.M., Kouassi, A., Fonseka, H., N'guetta, A.S.-P. and Prohens, J. (2021). Genetic parameters of drought tolerance for agromorphological traits in eggplant, wild relatives, and interspecific hybrids. </w:t>
      </w:r>
      <w:r>
        <w:rPr>
          <w:rFonts w:ascii="Times New Roman" w:hAnsi="Times New Roman"/>
          <w:b w:val="0"/>
          <w:i/>
          <w:sz w:val="22"/>
        </w:rPr>
        <w:t>Crop Science</w:t>
      </w:r>
      <w:r>
        <w:rPr>
          <w:rFonts w:ascii="Times New Roman" w:hAnsi="Times New Roman"/>
          <w:b w:val="0"/>
          <w:i w:val="0"/>
          <w:sz w:val="22"/>
        </w:rPr>
        <w:t>, 61(1), 55–68. doi:10.1002/csc2.20250</w:t>
      </w:r>
    </w:p>
    <w:p>
      <w:pPr>
        <w:spacing w:before="0"/>
        <w:jc w:val="both"/>
      </w:pPr>
      <w:r>
        <w:rPr>
          <w:rFonts w:ascii="Times New Roman" w:hAnsi="Times New Roman"/>
          <w:b w:val="0"/>
          <w:i w:val="0"/>
          <w:sz w:val="22"/>
        </w:rPr>
        <w:t xml:space="preserve">Krommydas, K., Papa, E., Gaitani, P., Papadopoulou, A., Mellidou, I., Bouloumpasi, E. and Kadoglidou, K.I. (2025). Comparative drought response of </w:t>
      </w:r>
      <w:r>
        <w:rPr>
          <w:rFonts w:ascii="Times New Roman" w:hAnsi="Times New Roman"/>
          <w:b w:val="0"/>
          <w:i/>
          <w:sz w:val="22"/>
        </w:rPr>
        <w:t>Solanum melongena</w:t>
      </w:r>
      <w:r>
        <w:rPr>
          <w:rFonts w:ascii="Times New Roman" w:hAnsi="Times New Roman"/>
          <w:b w:val="0"/>
          <w:i w:val="0"/>
          <w:sz w:val="22"/>
        </w:rPr>
        <w:t xml:space="preserve">, </w:t>
      </w:r>
      <w:r>
        <w:rPr>
          <w:rFonts w:ascii="Times New Roman" w:hAnsi="Times New Roman"/>
          <w:b w:val="0"/>
          <w:i/>
          <w:sz w:val="22"/>
        </w:rPr>
        <w:t>S. macrocarpon</w:t>
      </w:r>
      <w:r>
        <w:rPr>
          <w:rFonts w:ascii="Times New Roman" w:hAnsi="Times New Roman"/>
          <w:b w:val="0"/>
          <w:i w:val="0"/>
          <w:sz w:val="22"/>
        </w:rPr>
        <w:t xml:space="preserve">, </w:t>
      </w:r>
      <w:r>
        <w:rPr>
          <w:rFonts w:ascii="Times New Roman" w:hAnsi="Times New Roman"/>
          <w:b w:val="0"/>
          <w:i/>
          <w:sz w:val="22"/>
        </w:rPr>
        <w:t>S. dasyphyllum</w:t>
      </w:r>
      <w:r>
        <w:rPr>
          <w:rFonts w:ascii="Times New Roman" w:hAnsi="Times New Roman"/>
          <w:b w:val="0"/>
          <w:i w:val="0"/>
          <w:sz w:val="22"/>
        </w:rPr>
        <w:t xml:space="preserve">, and </w:t>
      </w:r>
      <w:r>
        <w:rPr>
          <w:rFonts w:ascii="Times New Roman" w:hAnsi="Times New Roman"/>
          <w:b w:val="0"/>
          <w:i/>
          <w:sz w:val="22"/>
        </w:rPr>
        <w:t>S. melongena</w:t>
      </w:r>
      <w:r>
        <w:rPr>
          <w:rFonts w:ascii="Times New Roman" w:hAnsi="Times New Roman"/>
          <w:b w:val="0"/>
          <w:i w:val="0"/>
          <w:sz w:val="22"/>
        </w:rPr>
        <w:t xml:space="preserve"> × </w:t>
      </w:r>
      <w:r>
        <w:rPr>
          <w:rFonts w:ascii="Times New Roman" w:hAnsi="Times New Roman"/>
          <w:b w:val="0"/>
          <w:i/>
          <w:sz w:val="22"/>
        </w:rPr>
        <w:t>S. dasyphyllum</w:t>
      </w:r>
      <w:r>
        <w:rPr>
          <w:rFonts w:ascii="Times New Roman" w:hAnsi="Times New Roman"/>
          <w:b w:val="0"/>
          <w:i w:val="0"/>
          <w:sz w:val="22"/>
        </w:rPr>
        <w:t xml:space="preserve"> interspecific hybrids. </w:t>
      </w:r>
      <w:r>
        <w:rPr>
          <w:rFonts w:ascii="Times New Roman" w:hAnsi="Times New Roman"/>
          <w:b w:val="0"/>
          <w:i/>
          <w:sz w:val="22"/>
        </w:rPr>
        <w:t>Agronomy</w:t>
      </w:r>
      <w:r>
        <w:rPr>
          <w:rFonts w:ascii="Times New Roman" w:hAnsi="Times New Roman"/>
          <w:b w:val="0"/>
          <w:i w:val="0"/>
          <w:sz w:val="22"/>
        </w:rPr>
        <w:t>, 15(11), 2516. doi:10.3390/agronomy15112516</w:t>
      </w:r>
    </w:p>
    <w:p>
      <w:pPr>
        <w:spacing w:before="0"/>
        <w:jc w:val="both"/>
      </w:pPr>
      <w:r>
        <w:rPr>
          <w:rFonts w:ascii="Times New Roman" w:hAnsi="Times New Roman"/>
          <w:b w:val="0"/>
          <w:i w:val="0"/>
          <w:sz w:val="22"/>
        </w:rPr>
        <w:t xml:space="preserve">Millah, Z., Syukur, M., Sobir and Ardie, S.W. (2021). Selection traits for chili pepper drought tolerance at germination stage using polyethylene glycol 6000 and diversity among 22 chili pepper genotypes. </w:t>
      </w:r>
      <w:r>
        <w:rPr>
          <w:rFonts w:ascii="Times New Roman" w:hAnsi="Times New Roman"/>
          <w:b w:val="0"/>
          <w:i/>
          <w:sz w:val="22"/>
        </w:rPr>
        <w:t>Russian Journal of Agricultural and Socio-Economic Sciences</w:t>
      </w:r>
      <w:r>
        <w:rPr>
          <w:rFonts w:ascii="Times New Roman" w:hAnsi="Times New Roman"/>
          <w:b w:val="0"/>
          <w:i w:val="0"/>
          <w:sz w:val="22"/>
        </w:rPr>
        <w:t>, 118(10), 240–249. doi:10.18551/rjoas.2021-10.27</w:t>
      </w:r>
    </w:p>
    <w:p>
      <w:pPr>
        <w:spacing w:before="0"/>
        <w:jc w:val="both"/>
      </w:pPr>
      <w:r>
        <w:rPr>
          <w:rFonts w:ascii="Times New Roman" w:hAnsi="Times New Roman"/>
          <w:b w:val="0"/>
          <w:i w:val="0"/>
          <w:sz w:val="22"/>
        </w:rPr>
        <w:t>Okunlola, G.O., Olatunji, O.A., Akinwale, R.O., Tariq, A. and Adelusi, A.A. (2017). Physiological response of the three most cultivated pepper species (</w:t>
      </w:r>
      <w:r>
        <w:rPr>
          <w:rFonts w:ascii="Times New Roman" w:hAnsi="Times New Roman"/>
          <w:b w:val="0"/>
          <w:i/>
          <w:sz w:val="22"/>
        </w:rPr>
        <w:t>Capsicum</w:t>
      </w:r>
      <w:r>
        <w:rPr>
          <w:rFonts w:ascii="Times New Roman" w:hAnsi="Times New Roman"/>
          <w:b w:val="0"/>
          <w:i w:val="0"/>
          <w:sz w:val="22"/>
        </w:rPr>
        <w:t xml:space="preserve"> spp.) in Africa to drought stress imposed at three stages of growth and development. </w:t>
      </w:r>
      <w:r>
        <w:rPr>
          <w:rFonts w:ascii="Times New Roman" w:hAnsi="Times New Roman"/>
          <w:b w:val="0"/>
          <w:i/>
          <w:sz w:val="22"/>
        </w:rPr>
        <w:t>Scientia Horticulturae</w:t>
      </w:r>
      <w:r>
        <w:rPr>
          <w:rFonts w:ascii="Times New Roman" w:hAnsi="Times New Roman"/>
          <w:b w:val="0"/>
          <w:i w:val="0"/>
          <w:sz w:val="22"/>
        </w:rPr>
        <w:t>, 224, 198–205. doi:10.1016/j.scienta.2017.06.020</w:t>
      </w:r>
    </w:p>
    <w:p>
      <w:pPr>
        <w:spacing w:before="0"/>
        <w:jc w:val="both"/>
      </w:pPr>
      <w:r>
        <w:rPr>
          <w:rFonts w:ascii="Times New Roman" w:hAnsi="Times New Roman"/>
          <w:b w:val="0"/>
          <w:i w:val="0"/>
          <w:sz w:val="22"/>
        </w:rPr>
        <w:t>Sharma, P., Kurubar, A.R., Tembhurne, B.V. and Paatil, S. (2024). In vitro screening of chilli (</w:t>
      </w:r>
      <w:r>
        <w:rPr>
          <w:rFonts w:ascii="Times New Roman" w:hAnsi="Times New Roman"/>
          <w:b w:val="0"/>
          <w:i/>
          <w:sz w:val="22"/>
        </w:rPr>
        <w:t>Capsicum annuum</w:t>
      </w:r>
      <w:r>
        <w:rPr>
          <w:rFonts w:ascii="Times New Roman" w:hAnsi="Times New Roman"/>
          <w:b w:val="0"/>
          <w:i w:val="0"/>
          <w:sz w:val="22"/>
        </w:rPr>
        <w:t xml:space="preserve"> L.) genotypes for drought tolerance. </w:t>
      </w:r>
      <w:r>
        <w:rPr>
          <w:rFonts w:ascii="Times New Roman" w:hAnsi="Times New Roman"/>
          <w:b w:val="0"/>
          <w:i/>
          <w:sz w:val="22"/>
        </w:rPr>
        <w:t>Journal of Horticultural Sciences</w:t>
      </w:r>
      <w:r>
        <w:rPr>
          <w:rFonts w:ascii="Times New Roman" w:hAnsi="Times New Roman"/>
          <w:b w:val="0"/>
          <w:i w:val="0"/>
          <w:sz w:val="22"/>
        </w:rPr>
        <w:t>, 19(1). doi:10.24154/jhs.v19i1.1882</w:t>
      </w:r>
    </w:p>
    <w:p>
      <w:pPr>
        <w:spacing w:before="0"/>
        <w:jc w:val="both"/>
      </w:pPr>
      <w:r>
        <w:rPr>
          <w:rFonts w:ascii="Times New Roman" w:hAnsi="Times New Roman"/>
          <w:b w:val="0"/>
          <w:i w:val="0"/>
          <w:sz w:val="22"/>
        </w:rPr>
        <w:t xml:space="preserve">Thin, K.K., Lee, S. and Lee, J.M. (2026). Genetic and morpho-physiological attributes of drought resistance in </w:t>
      </w:r>
      <w:r>
        <w:rPr>
          <w:rFonts w:ascii="Times New Roman" w:hAnsi="Times New Roman"/>
          <w:b w:val="0"/>
          <w:i/>
          <w:sz w:val="22"/>
        </w:rPr>
        <w:t>Capsicum</w:t>
      </w:r>
      <w:r>
        <w:rPr>
          <w:rFonts w:ascii="Times New Roman" w:hAnsi="Times New Roman"/>
          <w:b w:val="0"/>
          <w:i w:val="0"/>
          <w:sz w:val="22"/>
        </w:rPr>
        <w:t xml:space="preserve"> accessions. </w:t>
      </w:r>
      <w:r>
        <w:rPr>
          <w:rFonts w:ascii="Times New Roman" w:hAnsi="Times New Roman"/>
          <w:b w:val="0"/>
          <w:i/>
          <w:sz w:val="22"/>
        </w:rPr>
        <w:t>Horticultural Plant Journal</w:t>
      </w:r>
      <w:r>
        <w:rPr>
          <w:rFonts w:ascii="Times New Roman" w:hAnsi="Times New Roman"/>
          <w:b w:val="0"/>
          <w:i w:val="0"/>
          <w:sz w:val="22"/>
        </w:rPr>
        <w:t>, 12(2), 402–413. doi:10.1016/j.hpj.2024.11.008</w:t>
      </w:r>
    </w:p>
    <w:p>
      <w:pPr>
        <w:spacing w:before="0"/>
        <w:jc w:val="both"/>
      </w:pPr>
      <w:r>
        <w:rPr>
          <w:rFonts w:ascii="Times New Roman" w:hAnsi="Times New Roman"/>
          <w:b w:val="0"/>
          <w:i w:val="0"/>
          <w:sz w:val="22"/>
        </w:rPr>
        <w:t xml:space="preserve">Yadav, P.K., Bhujel, P., Bhandari, N., Sharma, S. and Sharma, A. (2025). Screening tomato genotypes for early-stage drought tolerance using polyethylene glycol-induced osmotic stress. </w:t>
      </w:r>
      <w:r>
        <w:rPr>
          <w:rFonts w:ascii="Times New Roman" w:hAnsi="Times New Roman"/>
          <w:b w:val="0"/>
          <w:i/>
          <w:sz w:val="22"/>
        </w:rPr>
        <w:t>BMC Plant Biology</w:t>
      </w:r>
      <w:r>
        <w:rPr>
          <w:rFonts w:ascii="Times New Roman" w:hAnsi="Times New Roman"/>
          <w:b w:val="0"/>
          <w:i w:val="0"/>
          <w:sz w:val="22"/>
        </w:rPr>
        <w:t>, 25(1), 1476. doi:10.1186/s12870-025-07508-4</w:t>
      </w:r>
    </w:p>
    <w:p>
      <w:pPr>
        <w:spacing w:before="0"/>
        <w:jc w:val="both"/>
      </w:pPr>
      <w:r>
        <w:rPr>
          <w:rFonts w:ascii="Times New Roman" w:hAnsi="Times New Roman"/>
          <w:b w:val="0"/>
          <w:i w:val="0"/>
          <w:sz w:val="22"/>
        </w:rPr>
        <w:t>Molla, M.R., Ahmed, I., Ara, R., Hassan, L. and Rohman, M.M. (2019). Screening of chilli (</w:t>
      </w:r>
      <w:r>
        <w:rPr>
          <w:rFonts w:ascii="Times New Roman" w:hAnsi="Times New Roman"/>
          <w:b w:val="0"/>
          <w:i/>
          <w:sz w:val="22"/>
        </w:rPr>
        <w:t>Capsicum annum</w:t>
      </w:r>
      <w:r>
        <w:rPr>
          <w:rFonts w:ascii="Times New Roman" w:hAnsi="Times New Roman"/>
          <w:b w:val="0"/>
          <w:i w:val="0"/>
          <w:sz w:val="22"/>
        </w:rPr>
        <w:t xml:space="preserve"> L.) genotypes for drought tolerant at seedling emergence stage. </w:t>
      </w:r>
      <w:r>
        <w:rPr>
          <w:rFonts w:ascii="Times New Roman" w:hAnsi="Times New Roman"/>
          <w:b w:val="0"/>
          <w:i/>
          <w:sz w:val="22"/>
        </w:rPr>
        <w:t>Journal of Plant Sciences</w:t>
      </w:r>
      <w:r>
        <w:rPr>
          <w:rFonts w:ascii="Times New Roman" w:hAnsi="Times New Roman"/>
          <w:b w:val="0"/>
          <w:i w:val="0"/>
          <w:sz w:val="22"/>
        </w:rPr>
        <w:t>, 7(4), 76–85. doi:10.11648/j.jps.20190704.12</w:t>
      </w:r>
    </w:p>
    <w:p>
      <w:pPr>
        <w:spacing w:before="0"/>
        <w:jc w:val="both"/>
      </w:pPr>
      <w:r>
        <w:rPr>
          <w:rFonts w:ascii="Times New Roman" w:hAnsi="Times New Roman"/>
          <w:b w:val="0"/>
          <w:i w:val="0"/>
          <w:sz w:val="22"/>
        </w:rPr>
        <w:t xml:space="preserve">Liu, F., Zhao, J., Sun, H., Xiong, C., Sun, X., Wang, X., Wang, Z., Jarret, R., Wang, J., Tang, B., Xu, H., Hu, B., Suo, H., Yang, B., Ou, L., Li, X., Zhou, S., Yang, S., Liu, Z., Yuan, F., Pei, Z., Ma, Y., Dai, X., Wu, S., Fei, Z. and Zou, X. (2023). Genomes of cultivated and wild </w:t>
      </w:r>
      <w:r>
        <w:rPr>
          <w:rFonts w:ascii="Times New Roman" w:hAnsi="Times New Roman"/>
          <w:b w:val="0"/>
          <w:i/>
          <w:sz w:val="22"/>
        </w:rPr>
        <w:t>Capsicum</w:t>
      </w:r>
      <w:r>
        <w:rPr>
          <w:rFonts w:ascii="Times New Roman" w:hAnsi="Times New Roman"/>
          <w:b w:val="0"/>
          <w:i w:val="0"/>
          <w:sz w:val="22"/>
        </w:rPr>
        <w:t xml:space="preserve"> species provide insights into pepper domestication and population differentiation. </w:t>
      </w:r>
      <w:r>
        <w:rPr>
          <w:rFonts w:ascii="Times New Roman" w:hAnsi="Times New Roman"/>
          <w:b w:val="0"/>
          <w:i/>
          <w:sz w:val="22"/>
        </w:rPr>
        <w:t>Nature Communications</w:t>
      </w:r>
      <w:r>
        <w:rPr>
          <w:rFonts w:ascii="Times New Roman" w:hAnsi="Times New Roman"/>
          <w:b w:val="0"/>
          <w:i w:val="0"/>
          <w:sz w:val="22"/>
        </w:rPr>
        <w:t>, 14(1), 5487. doi:10.1038/s41467-023-41251-4</w:t>
      </w:r>
    </w:p>
    <w:p>
      <w:pPr>
        <w:spacing w:before="0"/>
        <w:jc w:val="both"/>
      </w:pPr>
      <w:r>
        <w:rPr>
          <w:rFonts w:ascii="Times New Roman" w:hAnsi="Times New Roman"/>
          <w:b w:val="0"/>
          <w:i w:val="0"/>
          <w:sz w:val="22"/>
        </w:rPr>
        <w:t xml:space="preserve">Ma, J., Wang, L.-y., Dai, J.-x., Wang, Y. and Lin, D. (2021). The NAC-type transcription factor </w:t>
      </w:r>
      <w:r>
        <w:rPr>
          <w:rFonts w:ascii="Times New Roman" w:hAnsi="Times New Roman"/>
          <w:b w:val="0"/>
          <w:i/>
          <w:sz w:val="22"/>
        </w:rPr>
        <w:t>CaNAC46</w:t>
      </w:r>
      <w:r>
        <w:rPr>
          <w:rFonts w:ascii="Times New Roman" w:hAnsi="Times New Roman"/>
          <w:b w:val="0"/>
          <w:i w:val="0"/>
          <w:sz w:val="22"/>
        </w:rPr>
        <w:t xml:space="preserve"> regulates the salt and drought tolerance of transgenic </w:t>
      </w:r>
      <w:r>
        <w:rPr>
          <w:rFonts w:ascii="Times New Roman" w:hAnsi="Times New Roman"/>
          <w:b w:val="0"/>
          <w:i/>
          <w:sz w:val="22"/>
        </w:rPr>
        <w:t>Arabidopsis thaliana</w:t>
      </w:r>
      <w:r>
        <w:rPr>
          <w:rFonts w:ascii="Times New Roman" w:hAnsi="Times New Roman"/>
          <w:b w:val="0"/>
          <w:i w:val="0"/>
          <w:sz w:val="22"/>
        </w:rPr>
        <w:t xml:space="preserve">. </w:t>
      </w:r>
      <w:r>
        <w:rPr>
          <w:rFonts w:ascii="Times New Roman" w:hAnsi="Times New Roman"/>
          <w:b w:val="0"/>
          <w:i/>
          <w:sz w:val="22"/>
        </w:rPr>
        <w:t>BMC Plant Biology</w:t>
      </w:r>
      <w:r>
        <w:rPr>
          <w:rFonts w:ascii="Times New Roman" w:hAnsi="Times New Roman"/>
          <w:b w:val="0"/>
          <w:i w:val="0"/>
          <w:sz w:val="22"/>
        </w:rPr>
        <w:t>, 21(1), 8. doi:10.1186/s12870-020-02764-y</w:t>
      </w:r>
    </w:p>
    <w:p>
      <w:pPr>
        <w:spacing w:before="0"/>
        <w:jc w:val="both"/>
      </w:pPr>
      <w:r>
        <w:rPr>
          <w:rFonts w:ascii="Times New Roman" w:hAnsi="Times New Roman"/>
          <w:b w:val="0"/>
          <w:i w:val="0"/>
          <w:sz w:val="22"/>
        </w:rPr>
        <w:t xml:space="preserve">Rai, A., Vatov, E., Georgieva, A.W., Bogdanova, S., Wittenberg, M.F., Anachkov, N., Tripodi, P., Todorova, V., Tringovska, I., Ganeva, D., Petrov, V., Gechev, T. and Alseekh, S. (2026). Integrated genome-wide association and quantitative trait locus mapping elucidate the genetic basis of fruit yield and quality traits in pepper under water stress. </w:t>
      </w:r>
      <w:r>
        <w:rPr>
          <w:rFonts w:ascii="Times New Roman" w:hAnsi="Times New Roman"/>
          <w:b w:val="0"/>
          <w:i/>
          <w:sz w:val="22"/>
        </w:rPr>
        <w:t>Journal of Experimental Botany</w:t>
      </w:r>
      <w:r>
        <w:rPr>
          <w:rFonts w:ascii="Times New Roman" w:hAnsi="Times New Roman"/>
          <w:b w:val="0"/>
          <w:i w:val="0"/>
          <w:sz w:val="22"/>
        </w:rPr>
        <w:t>. doi:10.1093/jxb/erag385</w:t>
      </w:r>
    </w:p>
    <w:p>
      <w:pPr>
        <w:spacing w:before="0"/>
        <w:jc w:val="both"/>
      </w:pPr>
      <w:r>
        <w:rPr>
          <w:rFonts w:ascii="Times New Roman" w:hAnsi="Times New Roman"/>
          <w:b w:val="0"/>
          <w:i w:val="0"/>
          <w:sz w:val="22"/>
        </w:rPr>
        <w:t>Sahitya, U.L., Krishna, M.S.R. and Suneetha, P. (2019). Integrated approaches to study the drought tolerance mechanism in hot pepper (</w:t>
      </w:r>
      <w:r>
        <w:rPr>
          <w:rFonts w:ascii="Times New Roman" w:hAnsi="Times New Roman"/>
          <w:b w:val="0"/>
          <w:i/>
          <w:sz w:val="22"/>
        </w:rPr>
        <w:t>Capsicum annuum</w:t>
      </w:r>
      <w:r>
        <w:rPr>
          <w:rFonts w:ascii="Times New Roman" w:hAnsi="Times New Roman"/>
          <w:b w:val="0"/>
          <w:i w:val="0"/>
          <w:sz w:val="22"/>
        </w:rPr>
        <w:t xml:space="preserve"> L.). </w:t>
      </w:r>
      <w:r>
        <w:rPr>
          <w:rFonts w:ascii="Times New Roman" w:hAnsi="Times New Roman"/>
          <w:b w:val="0"/>
          <w:i/>
          <w:sz w:val="22"/>
        </w:rPr>
        <w:t>Physiology and Molecular Biology of Plants</w:t>
      </w:r>
      <w:r>
        <w:rPr>
          <w:rFonts w:ascii="Times New Roman" w:hAnsi="Times New Roman"/>
          <w:b w:val="0"/>
          <w:i w:val="0"/>
          <w:sz w:val="22"/>
        </w:rPr>
        <w:t>, 25(3), 637–647. doi:10.1007/s12298-019-00655-7</w:t>
      </w:r>
    </w:p>
    <w:p>
      <w:pPr>
        <w:spacing w:before="0"/>
        <w:jc w:val="both"/>
      </w:pPr>
      <w:r>
        <w:rPr>
          <w:rFonts w:ascii="Times New Roman" w:hAnsi="Times New Roman"/>
          <w:b w:val="0"/>
          <w:i w:val="0"/>
          <w:sz w:val="22"/>
        </w:rPr>
        <w:t xml:space="preserve">Choi, B., Kwon, S.-J., Kim, M.-H., Choe, S., Kwak, H.-R., Kim, M.-K., Jung, C. and Seo, J.-K. (2019). A plant virus-based vector system for gene function studies in pepper. </w:t>
      </w:r>
      <w:r>
        <w:rPr>
          <w:rFonts w:ascii="Times New Roman" w:hAnsi="Times New Roman"/>
          <w:b w:val="0"/>
          <w:i/>
          <w:sz w:val="22"/>
        </w:rPr>
        <w:t>Plant Physiology</w:t>
      </w:r>
      <w:r>
        <w:rPr>
          <w:rFonts w:ascii="Times New Roman" w:hAnsi="Times New Roman"/>
          <w:b w:val="0"/>
          <w:i w:val="0"/>
          <w:sz w:val="22"/>
        </w:rPr>
        <w:t>, 181(3), 867–880. doi:10.1104/pp.19.00836</w:t>
      </w:r>
    </w:p>
    <w:p>
      <w:pPr>
        <w:spacing w:before="0"/>
        <w:jc w:val="both"/>
      </w:pPr>
      <w:r>
        <w:rPr>
          <w:rFonts w:ascii="Times New Roman" w:hAnsi="Times New Roman"/>
          <w:b w:val="0"/>
          <w:i w:val="0"/>
          <w:sz w:val="22"/>
        </w:rPr>
        <w:t>Kang, B., Lee, S., Ko, D.-h., Venkatesh, J., Kwon, J.-K., Kim, H. and Kang, B.-C. (2025). Virus-induced systemic and heritable gene editing in pepper (</w:t>
      </w:r>
      <w:r>
        <w:rPr>
          <w:rFonts w:ascii="Times New Roman" w:hAnsi="Times New Roman"/>
          <w:b w:val="0"/>
          <w:i/>
          <w:sz w:val="22"/>
        </w:rPr>
        <w:t>Capsicum annuum</w:t>
      </w:r>
      <w:r>
        <w:rPr>
          <w:rFonts w:ascii="Times New Roman" w:hAnsi="Times New Roman"/>
          <w:b w:val="0"/>
          <w:i w:val="0"/>
          <w:sz w:val="22"/>
        </w:rPr>
        <w:t xml:space="preserve"> L.). </w:t>
      </w:r>
      <w:r>
        <w:rPr>
          <w:rFonts w:ascii="Times New Roman" w:hAnsi="Times New Roman"/>
          <w:b w:val="0"/>
          <w:i/>
          <w:sz w:val="22"/>
        </w:rPr>
        <w:t>The Plant Journal</w:t>
      </w:r>
      <w:r>
        <w:rPr>
          <w:rFonts w:ascii="Times New Roman" w:hAnsi="Times New Roman"/>
          <w:b w:val="0"/>
          <w:i w:val="0"/>
          <w:sz w:val="22"/>
        </w:rPr>
        <w:t>, 122(5). doi:10.1111/tpj.70257</w:t>
      </w:r>
    </w:p>
    <w:p>
      <w:pPr>
        <w:spacing w:before="0"/>
        <w:jc w:val="both"/>
      </w:pPr>
      <w:r>
        <w:rPr>
          <w:rFonts w:ascii="Times New Roman" w:hAnsi="Times New Roman"/>
          <w:b w:val="0"/>
          <w:i w:val="0"/>
          <w:sz w:val="22"/>
        </w:rPr>
        <w:t xml:space="preserve">Liu, D., Zhao, S., Wang, J., Zhang, X., Deng, Y. and Li, F. (2024). Mutation in the </w:t>
      </w:r>
      <w:r>
        <w:rPr>
          <w:rFonts w:ascii="Times New Roman" w:hAnsi="Times New Roman"/>
          <w:b w:val="0"/>
          <w:i/>
          <w:sz w:val="22"/>
        </w:rPr>
        <w:t>Agrobacterium hisI</w:t>
      </w:r>
      <w:r>
        <w:rPr>
          <w:rFonts w:ascii="Times New Roman" w:hAnsi="Times New Roman"/>
          <w:b w:val="0"/>
          <w:i w:val="0"/>
          <w:sz w:val="22"/>
        </w:rPr>
        <w:t xml:space="preserve"> gene enhances transient expression in pepper. </w:t>
      </w:r>
      <w:r>
        <w:rPr>
          <w:rFonts w:ascii="Times New Roman" w:hAnsi="Times New Roman"/>
          <w:b w:val="0"/>
          <w:i/>
          <w:sz w:val="22"/>
        </w:rPr>
        <w:t>Horticultural Plant Journal</w:t>
      </w:r>
      <w:r>
        <w:rPr>
          <w:rFonts w:ascii="Times New Roman" w:hAnsi="Times New Roman"/>
          <w:b w:val="0"/>
          <w:i w:val="0"/>
          <w:sz w:val="22"/>
        </w:rPr>
        <w:t>, 10(3), 809–822. doi:10.1016/j.hpj.2023.07.003</w:t>
      </w:r>
    </w:p>
    <w:p>
      <w:pPr>
        <w:spacing w:before="0"/>
        <w:jc w:val="both"/>
      </w:pPr>
      <w:r>
        <w:rPr>
          <w:rFonts w:ascii="Times New Roman" w:hAnsi="Times New Roman"/>
          <w:b w:val="0"/>
          <w:i w:val="0"/>
          <w:sz w:val="22"/>
        </w:rPr>
        <w:t xml:space="preserve">Park, S.-i., Kim, H.-B., Jeon, H.-J. and Kim, H. (2021). </w:t>
      </w:r>
      <w:r>
        <w:rPr>
          <w:rFonts w:ascii="Times New Roman" w:hAnsi="Times New Roman"/>
          <w:b w:val="0"/>
          <w:i/>
          <w:sz w:val="22"/>
        </w:rPr>
        <w:t>Agrobacterium</w:t>
      </w:r>
      <w:r>
        <w:rPr>
          <w:rFonts w:ascii="Times New Roman" w:hAnsi="Times New Roman"/>
          <w:b w:val="0"/>
          <w:i w:val="0"/>
          <w:sz w:val="22"/>
        </w:rPr>
        <w:t xml:space="preserve">-mediated </w:t>
      </w:r>
      <w:r>
        <w:rPr>
          <w:rFonts w:ascii="Times New Roman" w:hAnsi="Times New Roman"/>
          <w:b w:val="0"/>
          <w:i/>
          <w:sz w:val="22"/>
        </w:rPr>
        <w:t>Capsicum annuum</w:t>
      </w:r>
      <w:r>
        <w:rPr>
          <w:rFonts w:ascii="Times New Roman" w:hAnsi="Times New Roman"/>
          <w:b w:val="0"/>
          <w:i w:val="0"/>
          <w:sz w:val="22"/>
        </w:rPr>
        <w:t xml:space="preserve"> gene editing in two cultivars, hot pepper CM334 and bell pepper Dempsey. </w:t>
      </w:r>
      <w:r>
        <w:rPr>
          <w:rFonts w:ascii="Times New Roman" w:hAnsi="Times New Roman"/>
          <w:b w:val="0"/>
          <w:i/>
          <w:sz w:val="22"/>
        </w:rPr>
        <w:t>International Journal of Molecular Sciences</w:t>
      </w:r>
      <w:r>
        <w:rPr>
          <w:rFonts w:ascii="Times New Roman" w:hAnsi="Times New Roman"/>
          <w:b w:val="0"/>
          <w:i w:val="0"/>
          <w:sz w:val="22"/>
        </w:rPr>
        <w:t>, 22(8), 3921. doi:10.3390/ijms22083921</w:t>
      </w:r>
    </w:p>
    <w:p>
      <w:pPr>
        <w:spacing w:before="0"/>
        <w:jc w:val="both"/>
      </w:pPr>
      <w:r>
        <w:rPr>
          <w:rFonts w:ascii="Times New Roman" w:hAnsi="Times New Roman"/>
          <w:b w:val="0"/>
          <w:i w:val="0"/>
          <w:sz w:val="22"/>
        </w:rPr>
        <w:t xml:space="preserve">Tang, Y., Shen, X., Deng, X., Song, Y., Zhou, Y., Lu, Y., Li, F. and Ouyang, B. (2025). Establishment of an efficient </w:t>
      </w:r>
      <w:r>
        <w:rPr>
          <w:rFonts w:ascii="Times New Roman" w:hAnsi="Times New Roman"/>
          <w:b w:val="0"/>
          <w:i/>
          <w:sz w:val="22"/>
        </w:rPr>
        <w:t>Agrobacterium</w:t>
      </w:r>
      <w:r>
        <w:rPr>
          <w:rFonts w:ascii="Times New Roman" w:hAnsi="Times New Roman"/>
          <w:b w:val="0"/>
          <w:i w:val="0"/>
          <w:sz w:val="22"/>
        </w:rPr>
        <w:t xml:space="preserve">-mediated transformation system for chilli pepper and its application in genome editing. </w:t>
      </w:r>
      <w:r>
        <w:rPr>
          <w:rFonts w:ascii="Times New Roman" w:hAnsi="Times New Roman"/>
          <w:b w:val="0"/>
          <w:i/>
          <w:sz w:val="22"/>
        </w:rPr>
        <w:t>Plant Biotechnology Journal</w:t>
      </w:r>
      <w:r>
        <w:rPr>
          <w:rFonts w:ascii="Times New Roman" w:hAnsi="Times New Roman"/>
          <w:b w:val="0"/>
          <w:i w:val="0"/>
          <w:sz w:val="22"/>
        </w:rPr>
        <w:t>, 23(11), 4752–4754. doi:10.1111/pbi.70216</w:t>
      </w:r>
    </w:p>
    <w:p>
      <w:pPr>
        <w:spacing w:before="0"/>
        <w:jc w:val="both"/>
      </w:pPr>
      <w:r>
        <w:rPr>
          <w:rFonts w:ascii="Times New Roman" w:hAnsi="Times New Roman"/>
          <w:b w:val="0"/>
          <w:i w:val="0"/>
          <w:sz w:val="22"/>
        </w:rPr>
        <w:t xml:space="preserve">Bukhari, T., Rana, R.M., Khan, A.I., Khan, M.A., Ullah, A., Naseem, M., Rizwana, H., Elshikh, M.S., Rizwan, M. and Iqbal, R. (2024). Validation of SSR markers for identification of high-yielding and </w:t>
      </w:r>
      <w:r>
        <w:rPr>
          <w:rFonts w:ascii="Times New Roman" w:hAnsi="Times New Roman"/>
          <w:b w:val="0"/>
          <w:i/>
          <w:sz w:val="22"/>
        </w:rPr>
        <w:t>Phytophthora capsici</w:t>
      </w:r>
      <w:r>
        <w:rPr>
          <w:rFonts w:ascii="Times New Roman" w:hAnsi="Times New Roman"/>
          <w:b w:val="0"/>
          <w:i w:val="0"/>
          <w:sz w:val="22"/>
        </w:rPr>
        <w:t xml:space="preserve"> root rot resistant chilli genotypes. </w:t>
      </w:r>
      <w:r>
        <w:rPr>
          <w:rFonts w:ascii="Times New Roman" w:hAnsi="Times New Roman"/>
          <w:b w:val="0"/>
          <w:i/>
          <w:sz w:val="22"/>
        </w:rPr>
        <w:t>Scientific Reports</w:t>
      </w:r>
      <w:r>
        <w:rPr>
          <w:rFonts w:ascii="Times New Roman" w:hAnsi="Times New Roman"/>
          <w:b w:val="0"/>
          <w:i w:val="0"/>
          <w:sz w:val="22"/>
        </w:rPr>
        <w:t>, 14(1). doi:10.1038/s41598-024-79718-z</w:t>
      </w:r>
    </w:p>
    <w:p>
      <w:pPr>
        <w:spacing w:before="0"/>
        <w:jc w:val="both"/>
      </w:pPr>
      <w:r>
        <w:rPr>
          <w:rFonts w:ascii="Times New Roman" w:hAnsi="Times New Roman"/>
          <w:b w:val="0"/>
          <w:i w:val="0"/>
          <w:sz w:val="22"/>
        </w:rPr>
        <w:t xml:space="preserve">Majeed, A., Johar, P., Raina, A., Salgotra, R.K., Feng, X. and Bhat, J.A. (2022). Harnessing the potential of bulk segregant analysis sequencing and its related approaches in crop breeding. </w:t>
      </w:r>
      <w:r>
        <w:rPr>
          <w:rFonts w:ascii="Times New Roman" w:hAnsi="Times New Roman"/>
          <w:b w:val="0"/>
          <w:i/>
          <w:sz w:val="22"/>
        </w:rPr>
        <w:t>Frontiers in Genetics</w:t>
      </w:r>
      <w:r>
        <w:rPr>
          <w:rFonts w:ascii="Times New Roman" w:hAnsi="Times New Roman"/>
          <w:b w:val="0"/>
          <w:i w:val="0"/>
          <w:sz w:val="22"/>
        </w:rPr>
        <w:t>, 13, 944501. doi:10.3389/fgene.2022.944501</w:t>
      </w:r>
    </w:p>
    <w:p>
      <w:pPr>
        <w:spacing w:before="0"/>
        <w:jc w:val="both"/>
      </w:pPr>
      <w:r>
        <w:rPr>
          <w:rFonts w:ascii="Times New Roman" w:hAnsi="Times New Roman"/>
          <w:b w:val="0"/>
          <w:i w:val="0"/>
          <w:sz w:val="22"/>
        </w:rPr>
        <w:t xml:space="preserve">Sahoo, J., Mishra, R. and Joshi, R.K. (2025). PCR-based single nucleotide polymorphism (SNP) genotyping for crop improvement—current status and future prospects. </w:t>
      </w:r>
      <w:r>
        <w:rPr>
          <w:rFonts w:ascii="Times New Roman" w:hAnsi="Times New Roman"/>
          <w:b w:val="0"/>
          <w:i/>
          <w:sz w:val="22"/>
        </w:rPr>
        <w:t>Discover Plants</w:t>
      </w:r>
      <w:r>
        <w:rPr>
          <w:rFonts w:ascii="Times New Roman" w:hAnsi="Times New Roman"/>
          <w:b w:val="0"/>
          <w:i w:val="0"/>
          <w:sz w:val="22"/>
        </w:rPr>
        <w:t>, 2(1). doi:10.1007/s44372-025-00262-9</w:t>
      </w:r>
    </w:p>
    <w:p>
      <w:pPr>
        <w:spacing w:before="0"/>
        <w:jc w:val="both"/>
      </w:pPr>
      <w:r>
        <w:rPr>
          <w:rFonts w:ascii="Times New Roman" w:hAnsi="Times New Roman"/>
          <w:b w:val="0"/>
          <w:i w:val="0"/>
          <w:sz w:val="22"/>
        </w:rPr>
        <w:t xml:space="preserve">Zhang, L., Duan, Y., Zhang, Z., Zhang, L., Chen, S., Cai, C., Duan, S., Zhang, K., Li, G. and Cheng, F. (2024). OcBSA: an NGS-based bulk segregant analysis tool for outcross populations. </w:t>
      </w:r>
      <w:r>
        <w:rPr>
          <w:rFonts w:ascii="Times New Roman" w:hAnsi="Times New Roman"/>
          <w:b w:val="0"/>
          <w:i/>
          <w:sz w:val="22"/>
        </w:rPr>
        <w:t>Molecular Plant</w:t>
      </w:r>
      <w:r>
        <w:rPr>
          <w:rFonts w:ascii="Times New Roman" w:hAnsi="Times New Roman"/>
          <w:b w:val="0"/>
          <w:i w:val="0"/>
          <w:sz w:val="22"/>
        </w:rPr>
        <w:t>, 17(4), 648–657. doi:10.1016/j.molp.2024.02.011</w:t>
      </w:r>
    </w:p>
    <w:p>
      <w:pPr>
        <w:spacing w:before="0"/>
        <w:jc w:val="both"/>
      </w:pPr>
      <w:r>
        <w:rPr>
          <w:rFonts w:ascii="Times New Roman" w:hAnsi="Times New Roman"/>
          <w:b w:val="0"/>
          <w:i w:val="0"/>
          <w:sz w:val="22"/>
        </w:rPr>
        <w:t xml:space="preserve">Pang, X., Chen, J., Li, L., Huang, W. and Liu, J. (2024). Deciphering drought resilience in Solanaceae crops: unraveling molecular and genetic mechanisms. </w:t>
      </w:r>
      <w:r>
        <w:rPr>
          <w:rFonts w:ascii="Times New Roman" w:hAnsi="Times New Roman"/>
          <w:b w:val="0"/>
          <w:i/>
          <w:sz w:val="22"/>
        </w:rPr>
        <w:t>Biology</w:t>
      </w:r>
      <w:r>
        <w:rPr>
          <w:rFonts w:ascii="Times New Roman" w:hAnsi="Times New Roman"/>
          <w:b w:val="0"/>
          <w:i w:val="0"/>
          <w:sz w:val="22"/>
        </w:rPr>
        <w:t>, 13(12), 1076. doi:10.3390/biology13121076</w:t>
      </w:r>
    </w:p>
    <w:p>
      <w:pPr>
        <w:spacing w:before="0"/>
        <w:jc w:val="both"/>
      </w:pPr>
      <w:r>
        <w:rPr>
          <w:rFonts w:ascii="Times New Roman" w:hAnsi="Times New Roman"/>
          <w:b w:val="0"/>
          <w:i w:val="0"/>
          <w:sz w:val="22"/>
        </w:rPr>
        <w:t xml:space="preserve">Bousba, R., Bounar, R., Sedrati, N., Lekhal, R., Hamla, C. and Rached-Kanouni, M. (2021). Effects of osmotic stress induced by polyethylene glycol (PEG) 6000 and mannitol on seed germination and seedling growth of durum wheat. </w:t>
      </w:r>
      <w:r>
        <w:rPr>
          <w:rFonts w:ascii="Times New Roman" w:hAnsi="Times New Roman"/>
          <w:b w:val="0"/>
          <w:i/>
          <w:sz w:val="22"/>
        </w:rPr>
        <w:t>Journal of Bioresource Management</w:t>
      </w:r>
      <w:r>
        <w:rPr>
          <w:rFonts w:ascii="Times New Roman" w:hAnsi="Times New Roman"/>
          <w:b w:val="0"/>
          <w:i w:val="0"/>
          <w:sz w:val="22"/>
        </w:rPr>
        <w:t>, 8(3), 57–66. doi:10.35691/JBM.1202.0195</w:t>
      </w:r>
    </w:p>
    <w:p>
      <w:pPr>
        <w:spacing w:before="0"/>
        <w:jc w:val="both"/>
      </w:pPr>
      <w:r>
        <w:rPr>
          <w:rFonts w:ascii="Times New Roman" w:hAnsi="Times New Roman"/>
          <w:b w:val="0"/>
          <w:i w:val="0"/>
          <w:sz w:val="22"/>
        </w:rPr>
        <w:t xml:space="preserve">Comeau, A., Nodichao, L., Collin, J., Baum, M., Samsatly, J., Hamidou, D., Langevin, F., Laroche, A. and Picard, E. (2010). New approaches for the study of osmotic stress induced by polyethylene glycol (PEG) in cereal species. </w:t>
      </w:r>
      <w:r>
        <w:rPr>
          <w:rFonts w:ascii="Times New Roman" w:hAnsi="Times New Roman"/>
          <w:b w:val="0"/>
          <w:i/>
          <w:sz w:val="22"/>
        </w:rPr>
        <w:t>Cereal Research Communications</w:t>
      </w:r>
      <w:r>
        <w:rPr>
          <w:rFonts w:ascii="Times New Roman" w:hAnsi="Times New Roman"/>
          <w:b w:val="0"/>
          <w:i w:val="0"/>
          <w:sz w:val="22"/>
        </w:rPr>
        <w:t>, 38(4), 471–481. doi:10.1556/CRC.38.2010.4.3</w:t>
      </w:r>
    </w:p>
    <w:p>
      <w:pPr>
        <w:spacing w:before="0"/>
        <w:jc w:val="both"/>
      </w:pPr>
      <w:r>
        <w:rPr>
          <w:rFonts w:ascii="Times New Roman" w:hAnsi="Times New Roman"/>
          <w:b w:val="0"/>
          <w:i w:val="0"/>
          <w:sz w:val="22"/>
        </w:rPr>
        <w:t xml:space="preserve">Gianinetti, A. (2020). Basic features of the analysis of germination data with generalized linear mixed models. </w:t>
      </w:r>
      <w:r>
        <w:rPr>
          <w:rFonts w:ascii="Times New Roman" w:hAnsi="Times New Roman"/>
          <w:b w:val="0"/>
          <w:i/>
          <w:sz w:val="22"/>
        </w:rPr>
        <w:t>Data</w:t>
      </w:r>
      <w:r>
        <w:rPr>
          <w:rFonts w:ascii="Times New Roman" w:hAnsi="Times New Roman"/>
          <w:b w:val="0"/>
          <w:i w:val="0"/>
          <w:sz w:val="22"/>
        </w:rPr>
        <w:t>, 5(1), 6. doi:10.3390/data5010006</w:t>
      </w:r>
    </w:p>
    <w:p>
      <w:pPr>
        <w:spacing w:before="0"/>
        <w:jc w:val="both"/>
      </w:pPr>
      <w:r>
        <w:rPr>
          <w:rFonts w:ascii="Times New Roman" w:hAnsi="Times New Roman"/>
          <w:b w:val="0"/>
          <w:i w:val="0"/>
          <w:sz w:val="22"/>
        </w:rPr>
        <w:t xml:space="preserve">Sivakumar, R., Durga Devi, D. and Chandrasekar, C.N. (2014). In-vitro screening of tomato genotypes for drought tolerance. </w:t>
      </w:r>
      <w:r>
        <w:rPr>
          <w:rFonts w:ascii="Times New Roman" w:hAnsi="Times New Roman"/>
          <w:b w:val="0"/>
          <w:i/>
          <w:sz w:val="22"/>
        </w:rPr>
        <w:t>Madras Agricultural Journal</w:t>
      </w:r>
      <w:r>
        <w:rPr>
          <w:rFonts w:ascii="Times New Roman" w:hAnsi="Times New Roman"/>
          <w:b w:val="0"/>
          <w:i w:val="0"/>
          <w:sz w:val="22"/>
        </w:rPr>
        <w:t>, 101(10–12), 369–373.</w:t>
      </w:r>
    </w:p>
    <w:p>
      <w:pPr>
        <w:spacing w:before="0"/>
        <w:jc w:val="both"/>
      </w:pPr>
      <w:r>
        <w:rPr>
          <w:rFonts w:ascii="Times New Roman" w:hAnsi="Times New Roman"/>
          <w:b w:val="0"/>
          <w:i w:val="0"/>
          <w:sz w:val="22"/>
        </w:rPr>
        <w:t xml:space="preserve">Taheri, S., Gantait, S., Azizi, P. and Mazumdar, P. (2022). Drought tolerance improvement in </w:t>
      </w:r>
      <w:r>
        <w:rPr>
          <w:rFonts w:ascii="Times New Roman" w:hAnsi="Times New Roman"/>
          <w:b w:val="0"/>
          <w:i/>
          <w:sz w:val="22"/>
        </w:rPr>
        <w:t>Solanum lycopersicum</w:t>
      </w:r>
      <w:r>
        <w:rPr>
          <w:rFonts w:ascii="Times New Roman" w:hAnsi="Times New Roman"/>
          <w:b w:val="0"/>
          <w:i w:val="0"/>
          <w:sz w:val="22"/>
        </w:rPr>
        <w:t xml:space="preserve">: an insight into “OMICS” approaches and genome editing. </w:t>
      </w:r>
      <w:r>
        <w:rPr>
          <w:rFonts w:ascii="Times New Roman" w:hAnsi="Times New Roman"/>
          <w:b w:val="0"/>
          <w:i/>
          <w:sz w:val="22"/>
        </w:rPr>
        <w:t>3 Biotech</w:t>
      </w:r>
      <w:r>
        <w:rPr>
          <w:rFonts w:ascii="Times New Roman" w:hAnsi="Times New Roman"/>
          <w:b w:val="0"/>
          <w:i w:val="0"/>
          <w:sz w:val="22"/>
        </w:rPr>
        <w:t>, 12(3), 63. doi:10.1007/s13205-022-03132-3</w:t>
      </w:r>
    </w:p>
    <w:p>
      <w:pPr>
        <w:spacing w:before="0"/>
        <w:jc w:val="both"/>
      </w:pPr>
      <w:r>
        <w:rPr>
          <w:rFonts w:ascii="Times New Roman" w:hAnsi="Times New Roman"/>
          <w:b w:val="0"/>
          <w:i w:val="0"/>
          <w:sz w:val="22"/>
        </w:rPr>
        <w:t>Yang, Z.-B., Eticha, D., Rao, I.M. and Horst, W.J. (2010). Alteration of cell-wall porosity is involved in osmotic stress-induced enhancement of aluminium resistance in common bean (</w:t>
      </w:r>
      <w:r>
        <w:rPr>
          <w:rFonts w:ascii="Times New Roman" w:hAnsi="Times New Roman"/>
          <w:b w:val="0"/>
          <w:i/>
          <w:sz w:val="22"/>
        </w:rPr>
        <w:t>Phaseolus vulgaris</w:t>
      </w:r>
      <w:r>
        <w:rPr>
          <w:rFonts w:ascii="Times New Roman" w:hAnsi="Times New Roman"/>
          <w:b w:val="0"/>
          <w:i w:val="0"/>
          <w:sz w:val="22"/>
        </w:rPr>
        <w:t xml:space="preserve"> L.). </w:t>
      </w:r>
      <w:r>
        <w:rPr>
          <w:rFonts w:ascii="Times New Roman" w:hAnsi="Times New Roman"/>
          <w:b w:val="0"/>
          <w:i/>
          <w:sz w:val="22"/>
        </w:rPr>
        <w:t>Journal of Experimental Botany</w:t>
      </w:r>
      <w:r>
        <w:rPr>
          <w:rFonts w:ascii="Times New Roman" w:hAnsi="Times New Roman"/>
          <w:b w:val="0"/>
          <w:i w:val="0"/>
          <w:sz w:val="22"/>
        </w:rPr>
        <w:t>, 61(12), 3245–3258. doi:10.1093/jxb/erq146</w:t>
      </w:r>
    </w:p>
    <w:p>
      <w:pPr>
        <w:spacing w:before="0"/>
        <w:jc w:val="both"/>
      </w:pPr>
      <w:r>
        <w:rPr>
          <w:rFonts w:ascii="Times New Roman" w:hAnsi="Times New Roman"/>
          <w:b w:val="0"/>
          <w:i w:val="0"/>
          <w:sz w:val="22"/>
        </w:rPr>
        <w:t xml:space="preserve">Hong, J.-P. and Kim, W.T. (2005). Isolation and functional characterization of the </w:t>
      </w:r>
      <w:r>
        <w:rPr>
          <w:rFonts w:ascii="Times New Roman" w:hAnsi="Times New Roman"/>
          <w:b w:val="0"/>
          <w:i/>
          <w:sz w:val="22"/>
        </w:rPr>
        <w:t>Ca-DREBLP1</w:t>
      </w:r>
      <w:r>
        <w:rPr>
          <w:rFonts w:ascii="Times New Roman" w:hAnsi="Times New Roman"/>
          <w:b w:val="0"/>
          <w:i w:val="0"/>
          <w:sz w:val="22"/>
        </w:rPr>
        <w:t xml:space="preserve"> gene encoding a dehydration-responsive element binding-factor-like protein 1 in hot pepper (</w:t>
      </w:r>
      <w:r>
        <w:rPr>
          <w:rFonts w:ascii="Times New Roman" w:hAnsi="Times New Roman"/>
          <w:b w:val="0"/>
          <w:i/>
          <w:sz w:val="22"/>
        </w:rPr>
        <w:t>Capsicum annuum</w:t>
      </w:r>
      <w:r>
        <w:rPr>
          <w:rFonts w:ascii="Times New Roman" w:hAnsi="Times New Roman"/>
          <w:b w:val="0"/>
          <w:i w:val="0"/>
          <w:sz w:val="22"/>
        </w:rPr>
        <w:t xml:space="preserve"> L. cv. Pukang). </w:t>
      </w:r>
      <w:r>
        <w:rPr>
          <w:rFonts w:ascii="Times New Roman" w:hAnsi="Times New Roman"/>
          <w:b w:val="0"/>
          <w:i/>
          <w:sz w:val="22"/>
        </w:rPr>
        <w:t>Planta</w:t>
      </w:r>
      <w:r>
        <w:rPr>
          <w:rFonts w:ascii="Times New Roman" w:hAnsi="Times New Roman"/>
          <w:b w:val="0"/>
          <w:i w:val="0"/>
          <w:sz w:val="22"/>
        </w:rPr>
        <w:t>, 220(6), 875–888. doi:10.1007/s00425-004-1412-5</w:t>
      </w:r>
    </w:p>
    <w:p>
      <w:pPr>
        <w:spacing w:before="0"/>
        <w:jc w:val="both"/>
      </w:pPr>
      <w:r>
        <w:rPr>
          <w:rFonts w:ascii="Times New Roman" w:hAnsi="Times New Roman"/>
          <w:b w:val="0"/>
          <w:i w:val="0"/>
          <w:sz w:val="22"/>
        </w:rPr>
        <w:t xml:space="preserve">Lim, J., Lim, C.W. and Lee, S.C. (2022). Role of pepper MYB transcription factor CaDIM1 in regulation of the drought response. </w:t>
      </w:r>
      <w:r>
        <w:rPr>
          <w:rFonts w:ascii="Times New Roman" w:hAnsi="Times New Roman"/>
          <w:b w:val="0"/>
          <w:i/>
          <w:sz w:val="22"/>
        </w:rPr>
        <w:t>Frontiers in Plant Science</w:t>
      </w:r>
      <w:r>
        <w:rPr>
          <w:rFonts w:ascii="Times New Roman" w:hAnsi="Times New Roman"/>
          <w:b w:val="0"/>
          <w:i w:val="0"/>
          <w:sz w:val="22"/>
        </w:rPr>
        <w:t>, 13, 1028392. doi:10.3389/fpls.2022.1028392</w:t>
      </w:r>
    </w:p>
    <w:p>
      <w:pPr>
        <w:spacing w:before="0"/>
        <w:jc w:val="both"/>
      </w:pPr>
      <w:r>
        <w:rPr>
          <w:rFonts w:ascii="Times New Roman" w:hAnsi="Times New Roman"/>
          <w:b w:val="0"/>
          <w:i w:val="0"/>
          <w:sz w:val="22"/>
        </w:rPr>
        <w:t xml:space="preserve">Zhang, H.-X., Zhang, Y. and Zhang, B.-W. (2024). Pepper SBP-box transcription factor, CaSBP13, plays a negatively role in drought response. </w:t>
      </w:r>
      <w:r>
        <w:rPr>
          <w:rFonts w:ascii="Times New Roman" w:hAnsi="Times New Roman"/>
          <w:b w:val="0"/>
          <w:i/>
          <w:sz w:val="22"/>
        </w:rPr>
        <w:t>Frontiers in Plant Science</w:t>
      </w:r>
      <w:r>
        <w:rPr>
          <w:rFonts w:ascii="Times New Roman" w:hAnsi="Times New Roman"/>
          <w:b w:val="0"/>
          <w:i w:val="0"/>
          <w:sz w:val="22"/>
        </w:rPr>
        <w:t>, 15, 1412685. doi:10.3389/fpls.2024.1412685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for drought tolerance in *Capsicum* and the Solanaceae: methodological assumptions, an unresolved predictive link, and a cost-tiered path to markers</dc:title>
  <dc:subject/>
  <dc:creator/>
  <cp:keywords/>
  <dc:description>Blinded for review</dc:description>
  <cp:lastModifiedBy/>
  <cp:revision>1</cp:revision>
  <dcterms:created xsi:type="dcterms:W3CDTF">2013-12-23T23:15:00Z</dcterms:created>
  <dcterms:modified xsi:type="dcterms:W3CDTF">2013-12-23T23:15:00Z</dcterms:modified>
  <cp:category/>
</cp:coreProperties>
</file>