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Projeto Integrador 3º Semestre - DSM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Disciplinas: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Gestão Ágil de Projeto de Software</w:t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Banco de Dados Não Relacional</w:t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Web III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Professores:</w: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Renato Cividini Matthiesen</w:t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Thiago Gonçalves Mendes</w:t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Orlando Saraiva do Nascimento Junior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Grupo nº 4  / Nome da Empresa: Bem do Campo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Sistema: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7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3360"/>
        <w:tblGridChange w:id="0">
          <w:tblGrid>
            <w:gridCol w:w="336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Integrantes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Papel Principal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Pedro Mira Nicolau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Pedro Rufino da Mata Neto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Stephan Mendes de Oliveira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Victor Manoel Martins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Fatec Araras</w:t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FICHA DE CONTROLE - PROJETO INTERDISCIPLINAR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101600</wp:posOffset>
                </wp:positionV>
                <wp:extent cx="5616575" cy="9493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50413" y="3318038"/>
                          <a:ext cx="55911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101600</wp:posOffset>
                </wp:positionV>
                <wp:extent cx="5616575" cy="949325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6575" cy="949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DISCIPLINA CHAVE: Gestão Ágil de Projetos - PI III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PROFESSOR: Renato Cividini matthiesen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177800</wp:posOffset>
                </wp:positionV>
                <wp:extent cx="5578475" cy="13112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569463" y="3137063"/>
                          <a:ext cx="5553075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177800</wp:posOffset>
                </wp:positionV>
                <wp:extent cx="5578475" cy="131127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8475" cy="131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GRUPO: Nome do grupo            SEMESTRE: </w:t>
      </w:r>
      <w:r w:rsidDel="00000000" w:rsidR="00000000" w:rsidRPr="00000000">
        <w:rPr>
          <w:color w:val="808080"/>
          <w:rtl w:val="0"/>
        </w:rPr>
        <w:t xml:space="preserve">Escolher um item.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TÍTULO DO PROJETO: SSU – xxx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DATA DA APRESENTAÇÃO: xxx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NOTA: 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INTEGRANTES DO GRUPO: Nome grupo</w:t>
      </w:r>
    </w:p>
    <w:tbl>
      <w:tblPr>
        <w:tblStyle w:val="Table2"/>
        <w:tblW w:w="8789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72"/>
        <w:gridCol w:w="1417"/>
        <w:tblGridChange w:id="0">
          <w:tblGrid>
            <w:gridCol w:w="7372"/>
            <w:gridCol w:w="1417"/>
          </w:tblGrid>
        </w:tblGridChange>
      </w:tblGrid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Nota Individual</w:t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Araras, 03 de dezembro de 2024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__________________________________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Professor Renato Cividini Matthiesen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10" w:right="0" w:hanging="36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Gestão Ágil de Projeto de Software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Apresentação do projeto e considerações sobre a empresa (fictícia) que está desenvolvendo o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Visão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Persona + Mapa de Empatia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Canvas do projeto/produto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Mapa mental do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</w:t>
            </w:r>
          </w:hyperlink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Backlog</w:t>
            </w:r>
          </w:hyperlink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do Produto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 </w:t>
            </w:r>
          </w:hyperlink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Backlog</w:t>
            </w:r>
          </w:hyperlink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dos </w:t>
            </w:r>
          </w:hyperlink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Sprints</w:t>
            </w:r>
          </w:hyperlink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 Entregáveis – </w:t>
            </w:r>
          </w:hyperlink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Minimum Viable Product</w:t>
            </w:r>
          </w:hyperlink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(MVP)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1.9 Retrospectiva dos </w:t>
            </w:r>
          </w:hyperlink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Sprints</w:t>
            </w:r>
          </w:hyperlink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1.10 Retrospectiva do Projeto.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Desenvolvimento Web III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Banco de dados Não Relacional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j2qqm3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Considerações Finais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 Bibliográficas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I - Diário de bordo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II – Cronograma efetivo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III – Evidências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3"/>
        </w:numPr>
        <w:ind w:left="426" w:hanging="426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Gestão Ágil de Projeto de Software</w:t>
      </w:r>
    </w:p>
    <w:p w:rsidR="00000000" w:rsidDel="00000000" w:rsidP="00000000" w:rsidRDefault="00000000" w:rsidRPr="00000000" w14:paraId="00000074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abordagem ágil para projetos de software prioriza flexibilidade, colaboração entre as partes interessadas e entrega frequente de valor, adaptando-se rapidamente às mudanças nos requisitos do cliente e no mercado.</w:t>
      </w:r>
    </w:p>
    <w:p w:rsidR="00000000" w:rsidDel="00000000" w:rsidP="00000000" w:rsidRDefault="00000000" w:rsidRPr="00000000" w14:paraId="00000075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Princípios ágeis incluem, </w:t>
      </w:r>
      <w:r w:rsidDel="00000000" w:rsidR="00000000" w:rsidRPr="00000000">
        <w:rPr>
          <w:sz w:val="24"/>
          <w:szCs w:val="24"/>
          <w:rtl w:val="0"/>
        </w:rPr>
        <w:t xml:space="preserve">Colaboração e adaptação</w:t>
      </w:r>
      <w:r w:rsidDel="00000000" w:rsidR="00000000" w:rsidRPr="00000000">
        <w:rPr>
          <w:sz w:val="24"/>
          <w:szCs w:val="24"/>
          <w:rtl w:val="0"/>
        </w:rPr>
        <w:t xml:space="preserve"> às mudanças, </w:t>
      </w:r>
      <w:r w:rsidDel="00000000" w:rsidR="00000000" w:rsidRPr="00000000">
        <w:rPr>
          <w:sz w:val="24"/>
          <w:szCs w:val="24"/>
          <w:rtl w:val="0"/>
        </w:rPr>
        <w:t xml:space="preserve">Entrega incremental</w:t>
      </w:r>
      <w:r w:rsidDel="00000000" w:rsidR="00000000" w:rsidRPr="00000000">
        <w:rPr>
          <w:sz w:val="24"/>
          <w:szCs w:val="24"/>
          <w:rtl w:val="0"/>
        </w:rPr>
        <w:t xml:space="preserve"> de software funcional, </w:t>
      </w:r>
      <w:r w:rsidDel="00000000" w:rsidR="00000000" w:rsidRPr="00000000">
        <w:rPr>
          <w:sz w:val="24"/>
          <w:szCs w:val="24"/>
          <w:rtl w:val="0"/>
        </w:rPr>
        <w:t xml:space="preserve">Envolvimento ativo do cliente</w:t>
      </w:r>
      <w:r w:rsidDel="00000000" w:rsidR="00000000" w:rsidRPr="00000000">
        <w:rPr>
          <w:sz w:val="24"/>
          <w:szCs w:val="24"/>
          <w:rtl w:val="0"/>
        </w:rPr>
        <w:t xml:space="preserve">, aumentando a satisfação. Embora promovam agilidade e valor contínuo, desafios incluem resistência organizacional à mudança e dificuldade de adoção por equipes inexperientes.</w:t>
      </w:r>
    </w:p>
    <w:p w:rsidR="00000000" w:rsidDel="00000000" w:rsidP="00000000" w:rsidRDefault="00000000" w:rsidRPr="00000000" w14:paraId="00000076">
      <w:pPr>
        <w:spacing w:after="240" w:before="240" w:line="360" w:lineRule="auto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combinação do PMBOK com métodos ágeis (Cruz, 2013) demonstra que é possível unir flexibilidade à organização em projetos complexos.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="360" w:lineRule="auto"/>
        <w:rPr>
          <w:color w:val="000000"/>
          <w:sz w:val="24"/>
          <w:szCs w:val="24"/>
        </w:rPr>
      </w:pPr>
      <w:bookmarkStart w:colFirst="0" w:colLast="0" w:name="_dmjasy203jni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Referências Bibliográficas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COUTINHO, Heitor. </w:t>
      </w:r>
      <w:r w:rsidDel="00000000" w:rsidR="00000000" w:rsidRPr="00000000">
        <w:rPr>
          <w:b w:val="1"/>
          <w:sz w:val="24"/>
          <w:szCs w:val="24"/>
          <w:rtl w:val="0"/>
        </w:rPr>
        <w:t xml:space="preserve">Da estratégia ágil aos resultados</w:t>
      </w:r>
      <w:r w:rsidDel="00000000" w:rsidR="00000000" w:rsidRPr="00000000">
        <w:rPr>
          <w:sz w:val="24"/>
          <w:szCs w:val="24"/>
          <w:rtl w:val="0"/>
        </w:rPr>
        <w:t xml:space="preserve">. São Paulo: Saraiva, 2019.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CRUZ, F. PMO Ágil: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Escritório Ágil de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 São Paulo: BRASPORT, 2016.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CRUZ, F.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SCRUM e Agile em Projetos Guia Completo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conquiste sua certificação e aprenda a usar métodos ágeis no seu dia a dia. 2 ed. São Paulo: Brasport, 2018.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CRUZ, F.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Scrum e PMBOK unidos no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 São Paulo: Brasport, 2013.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PMI.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Guia PMBOK®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 Guia para o Conjunto de Conhecimentos em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 7ª. ed. Pennsylvania: PMI, 2021.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SUTHERLAND, J.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a arte de fazer o dobro do trabalho na metade do tempo. Rio de Janeiro: Sextante,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ind w:left="0" w:firstLine="0"/>
        <w:rPr/>
      </w:pPr>
      <w:bookmarkStart w:colFirst="0" w:colLast="0" w:name="_ya7l8m54u9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left="426" w:hanging="426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1.1 Apresentação do projeto e considerações sobre a empresa (fictícia) que está desenvolvendo o sistema</w:t>
      </w:r>
    </w:p>
    <w:p w:rsidR="00000000" w:rsidDel="00000000" w:rsidP="00000000" w:rsidRDefault="00000000" w:rsidRPr="00000000" w14:paraId="00000081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projeto visa o desenvolvimento de uma plataforma inovadora chamada </w:t>
      </w:r>
      <w:r w:rsidDel="00000000" w:rsidR="00000000" w:rsidRPr="00000000">
        <w:rPr>
          <w:b w:val="1"/>
          <w:sz w:val="24"/>
          <w:szCs w:val="24"/>
          <w:rtl w:val="0"/>
        </w:rPr>
        <w:t xml:space="preserve">Bem do Campo</w:t>
      </w:r>
      <w:r w:rsidDel="00000000" w:rsidR="00000000" w:rsidRPr="00000000">
        <w:rPr>
          <w:sz w:val="24"/>
          <w:szCs w:val="24"/>
          <w:rtl w:val="0"/>
        </w:rPr>
        <w:t xml:space="preserve">, que conecta consumidores e produtores para promover a troca de alimentos de maneira sustentável. O objetivo principal é reduzir o desperdício de alimentos, apoiar a agricultura sustentável e promover a segurança alimentar local, criando um impacto positivo na comunidade e no meio ambiente.</w:t>
      </w:r>
    </w:p>
    <w:p w:rsidR="00000000" w:rsidDel="00000000" w:rsidP="00000000" w:rsidRDefault="00000000" w:rsidRPr="00000000" w14:paraId="00000082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criada pela nossa equipe com o objetivo de simular um ambiente corporativo real. Constituída por integrantes especializados em diferentes áreas do desenvolvimento de software, como análise, design, codificação e qualidade, a equipe organiza-se segundo os papeis definidos no framework Scrum como product owner, scrum master, e desenvolvimento.</w:t>
      </w:r>
    </w:p>
    <w:p w:rsidR="00000000" w:rsidDel="00000000" w:rsidP="00000000" w:rsidRDefault="00000000" w:rsidRPr="00000000" w14:paraId="00000083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Seguindo os preceitos apresentados no Guia SBOK (SCRUMstudy, 2016), a equipe adota o Scrum para gerenciar o desenvolvimento da plataforma.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Planejamento de Sprints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Daily Stand-ups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Revisão</w:t>
      </w:r>
    </w:p>
    <w:p w:rsidR="00000000" w:rsidDel="00000000" w:rsidP="00000000" w:rsidRDefault="00000000" w:rsidRPr="00000000" w14:paraId="00000087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Bem do Campo</w:t>
      </w:r>
      <w:r w:rsidDel="00000000" w:rsidR="00000000" w:rsidRPr="00000000">
        <w:rPr>
          <w:sz w:val="24"/>
          <w:szCs w:val="24"/>
          <w:rtl w:val="0"/>
        </w:rPr>
        <w:t xml:space="preserve"> busca não apenas a entrega de um produto funcional, mas também a promoção de uma experiência de aprendizado alinhada com demandas reais do mercado. A equipe foca em soluções sustentáveis, inovadoras e adaptáveis, que gerem impacto positivo tanto para os produtores quanto para os consumidores.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1czrr7t7oh8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Referência Bibliográfica</w:t>
      </w:r>
    </w:p>
    <w:p w:rsidR="00000000" w:rsidDel="00000000" w:rsidP="00000000" w:rsidRDefault="00000000" w:rsidRPr="00000000" w14:paraId="00000089">
      <w:pPr>
        <w:spacing w:after="240"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SCRUMSTUDY. </w:t>
      </w:r>
      <w:r w:rsidDel="00000000" w:rsidR="00000000" w:rsidRPr="00000000">
        <w:rPr>
          <w:i w:val="1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sz w:val="24"/>
          <w:szCs w:val="24"/>
          <w:rtl w:val="0"/>
        </w:rPr>
        <w:t xml:space="preserve">. Arizona, EUA: SCRUMstudy,2016.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08 mar.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ind w:left="426" w:hanging="426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1.2 Visão do produto</w:t>
      </w:r>
    </w:p>
    <w:p w:rsidR="00000000" w:rsidDel="00000000" w:rsidP="00000000" w:rsidRDefault="00000000" w:rsidRPr="00000000" w14:paraId="0000008B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visão do produto é sustentabilidade e conexão entre consumidores e produtores, promovendo o uso eficiente de recursos e fomentando a agricultura local. A plataforma busca integrar princípios ágeis para entregar valor rápido e contínuo aos usuários, mantendo o foco em redução de desperdícios, apoio na agricultura sustentável e segurança alimentar.</w:t>
      </w:r>
    </w:p>
    <w:p w:rsidR="00000000" w:rsidDel="00000000" w:rsidP="00000000" w:rsidRDefault="00000000" w:rsidRPr="00000000" w14:paraId="0000008C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Scrum descritos no Guia SBOK (SCRUMstudy, 2016), a equipe busca entregar incrementos frequentes que atendam às necessidades dos stakeholders e dos objetivos organizacionais.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5k3glms4ezl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Referência Bibliográfica</w:t>
      </w:r>
    </w:p>
    <w:p w:rsidR="00000000" w:rsidDel="00000000" w:rsidP="00000000" w:rsidRDefault="00000000" w:rsidRPr="00000000" w14:paraId="0000008E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AMARAL, Daniel, C. </w:t>
      </w:r>
      <w:r w:rsidDel="00000000" w:rsidR="00000000" w:rsidRPr="00000000">
        <w:rPr>
          <w:i w:val="1"/>
          <w:sz w:val="24"/>
          <w:szCs w:val="24"/>
          <w:rtl w:val="0"/>
        </w:rPr>
        <w:t xml:space="preserve">Gerenciamento ágil de projetos: Aplicação em produtos inovadores</w:t>
      </w:r>
      <w:r w:rsidDel="00000000" w:rsidR="00000000" w:rsidRPr="00000000">
        <w:rPr>
          <w:sz w:val="24"/>
          <w:szCs w:val="24"/>
          <w:rtl w:val="0"/>
        </w:rPr>
        <w:t xml:space="preserve">. São Paulo: Saraiva, 2011.</w:t>
      </w:r>
    </w:p>
    <w:p w:rsidR="00000000" w:rsidDel="00000000" w:rsidP="00000000" w:rsidRDefault="00000000" w:rsidRPr="00000000" w14:paraId="0000008F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PMI. </w:t>
      </w:r>
      <w:r w:rsidDel="00000000" w:rsidR="00000000" w:rsidRPr="00000000">
        <w:rPr>
          <w:i w:val="1"/>
          <w:sz w:val="24"/>
          <w:szCs w:val="24"/>
          <w:rtl w:val="0"/>
        </w:rPr>
        <w:t xml:space="preserve">Guia PMBOK®: Um Guia para o Conjunto de Conhecimentos em Gerenciamento de Projetos</w:t>
      </w:r>
      <w:r w:rsidDel="00000000" w:rsidR="00000000" w:rsidRPr="00000000">
        <w:rPr>
          <w:sz w:val="24"/>
          <w:szCs w:val="24"/>
          <w:rtl w:val="0"/>
        </w:rPr>
        <w:t xml:space="preserve">. 7ª. ed. Pennsylvania: PMI, 2021.</w:t>
      </w:r>
    </w:p>
    <w:p w:rsidR="00000000" w:rsidDel="00000000" w:rsidP="00000000" w:rsidRDefault="00000000" w:rsidRPr="00000000" w14:paraId="00000090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SCRUMSTUDY. </w:t>
      </w:r>
      <w:r w:rsidDel="00000000" w:rsidR="00000000" w:rsidRPr="00000000">
        <w:rPr>
          <w:i w:val="1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sz w:val="24"/>
          <w:szCs w:val="24"/>
          <w:rtl w:val="0"/>
        </w:rPr>
        <w:t xml:space="preserve">. Arizona, EUA: SCRUMstudy,2016.</w:t>
      </w:r>
    </w:p>
    <w:p w:rsidR="00000000" w:rsidDel="00000000" w:rsidP="00000000" w:rsidRDefault="00000000" w:rsidRPr="00000000" w14:paraId="00000091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https://www.Scrumstudy.com/SBOK/SCRUMstudy-SBOK-Guide-2016-Portuguese.pdf. Acesso em: 08 mar. 2024.</w:t>
      </w:r>
    </w:p>
    <w:p w:rsidR="00000000" w:rsidDel="00000000" w:rsidP="00000000" w:rsidRDefault="00000000" w:rsidRPr="00000000" w14:paraId="00000092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ind w:left="426" w:hanging="426"/>
        <w:rPr/>
      </w:pPr>
      <w:bookmarkStart w:colFirst="0" w:colLast="0" w:name="_3znysh7" w:id="7"/>
      <w:bookmarkEnd w:id="7"/>
      <w:r w:rsidDel="00000000" w:rsidR="00000000" w:rsidRPr="00000000">
        <w:rPr>
          <w:rtl w:val="0"/>
        </w:rPr>
        <w:t xml:space="preserve">1.3 Persona + Mapa de Empatia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81663" cy="318727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87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73789" cy="31760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3789" cy="317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67363" cy="311144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1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ind w:left="426" w:hanging="426"/>
        <w:rPr/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1.4 Canvas do projeto/produto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386388" cy="3578995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57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ind w:left="426" w:hanging="426"/>
        <w:rPr/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1.5 Mapa mental do sistema</w:t>
      </w:r>
    </w:p>
    <w:p w:rsidR="00000000" w:rsidDel="00000000" w:rsidP="00000000" w:rsidRDefault="00000000" w:rsidRPr="00000000" w14:paraId="000000A6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ind w:left="426" w:hanging="426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1.6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do Produto</w:t>
      </w:r>
    </w:p>
    <w:p w:rsidR="00000000" w:rsidDel="00000000" w:rsidP="00000000" w:rsidRDefault="00000000" w:rsidRPr="00000000" w14:paraId="000000AA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backlog do produto </w:t>
      </w:r>
      <w:r w:rsidDel="00000000" w:rsidR="00000000" w:rsidRPr="00000000">
        <w:rPr>
          <w:b w:val="1"/>
          <w:sz w:val="24"/>
          <w:szCs w:val="24"/>
          <w:rtl w:val="0"/>
        </w:rPr>
        <w:t xml:space="preserve">Bem do Campo</w:t>
      </w:r>
      <w:r w:rsidDel="00000000" w:rsidR="00000000" w:rsidRPr="00000000">
        <w:rPr>
          <w:sz w:val="24"/>
          <w:szCs w:val="24"/>
          <w:rtl w:val="0"/>
        </w:rPr>
        <w:t xml:space="preserve"> é estruturado em estórias de usuário que englobam requisitos funcionais e não funcionais, divididos em categorias essenciais para o desenvolvimento da plataforma. Abaixo está a distribuição inicial de itens do backlog, com base nas necessidades identificadas:</w:t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spacing w:after="40" w:before="240" w:line="360" w:lineRule="auto"/>
        <w:rPr>
          <w:b w:val="1"/>
          <w:color w:val="000000"/>
        </w:rPr>
      </w:pPr>
      <w:bookmarkStart w:colFirst="0" w:colLast="0" w:name="_hp7fajgowl7t" w:id="11"/>
      <w:bookmarkEnd w:id="11"/>
      <w:r w:rsidDel="00000000" w:rsidR="00000000" w:rsidRPr="00000000">
        <w:rPr>
          <w:b w:val="1"/>
          <w:color w:val="000000"/>
          <w:rtl w:val="0"/>
        </w:rPr>
        <w:t xml:space="preserve">Requisitos Funcionais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consumidor, quero criar um perfil na plataforma</w:t>
      </w:r>
      <w:r w:rsidDel="00000000" w:rsidR="00000000" w:rsidRPr="00000000">
        <w:rPr>
          <w:sz w:val="24"/>
          <w:szCs w:val="24"/>
          <w:rtl w:val="0"/>
        </w:rPr>
        <w:t xml:space="preserve"> para acessar informações e realizar trocas de alimentos.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produtor, quero cadastrar meus produtos excedentes</w:t>
      </w:r>
      <w:r w:rsidDel="00000000" w:rsidR="00000000" w:rsidRPr="00000000">
        <w:rPr>
          <w:sz w:val="24"/>
          <w:szCs w:val="24"/>
          <w:rtl w:val="0"/>
        </w:rPr>
        <w:t xml:space="preserve"> para conectá-los a consumidores interessados.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consumidor, quero buscar alimentos por localização geográfica</w:t>
      </w:r>
      <w:r w:rsidDel="00000000" w:rsidR="00000000" w:rsidRPr="00000000">
        <w:rPr>
          <w:sz w:val="24"/>
          <w:szCs w:val="24"/>
          <w:rtl w:val="0"/>
        </w:rPr>
        <w:t xml:space="preserve"> para encontrar produtores próximos a mim.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produtor, quero visualizar relatórios de impacto ambiental</w:t>
      </w:r>
      <w:r w:rsidDel="00000000" w:rsidR="00000000" w:rsidRPr="00000000">
        <w:rPr>
          <w:sz w:val="24"/>
          <w:szCs w:val="24"/>
          <w:rtl w:val="0"/>
        </w:rPr>
        <w:t xml:space="preserve"> para entender como minhas práticas estão contribuindo para a sustentabilidade.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usuário, quero ter acesso a um sistema de recomendação</w:t>
      </w:r>
      <w:r w:rsidDel="00000000" w:rsidR="00000000" w:rsidRPr="00000000">
        <w:rPr>
          <w:sz w:val="24"/>
          <w:szCs w:val="24"/>
          <w:rtl w:val="0"/>
        </w:rPr>
        <w:t xml:space="preserve"> que me sugira alimentos com base no meu histórico de buscas e trocas.</w:t>
      </w:r>
    </w:p>
    <w:p w:rsidR="00000000" w:rsidDel="00000000" w:rsidP="00000000" w:rsidRDefault="00000000" w:rsidRPr="00000000" w14:paraId="000000B1">
      <w:pPr>
        <w:spacing w:after="240" w:before="240" w:line="360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keepNext w:val="0"/>
        <w:keepLines w:val="0"/>
        <w:spacing w:after="40" w:before="240" w:line="360" w:lineRule="auto"/>
        <w:jc w:val="left"/>
        <w:rPr>
          <w:b w:val="1"/>
          <w:color w:val="000000"/>
        </w:rPr>
      </w:pPr>
      <w:bookmarkStart w:colFirst="0" w:colLast="0" w:name="_3fh7131l733k" w:id="12"/>
      <w:bookmarkEnd w:id="12"/>
      <w:r w:rsidDel="00000000" w:rsidR="00000000" w:rsidRPr="00000000">
        <w:rPr>
          <w:b w:val="1"/>
          <w:color w:val="000000"/>
          <w:rtl w:val="0"/>
        </w:rPr>
        <w:t xml:space="preserve">Requisitos Não Funcionais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afterAutospacing="0" w:before="24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plataforma deve estar disponível 99% do tempo</w:t>
      </w:r>
      <w:r w:rsidDel="00000000" w:rsidR="00000000" w:rsidRPr="00000000">
        <w:rPr>
          <w:sz w:val="24"/>
          <w:szCs w:val="24"/>
          <w:rtl w:val="0"/>
        </w:rPr>
        <w:t xml:space="preserve">, garantindo alta disponibilidade para os usuários.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implementação deve seguir boas práticas de segurança</w:t>
      </w:r>
      <w:r w:rsidDel="00000000" w:rsidR="00000000" w:rsidRPr="00000000">
        <w:rPr>
          <w:sz w:val="24"/>
          <w:szCs w:val="24"/>
          <w:rtl w:val="0"/>
        </w:rPr>
        <w:t xml:space="preserve"> para proteger os dados pessoais dos usuários.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tempo de resposta do sistema deve ser inferior a 2 segundos</w:t>
      </w:r>
      <w:r w:rsidDel="00000000" w:rsidR="00000000" w:rsidRPr="00000000">
        <w:rPr>
          <w:sz w:val="24"/>
          <w:szCs w:val="24"/>
          <w:rtl w:val="0"/>
        </w:rPr>
        <w:t xml:space="preserve"> em buscas e transações.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24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interface deve ser responsiva</w:t>
      </w:r>
      <w:r w:rsidDel="00000000" w:rsidR="00000000" w:rsidRPr="00000000">
        <w:rPr>
          <w:sz w:val="24"/>
          <w:szCs w:val="24"/>
          <w:rtl w:val="0"/>
        </w:rPr>
        <w:t xml:space="preserve">, permitindo acesso eficiente em dispositivos móveis e desktops.</w:t>
      </w:r>
    </w:p>
    <w:p w:rsidR="00000000" w:rsidDel="00000000" w:rsidP="00000000" w:rsidRDefault="00000000" w:rsidRPr="00000000" w14:paraId="000000B7">
      <w:pPr>
        <w:spacing w:after="240" w:before="240"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Essas estórias serão priorizadas e refinadas ao longo das sprints, conforme as demandas dos stakeholders e o progresso do time.</w:t>
      </w:r>
    </w:p>
    <w:p w:rsidR="00000000" w:rsidDel="00000000" w:rsidP="00000000" w:rsidRDefault="00000000" w:rsidRPr="00000000" w14:paraId="000000B8">
      <w:pPr>
        <w:rPr>
          <w:b w:val="1"/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426" w:hanging="426"/>
        <w:rPr/>
      </w:pPr>
      <w:bookmarkStart w:colFirst="0" w:colLast="0" w:name="_17dp8vu" w:id="13"/>
      <w:bookmarkEnd w:id="13"/>
      <w:r w:rsidDel="00000000" w:rsidR="00000000" w:rsidRPr="00000000">
        <w:rPr>
          <w:rtl w:val="0"/>
        </w:rPr>
        <w:t xml:space="preserve">1.7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dos </w:t>
      </w:r>
      <w:r w:rsidDel="00000000" w:rsidR="00000000" w:rsidRPr="00000000">
        <w:rPr>
          <w:i w:val="1"/>
          <w:rtl w:val="0"/>
        </w:rPr>
        <w:t xml:space="preserve">Sprints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Apresentar o </w:t>
      </w:r>
      <w:r w:rsidDel="00000000" w:rsidR="00000000" w:rsidRPr="00000000">
        <w:rPr>
          <w:i w:val="1"/>
          <w:rtl w:val="0"/>
        </w:rPr>
        <w:t xml:space="preserve">Backlog </w:t>
      </w:r>
      <w:r w:rsidDel="00000000" w:rsidR="00000000" w:rsidRPr="00000000">
        <w:rPr>
          <w:rtl w:val="0"/>
        </w:rPr>
        <w:t xml:space="preserve">dos Sprints conforme desenvolvido nas seis semanas de atividades de planejamento e desenvolvimento do projeto.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Sugestão de bibliografia:</w:t>
      </w:r>
    </w:p>
    <w:p w:rsidR="00000000" w:rsidDel="00000000" w:rsidP="00000000" w:rsidRDefault="00000000" w:rsidRPr="00000000" w14:paraId="000000BE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SUTHERLAND, J.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0BF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SCRUMSTUDY,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, Arizona, EUA: SCRUMstudy, 2016. </w:t>
      </w:r>
      <w:hyperlink r:id="rId16">
        <w:r w:rsidDel="00000000" w:rsidR="00000000" w:rsidRPr="00000000">
          <w:rPr>
            <w:color w:val="a6a6a6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color w:val="a6a6a6"/>
          <w:sz w:val="24"/>
          <w:szCs w:val="24"/>
          <w:rtl w:val="0"/>
        </w:rPr>
        <w:t xml:space="preserve">. Acesso em: 08 mar. 2024.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ind w:left="426" w:hanging="426"/>
        <w:rPr/>
      </w:pPr>
      <w:bookmarkStart w:colFirst="0" w:colLast="0" w:name="_3rdcrjn" w:id="14"/>
      <w:bookmarkEnd w:id="14"/>
      <w:r w:rsidDel="00000000" w:rsidR="00000000" w:rsidRPr="00000000">
        <w:rPr>
          <w:rtl w:val="0"/>
        </w:rPr>
        <w:t xml:space="preserve">1.8 Entregáveis – </w:t>
      </w:r>
      <w:r w:rsidDel="00000000" w:rsidR="00000000" w:rsidRPr="00000000">
        <w:rPr>
          <w:i w:val="1"/>
          <w:rtl w:val="0"/>
        </w:rPr>
        <w:t xml:space="preserve">Minimum Viable Product</w:t>
      </w:r>
      <w:r w:rsidDel="00000000" w:rsidR="00000000" w:rsidRPr="00000000">
        <w:rPr>
          <w:rtl w:val="0"/>
        </w:rPr>
        <w:t xml:space="preserve"> (MVP)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Apresentar as diferentes versões dos MVPs do produto em formato de entregáveis realizados durante as seis semanas de atividades do projeto.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Sugestão de bibliografia:</w:t>
      </w:r>
    </w:p>
    <w:p w:rsidR="00000000" w:rsidDel="00000000" w:rsidP="00000000" w:rsidRDefault="00000000" w:rsidRPr="00000000" w14:paraId="000000C7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MATSUMOTO, Mayra,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MVP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forma eficiente de criar, validar e comercializar um novo produto ou serviço, Kindle: Amazon.com, 2020.</w:t>
      </w:r>
    </w:p>
    <w:p w:rsidR="00000000" w:rsidDel="00000000" w:rsidP="00000000" w:rsidRDefault="00000000" w:rsidRPr="00000000" w14:paraId="000000C8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RIES, E.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A Startup Enxuta.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 São Paulo: Editora Leya, 2019.</w:t>
      </w:r>
    </w:p>
    <w:p w:rsidR="00000000" w:rsidDel="00000000" w:rsidP="00000000" w:rsidRDefault="00000000" w:rsidRPr="00000000" w14:paraId="000000C9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SUTHERLAND, J.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0CA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SCRUMSTUDY,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, Arizona, EUA: SCRUMstudy, 2016. </w:t>
      </w:r>
      <w:hyperlink r:id="rId17">
        <w:r w:rsidDel="00000000" w:rsidR="00000000" w:rsidRPr="00000000">
          <w:rPr>
            <w:color w:val="a6a6a6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color w:val="a6a6a6"/>
          <w:sz w:val="24"/>
          <w:szCs w:val="24"/>
          <w:rtl w:val="0"/>
        </w:rPr>
        <w:t xml:space="preserve">. Acesso em: 08 mar. 2024.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ind w:left="426" w:hanging="426"/>
        <w:rPr>
          <w:i w:val="1"/>
        </w:rPr>
      </w:pPr>
      <w:bookmarkStart w:colFirst="0" w:colLast="0" w:name="_26in1rg" w:id="15"/>
      <w:bookmarkEnd w:id="15"/>
      <w:r w:rsidDel="00000000" w:rsidR="00000000" w:rsidRPr="00000000">
        <w:rPr>
          <w:rtl w:val="0"/>
        </w:rPr>
        <w:t xml:space="preserve">1.9 Retrospectiva dos </w:t>
      </w:r>
      <w:r w:rsidDel="00000000" w:rsidR="00000000" w:rsidRPr="00000000">
        <w:rPr>
          <w:i w:val="1"/>
          <w:rtl w:val="0"/>
        </w:rPr>
        <w:t xml:space="preserve">Sprints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Apresentar as reflexões e revisões do projeto realizado durante o ritual de retrospectiva dos Sprints.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Sugestão de bibliografia:</w:t>
      </w:r>
    </w:p>
    <w:p w:rsidR="00000000" w:rsidDel="00000000" w:rsidP="00000000" w:rsidRDefault="00000000" w:rsidRPr="00000000" w14:paraId="000000D4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SUTHERLAND, J.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0D5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SCRUMSTUDY, Guia SBOK: Guia para o Conhecimento em Scrum, Arizona, EUA: SCRUMstudy, 2016. </w:t>
      </w:r>
      <w:hyperlink r:id="rId18">
        <w:r w:rsidDel="00000000" w:rsidR="00000000" w:rsidRPr="00000000">
          <w:rPr>
            <w:color w:val="a6a6a6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color w:val="a6a6a6"/>
          <w:sz w:val="24"/>
          <w:szCs w:val="24"/>
          <w:rtl w:val="0"/>
        </w:rPr>
        <w:t xml:space="preserve">. Acesso em: 08 mar. 2024.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ind w:left="426" w:hanging="426"/>
        <w:rPr/>
      </w:pPr>
      <w:bookmarkStart w:colFirst="0" w:colLast="0" w:name="_lnxbz9" w:id="16"/>
      <w:bookmarkEnd w:id="16"/>
      <w:r w:rsidDel="00000000" w:rsidR="00000000" w:rsidRPr="00000000">
        <w:rPr>
          <w:rtl w:val="0"/>
        </w:rPr>
        <w:t xml:space="preserve">1.10 Retrospectiva do Projeto.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Apresentar as reflexões e revisões do projeto realizado durante o ritual de retrospectiva do projeto.</w:t>
      </w:r>
    </w:p>
    <w:p w:rsidR="00000000" w:rsidDel="00000000" w:rsidP="00000000" w:rsidRDefault="00000000" w:rsidRPr="00000000" w14:paraId="000000DA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Sugestão de bibliografia:</w:t>
      </w:r>
    </w:p>
    <w:p w:rsidR="00000000" w:rsidDel="00000000" w:rsidP="00000000" w:rsidRDefault="00000000" w:rsidRPr="00000000" w14:paraId="000000DC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SUTHERLAND, J.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0DD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SCRUMSTUDY, Guia SBOK: Guia para o Conhecimento em Scrum, Arizona, EUA: SCRUMstudy, 2016. </w:t>
      </w:r>
      <w:hyperlink r:id="rId19">
        <w:r w:rsidDel="00000000" w:rsidR="00000000" w:rsidRPr="00000000">
          <w:rPr>
            <w:color w:val="a6a6a6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color w:val="a6a6a6"/>
          <w:sz w:val="24"/>
          <w:szCs w:val="24"/>
          <w:rtl w:val="0"/>
        </w:rPr>
        <w:t xml:space="preserve">. Acesso em: 08 mar. 2024.</w:t>
      </w:r>
    </w:p>
    <w:p w:rsidR="00000000" w:rsidDel="00000000" w:rsidP="00000000" w:rsidRDefault="00000000" w:rsidRPr="00000000" w14:paraId="000000DE">
      <w:pPr>
        <w:pStyle w:val="Heading1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numPr>
          <w:ilvl w:val="0"/>
          <w:numId w:val="3"/>
        </w:numPr>
        <w:ind w:left="426" w:hanging="426"/>
        <w:rPr>
          <w:color w:val="ff0000"/>
        </w:rPr>
      </w:pPr>
      <w:bookmarkStart w:colFirst="0" w:colLast="0" w:name="_35nkun2" w:id="17"/>
      <w:bookmarkEnd w:id="17"/>
      <w:r w:rsidDel="00000000" w:rsidR="00000000" w:rsidRPr="00000000">
        <w:rPr>
          <w:color w:val="ff0000"/>
          <w:rtl w:val="0"/>
        </w:rPr>
        <w:t xml:space="preserve">Desenvolvimento Web III</w:t>
      </w:r>
    </w:p>
    <w:p w:rsidR="00000000" w:rsidDel="00000000" w:rsidP="00000000" w:rsidRDefault="00000000" w:rsidRPr="00000000" w14:paraId="000000E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xxx</w:t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3"/>
        </w:numPr>
        <w:ind w:left="405" w:hanging="405"/>
        <w:rPr>
          <w:color w:val="ff0000"/>
        </w:rPr>
      </w:pPr>
      <w:bookmarkStart w:colFirst="0" w:colLast="0" w:name="_1ksv4uv" w:id="18"/>
      <w:bookmarkEnd w:id="18"/>
      <w:r w:rsidDel="00000000" w:rsidR="00000000" w:rsidRPr="00000000">
        <w:rPr>
          <w:color w:val="ff0000"/>
          <w:rtl w:val="0"/>
        </w:rPr>
        <w:t xml:space="preserve">xxx</w:t>
      </w:r>
    </w:p>
    <w:p w:rsidR="00000000" w:rsidDel="00000000" w:rsidP="00000000" w:rsidRDefault="00000000" w:rsidRPr="00000000" w14:paraId="000000E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xxx.</w:t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3"/>
        </w:numPr>
        <w:ind w:left="405" w:hanging="405"/>
        <w:rPr>
          <w:color w:val="ff0000"/>
        </w:rPr>
      </w:pPr>
      <w:bookmarkStart w:colFirst="0" w:colLast="0" w:name="_44sinio" w:id="19"/>
      <w:bookmarkEnd w:id="19"/>
      <w:r w:rsidDel="00000000" w:rsidR="00000000" w:rsidRPr="00000000">
        <w:rPr>
          <w:color w:val="ff0000"/>
          <w:rtl w:val="0"/>
        </w:rPr>
        <w:t xml:space="preserve">xxx</w:t>
      </w:r>
    </w:p>
    <w:p w:rsidR="00000000" w:rsidDel="00000000" w:rsidP="00000000" w:rsidRDefault="00000000" w:rsidRPr="00000000" w14:paraId="000000E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rtl w:val="0"/>
        </w:rPr>
        <w:t xml:space="preserve">xxx.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numPr>
          <w:ilvl w:val="1"/>
          <w:numId w:val="4"/>
        </w:numPr>
        <w:ind w:left="405" w:hanging="405"/>
        <w:rPr>
          <w:color w:val="ff0000"/>
        </w:rPr>
      </w:pPr>
      <w:bookmarkStart w:colFirst="0" w:colLast="0" w:name="_2jxsxqh" w:id="20"/>
      <w:bookmarkEnd w:id="20"/>
      <w:r w:rsidDel="00000000" w:rsidR="00000000" w:rsidRPr="00000000">
        <w:rPr>
          <w:color w:val="ff0000"/>
          <w:rtl w:val="0"/>
        </w:rPr>
        <w:t xml:space="preserve">xxx</w:t>
      </w:r>
    </w:p>
    <w:p w:rsidR="00000000" w:rsidDel="00000000" w:rsidP="00000000" w:rsidRDefault="00000000" w:rsidRPr="00000000" w14:paraId="000000E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xxx</w:t>
      </w:r>
    </w:p>
    <w:p w:rsidR="00000000" w:rsidDel="00000000" w:rsidP="00000000" w:rsidRDefault="00000000" w:rsidRPr="00000000" w14:paraId="000000E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numPr>
          <w:ilvl w:val="0"/>
          <w:numId w:val="4"/>
        </w:numPr>
        <w:ind w:left="426" w:hanging="426"/>
        <w:rPr/>
      </w:pPr>
      <w:bookmarkStart w:colFirst="0" w:colLast="0" w:name="_z337ya" w:id="21"/>
      <w:bookmarkEnd w:id="21"/>
      <w:r w:rsidDel="00000000" w:rsidR="00000000" w:rsidRPr="00000000">
        <w:rPr>
          <w:rtl w:val="0"/>
        </w:rPr>
        <w:t xml:space="preserve">Banco de dados Não Relacional</w:t>
      </w:r>
    </w:p>
    <w:p w:rsidR="00000000" w:rsidDel="00000000" w:rsidP="00000000" w:rsidRDefault="00000000" w:rsidRPr="00000000" w14:paraId="000000EE">
      <w:pPr>
        <w:ind w:firstLine="426"/>
        <w:rPr/>
      </w:pPr>
      <w:r w:rsidDel="00000000" w:rsidR="00000000" w:rsidRPr="00000000">
        <w:rPr>
          <w:rtl w:val="0"/>
        </w:rPr>
        <w:t xml:space="preserve">O uso de bancos de dados não relacionais, ou NoSQL, tem sido cada vez mais valorizado devido ao crescimento exponencial no volume de dados e à maior complexidade dos mesmos. Nos bancos de dados relacionais tradicionais, os dados são organizados em tabelas e um esquema rígido é necessário, nos bancos NoSQL é permitida uma estrutura flexível, adaptando-se melhor às demandas de dados variados e dinâmicos. De acordo com Boaglio (2015), a flexibilidade dos esquemas de bancos NoSQL, como o MongoDB, é destacada, permitindo que dados sejam inseridos sem a necessidade de um esquema pré-definido e facilitando mudanças rápidas nas aplicações.</w:t>
      </w:r>
    </w:p>
    <w:p w:rsidR="00000000" w:rsidDel="00000000" w:rsidP="00000000" w:rsidRDefault="00000000" w:rsidRPr="00000000" w14:paraId="000000EF">
      <w:pPr>
        <w:ind w:firstLine="426"/>
        <w:rPr/>
      </w:pPr>
      <w:r w:rsidDel="00000000" w:rsidR="00000000" w:rsidRPr="00000000">
        <w:rPr>
          <w:rtl w:val="0"/>
        </w:rPr>
        <w:t xml:space="preserve">A escalabilidade horizontal também é oferecida pelos bancos de dados NoSQL, o que torna possível o armazenamento de grandes volumes de dados em várias máquinas, sem a perda de desempenho. Esse recurso é enfatizado por Sadlage e Fowler (2013), que explicam como essa escalabilidade permite que clusters de servidores comuns sejam utilizados para atender a grandes quantidades de dados, mantendo a eficiência no acesso. Em sistemas de grande escala, como redes sociais e plataformas de streaming, essa capacidade é considerada essencial para garantir alta disponibilidade e performance frente a volumes elevados de transações.</w:t>
      </w:r>
    </w:p>
    <w:p w:rsidR="00000000" w:rsidDel="00000000" w:rsidP="00000000" w:rsidRDefault="00000000" w:rsidRPr="00000000" w14:paraId="000000F0">
      <w:pPr>
        <w:ind w:firstLine="426"/>
        <w:rPr/>
      </w:pPr>
      <w:r w:rsidDel="00000000" w:rsidR="00000000" w:rsidRPr="00000000">
        <w:rPr>
          <w:rtl w:val="0"/>
        </w:rPr>
        <w:t xml:space="preserve">Além disso, modelos de dados distintos são suportados por bancos NoSQL, entre eles documentos, chave-valor, colunares e grafos, o que facilita o uso em aplicações que requerem estruturas de dados variadas. Segundo Elmasri e Navathe (2019), os bancos NoSQL são especialmente indicados para dados semi-estruturados ou não estruturados, como texto e imagens, e para redes de conexões complexas, contrastando com os bancos de dados relacionais, que atendem melhor a dados altamente estruturados. Assim, uma maior variedade de dados pode ser suportada e tratada com eficiência.</w:t>
      </w:r>
    </w:p>
    <w:p w:rsidR="00000000" w:rsidDel="00000000" w:rsidP="00000000" w:rsidRDefault="00000000" w:rsidRPr="00000000" w14:paraId="000000F1">
      <w:pPr>
        <w:ind w:firstLine="405"/>
        <w:rPr/>
      </w:pPr>
      <w:r w:rsidDel="00000000" w:rsidR="00000000" w:rsidRPr="00000000">
        <w:rPr>
          <w:rtl w:val="0"/>
        </w:rPr>
        <w:t xml:space="preserve">A persistência poliglota, prática pela qual diferentes tipos de bancos de dados são combinados para atender necessidades específicas de uma aplicação, também é facilitada pelos bancos de dados NoSQL. Esse conceito é explorado por Singh (2001), que ressalta a importância de se escolher o modelo de dados mais adequado para cada contexto. Em sistemas híbridos, bancos de dados NoSQL são utilizados para armazenar dados que demandam rápida leitura e escrita, enquanto os bancos relacionais ficam responsáveis por dados com relações mais complexas, criando um ambiente eficiente e adaptável.</w:t>
      </w:r>
    </w:p>
    <w:p w:rsidR="00000000" w:rsidDel="00000000" w:rsidP="00000000" w:rsidRDefault="00000000" w:rsidRPr="00000000" w14:paraId="000000F2">
      <w:pPr>
        <w:ind w:firstLine="405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Explique, em seu projeto, por que o uso de um banco de dados NoSQL é fundamental ou importante para atender às necessidades específicas da aplicação. Considere os benefícios oferecidos pelo NoSQL, como flexibilidade de esquemas, escalabilidade horizontal e capacidade de lidar com grandes volumes de dados não estruturados ou semi-estruturados. Destaque também como o modelo NoSQL pode melhorar a eficiência e a performance de consultas e operações no contexto do seu projeto, comparado a uma solução relacional tradicional.</w:t>
      </w:r>
    </w:p>
    <w:p w:rsidR="00000000" w:rsidDel="00000000" w:rsidP="00000000" w:rsidRDefault="00000000" w:rsidRPr="00000000" w14:paraId="000000F3">
      <w:pPr>
        <w:pStyle w:val="Heading2"/>
        <w:numPr>
          <w:ilvl w:val="1"/>
          <w:numId w:val="4"/>
        </w:numPr>
        <w:ind w:left="405" w:hanging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CRUD E ETL</w:t>
      </w:r>
    </w:p>
    <w:p w:rsidR="00000000" w:rsidDel="00000000" w:rsidP="00000000" w:rsidRDefault="00000000" w:rsidRPr="00000000" w14:paraId="000000F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CRUD (Create, Read, Update, Delete) e ETL (Extract, Transform, Load) são conceitos fundamentais no gerenciamento e manipulação de dados, mas desempenham papéis diferentes em sistemas de banco de dados. Enquanto o CRUD define as operações básicas para a manutenção de registros em um banco de dados, o ETL é focado na preparação e movimentação de dados entre sistemas, geralmente com o objetivo de análise e tomada de decisão (Elmasri &amp; Navathe, 2019).</w:t>
      </w:r>
    </w:p>
    <w:p w:rsidR="00000000" w:rsidDel="00000000" w:rsidP="00000000" w:rsidRDefault="00000000" w:rsidRPr="00000000" w14:paraId="000000F6">
      <w:pPr>
        <w:ind w:firstLine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 contexto de um banco de dados transacional, como um sistema de vendas, as operações CRUD permitem que os dados sejam manipulados em tempo real: o usuário pode criar um novo registro (por exemplo, adicionando uma nova venda), ler ou visualizar dados (como consultar um histórico de vendas), atualizar informações (alterando o valor de uma venda), ou deletar registros. Esse modelo é ideal para aplicativos que exigem interações constantes com o banco de dados, garantindo que as informações estejam sempre atualizadas para atender a atividades operacionais (Boaglio, 2015).</w:t>
      </w:r>
    </w:p>
    <w:p w:rsidR="00000000" w:rsidDel="00000000" w:rsidP="00000000" w:rsidRDefault="00000000" w:rsidRPr="00000000" w14:paraId="000000F7">
      <w:pPr>
        <w:ind w:firstLine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Por outro lado, o ETL se concentra em extrair dados de sistemas transacionais ou outras fontes, transformá-los em um formato que atenda às necessidades analíticas e carregá-los em um data warehouse ou banco de dados analítico. Em um cenário de análise de vendas, por exemplo, o ETL seria responsável por consolidar os dados das vendas de diferentes sistemas em um único local, aplicando transformações para padronizar informações como formatos de data ou moeda e garantindo que o conjunto de dados seja coeso e pronto para análise (Singh, 2001). Dessa forma, o ETL apoia a criação de relatórios, dashboards e análises preditivas, com dados historicamente consistentes e atualizados periodicamente.</w:t>
      </w:r>
    </w:p>
    <w:p w:rsidR="00000000" w:rsidDel="00000000" w:rsidP="00000000" w:rsidRDefault="00000000" w:rsidRPr="00000000" w14:paraId="000000F8">
      <w:pPr>
        <w:ind w:firstLine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Ambos os processos podem ser complementares em um ambiente de data warehousing. As operações CRUD mantêm o sistema transacional atualizado, enquanto o ETL periodicamente extrai esses dados para o ambiente analítico. Essa integração é essencial para permitir que as organizações não apenas executem suas operações diárias com precisão, mas também utilizem os dados operacionais de forma a gerar insights estratégicos (Sadalage &amp; Fowler, 2013). Portanto, CRUD e ETL formam uma base sólida para a gestão de dados em múltiplos níveis, com o CRUD mantendo a integridade operacional e o ETL apoiando a análise e o planejamento estratégico.</w:t>
      </w:r>
    </w:p>
    <w:p w:rsidR="00000000" w:rsidDel="00000000" w:rsidP="00000000" w:rsidRDefault="00000000" w:rsidRPr="00000000" w14:paraId="000000F9">
      <w:pPr>
        <w:ind w:firstLine="405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Explique, em seu projeto, por que o uso de um banco de dados NoSQL é fundamental ou importante para atender às necessidades específicas da aplicação. Considere os benefícios oferecidos pelo NoSQL, como flexibilidade de esquemas, escalabilidade horizontal e capacidade de lidar com grandes volumes de dados não estruturados ou semi-estruturados. Destaque também como o modelo NoSQL pode melhorar a eficiência e a performance de consultas e operações no contexto do seu projeto, comparado a uma solução relacional tradicional.</w:t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4"/>
        </w:numPr>
        <w:ind w:left="405" w:hanging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 Importância de Dashboards e Consultas Estratégicas para a Tomada de Decisão Empresarial</w:t>
      </w:r>
    </w:p>
    <w:p w:rsidR="00000000" w:rsidDel="00000000" w:rsidP="00000000" w:rsidRDefault="00000000" w:rsidRPr="00000000" w14:paraId="000000F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Dashboards e consultas de valor para o negócio são ferramentas essenciais para transformar dados brutos em informações acionáveis, oferecendo uma visão clara e concisa do desempenho da organização. Os dashboards, muitas vezes definidos como painéis de controle visual, consolidam indicadores-chave de desempenho (KPIs) e métricas importantes em uma interface interativa, permitindo que gestores e analistas acompanhem as operações e tomem decisões informadas em tempo real (Singh, 2001). Esse recurso visual é crucial para simplificar dados complexos e torná-los acessíveis, de modo que mesmo os tomadores de decisão que não possuem um conhecimento técnico profundo possam entender rapidamente as principais tendências e desafios enfrentados pela organização.</w:t>
      </w:r>
    </w:p>
    <w:p w:rsidR="00000000" w:rsidDel="00000000" w:rsidP="00000000" w:rsidRDefault="00000000" w:rsidRPr="00000000" w14:paraId="000000FD">
      <w:pPr>
        <w:ind w:firstLine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Consultas de valor para o negócio, por sua vez, envolvem a realização de análises orientadas para responder questões específicas e relevantes para os objetivos estratégicos da organização. Essas consultas são voltadas para a extração de insights que apoiam decisões sobre, por exemplo, a identificação de padrões de comportamento do cliente, o monitoramento de despesas e receitas, ou a análise de desempenho de produtos e serviços. De acordo com Elmasri e Navathe (2019), diferente de consultas operacionais simples, que recuperam dados específicos para tarefas de rotina, as consultas de valor têm uma profundidade analítica maior, explorando os dados para responder a perguntas críticas para o sucesso do negócio e identificando áreas de oportunidade e melhoria.</w:t>
      </w:r>
    </w:p>
    <w:p w:rsidR="00000000" w:rsidDel="00000000" w:rsidP="00000000" w:rsidRDefault="00000000" w:rsidRPr="00000000" w14:paraId="000000FE">
      <w:pPr>
        <w:ind w:firstLine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Ao serem integrados a dashboards, os resultados das consultas de valor ampliam ainda mais a capacidade analítica do sistema, pois permitem que as informações derivadas dessas consultas sejam visualizadas de forma dinâmica e visual. Isso facilita a compreensão dos dados e possibilita uma análise comparativa e temporal, ajudando os gestores a identificar rapidamente mudanças e tendências (Sadalage &amp; Fowler, 2013). Além disso, a atualização em tempo real dos dashboards proporciona uma visão atualizada, que é essencial para empresas que operam em mercados dinâmicos e competitivos. Quando bem projetados, esses dashboards vão além da exibição de dados e promovem a exploração de insights, permitindo a combinação de métricas e a geração de relatórios detalhados.</w:t>
      </w:r>
    </w:p>
    <w:p w:rsidR="00000000" w:rsidDel="00000000" w:rsidP="00000000" w:rsidRDefault="00000000" w:rsidRPr="00000000" w14:paraId="000000FF">
      <w:pPr>
        <w:ind w:firstLine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 importância dos dashboards e das consultas de valor para o negócio se reflete na maneira como essas ferramentas impactam diretamente a tomada de decisão. Dados isolados dificilmente têm valor estratégico; é a análise e a interpretação por meio de ferramentas visuais e consultas relevantes que conferem significado e contexto a esses dados, transformando-os em ativos estratégicos (Boaglio, 2015). Essa abordagem permite que decisões sejam embasadas em dados concretos, aumentando a precisão e a agilidade nas respostas às demandas do mercado. Em última instância, dashboards e consultas de valor para o negócio tornam-se um diferencial competitivo, capacitando as organizações a serem mais proativas e a responderem de forma eficaz aos desafios e oportunidades do ambiente corporativo.</w:t>
      </w:r>
    </w:p>
    <w:p w:rsidR="00000000" w:rsidDel="00000000" w:rsidP="00000000" w:rsidRDefault="00000000" w:rsidRPr="00000000" w14:paraId="00000100">
      <w:pPr>
        <w:ind w:firstLine="405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Explique em seu projeto por que o uso de dashboards é fundamental para atender aos objetivos específicos da aplicação. Considere os benefícios de dashboards como ferramentas de visualização que consolidam indicadores-chave de desempenho (KPIs) e métricas essenciais em uma interface interativa. Aborde como os dashboards facilitam o monitoramento em tempo real, permitindo que os usuários compreendam dados complexos rapidamente e identifiquem tendências ou áreas que exigem atenção imediata. Além disso, destaque como a apresentação visual dos dados apoia a tomada de decisão, transformando informações em insights acionáveis e contribuindo para o sucesso do projeto.</w:t>
      </w:r>
    </w:p>
    <w:p w:rsidR="00000000" w:rsidDel="00000000" w:rsidP="00000000" w:rsidRDefault="00000000" w:rsidRPr="00000000" w14:paraId="00000101">
      <w:pPr>
        <w:ind w:firstLine="405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405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Relacione a construção de seu projeto acom as características dos banco de dados NoSQL.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numPr>
          <w:ilvl w:val="0"/>
          <w:numId w:val="4"/>
        </w:numPr>
        <w:ind w:left="426" w:hanging="426"/>
        <w:rPr>
          <w:color w:val="ff0000"/>
        </w:rPr>
      </w:pPr>
      <w:bookmarkStart w:colFirst="0" w:colLast="0" w:name="_3j2qqm3" w:id="22"/>
      <w:bookmarkEnd w:id="22"/>
      <w:r w:rsidDel="00000000" w:rsidR="00000000" w:rsidRPr="00000000">
        <w:rPr>
          <w:color w:val="ff0000"/>
          <w:rtl w:val="0"/>
        </w:rPr>
        <w:t xml:space="preserve">Considerações Finais</w:t>
      </w:r>
    </w:p>
    <w:p w:rsidR="00000000" w:rsidDel="00000000" w:rsidP="00000000" w:rsidRDefault="00000000" w:rsidRPr="00000000" w14:paraId="0000010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Conclusão: Concluir o trabalho e destacar aprendizados</w:t>
      </w:r>
    </w:p>
    <w:p w:rsidR="00000000" w:rsidDel="00000000" w:rsidP="00000000" w:rsidRDefault="00000000" w:rsidRPr="00000000" w14:paraId="0000010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Contribuições Individuais: Descrever as contribuições individuais de cada membro da equipe</w:t>
      </w:r>
    </w:p>
    <w:p w:rsidR="00000000" w:rsidDel="00000000" w:rsidP="00000000" w:rsidRDefault="00000000" w:rsidRPr="00000000" w14:paraId="0000010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spacing w:before="0" w:line="360" w:lineRule="auto"/>
        <w:ind w:left="720" w:hanging="720"/>
        <w:rPr/>
      </w:pPr>
      <w:bookmarkStart w:colFirst="0" w:colLast="0" w:name="_1y810tw" w:id="23"/>
      <w:bookmarkEnd w:id="23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AMARAL, D. C. et al.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Ágil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aplicações em produtos inovadores. São Paulo: Saraiva, 2011.</w:t>
      </w:r>
    </w:p>
    <w:p w:rsidR="00000000" w:rsidDel="00000000" w:rsidP="00000000" w:rsidRDefault="00000000" w:rsidRPr="00000000" w14:paraId="0000010B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BROWN, T.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Desing thinking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uma metodologia poderosa para decretar o fim das velhas ideias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Rio de Janeiro: Editora Alta Books, 2020.</w:t>
      </w:r>
    </w:p>
    <w:p w:rsidR="00000000" w:rsidDel="00000000" w:rsidP="00000000" w:rsidRDefault="00000000" w:rsidRPr="00000000" w14:paraId="0000010C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BUZAN, T.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Mapas Mentais Para os Negócios</w:t>
      </w:r>
      <w:r w:rsidDel="00000000" w:rsidR="00000000" w:rsidRPr="00000000">
        <w:rPr>
          <w:sz w:val="24"/>
          <w:szCs w:val="24"/>
          <w:rtl w:val="0"/>
        </w:rPr>
        <w:t xml:space="preserve">: Revolucione Sua Atividade Empresarial e a Maneira Como Você Trabalha. São Paulo: Cultrix, 2017.</w:t>
      </w:r>
    </w:p>
    <w:p w:rsidR="00000000" w:rsidDel="00000000" w:rsidP="00000000" w:rsidRDefault="00000000" w:rsidRPr="00000000" w14:paraId="0000010D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CAROLI, P. </w:t>
      </w:r>
      <w:r w:rsidDel="00000000" w:rsidR="00000000" w:rsidRPr="00000000">
        <w:rPr>
          <w:b w:val="1"/>
          <w:sz w:val="24"/>
          <w:szCs w:val="24"/>
          <w:rtl w:val="0"/>
        </w:rPr>
        <w:t xml:space="preserve">Direto ao ponto: criando produtos de forma enxuta</w:t>
      </w:r>
      <w:r w:rsidDel="00000000" w:rsidR="00000000" w:rsidRPr="00000000">
        <w:rPr>
          <w:sz w:val="24"/>
          <w:szCs w:val="24"/>
          <w:rtl w:val="0"/>
        </w:rPr>
        <w:t xml:space="preserve">. São Paulo: Editora Casa do Código, 2015.</w:t>
      </w:r>
    </w:p>
    <w:p w:rsidR="00000000" w:rsidDel="00000000" w:rsidP="00000000" w:rsidRDefault="00000000" w:rsidRPr="00000000" w14:paraId="0000010E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CAMARGO, R. </w:t>
      </w:r>
      <w:r w:rsidDel="00000000" w:rsidR="00000000" w:rsidRPr="00000000">
        <w:rPr>
          <w:b w:val="1"/>
          <w:sz w:val="24"/>
          <w:szCs w:val="24"/>
          <w:rtl w:val="0"/>
        </w:rPr>
        <w:t xml:space="preserve">PM Visual</w:t>
      </w:r>
      <w:r w:rsidDel="00000000" w:rsidR="00000000" w:rsidRPr="00000000">
        <w:rPr>
          <w:sz w:val="24"/>
          <w:szCs w:val="24"/>
          <w:rtl w:val="0"/>
        </w:rPr>
        <w:t xml:space="preserve">: Project Model Visual – Gestão de projetos simples e eficaz. 2. ed. São Paulo: Saraiva Educação, 2019. </w:t>
      </w:r>
    </w:p>
    <w:p w:rsidR="00000000" w:rsidDel="00000000" w:rsidP="00000000" w:rsidRDefault="00000000" w:rsidRPr="00000000" w14:paraId="0000010F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COUTINHO, Heitor. </w:t>
      </w:r>
      <w:r w:rsidDel="00000000" w:rsidR="00000000" w:rsidRPr="00000000">
        <w:rPr>
          <w:b w:val="1"/>
          <w:sz w:val="24"/>
          <w:szCs w:val="24"/>
          <w:rtl w:val="0"/>
        </w:rPr>
        <w:t xml:space="preserve">Da estratégia ágil aos resultados</w:t>
      </w:r>
      <w:r w:rsidDel="00000000" w:rsidR="00000000" w:rsidRPr="00000000">
        <w:rPr>
          <w:sz w:val="24"/>
          <w:szCs w:val="24"/>
          <w:rtl w:val="0"/>
        </w:rPr>
        <w:t xml:space="preserve">. São Paulo: Saraiva, 2019.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CRUZ, F. PMO Ágil: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Escritório Ágil de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São Paulo: BRASPORT, 2016.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CRUZ, F.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 e Agile em Projetos Guia Completo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conquiste sua certificação e aprenda a usar métodos ágeis no seu dia a dia. 2 ed. São Paulo: Brasport, 2018.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CRUZ, F.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 e PMBOK unidos no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São Paulo: Brasport, 2013.</w:t>
      </w:r>
    </w:p>
    <w:p w:rsidR="00000000" w:rsidDel="00000000" w:rsidP="00000000" w:rsidRDefault="00000000" w:rsidRPr="00000000" w14:paraId="00000113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MATSUMOTO, Mayra, </w:t>
      </w:r>
      <w:r w:rsidDel="00000000" w:rsidR="00000000" w:rsidRPr="00000000">
        <w:rPr>
          <w:b w:val="1"/>
          <w:sz w:val="24"/>
          <w:szCs w:val="24"/>
          <w:rtl w:val="0"/>
        </w:rPr>
        <w:t xml:space="preserve">MVP</w:t>
      </w:r>
      <w:r w:rsidDel="00000000" w:rsidR="00000000" w:rsidRPr="00000000">
        <w:rPr>
          <w:sz w:val="24"/>
          <w:szCs w:val="24"/>
          <w:rtl w:val="0"/>
        </w:rPr>
        <w:t xml:space="preserve">: a forma eficiente de criar, validar e comercializar um novo produto ou serviço, Kindle: Amazon.com, 2020.</w:t>
      </w:r>
    </w:p>
    <w:p w:rsidR="00000000" w:rsidDel="00000000" w:rsidP="00000000" w:rsidRDefault="00000000" w:rsidRPr="00000000" w14:paraId="00000114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OSTERWALDER, A.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Business model generation: inovação em modelos de negócios</w:t>
      </w:r>
      <w:r w:rsidDel="00000000" w:rsidR="00000000" w:rsidRPr="00000000">
        <w:rPr>
          <w:sz w:val="24"/>
          <w:szCs w:val="24"/>
          <w:rtl w:val="0"/>
        </w:rPr>
        <w:t xml:space="preserve">. Rio de Janeiro: Editora Alta Books, 2011.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PMI.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Guia PMBOK®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Guia para o Conjunto de Conhecimentos em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7ª. ed. Pennsylvania: PMI, 2021.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PMI.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Guia de Prática Ágil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EUA: Project Management Institute, 2018.</w:t>
      </w:r>
    </w:p>
    <w:p w:rsidR="00000000" w:rsidDel="00000000" w:rsidP="00000000" w:rsidRDefault="00000000" w:rsidRPr="00000000" w14:paraId="00000117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RIES, E. </w:t>
      </w:r>
      <w:r w:rsidDel="00000000" w:rsidR="00000000" w:rsidRPr="00000000">
        <w:rPr>
          <w:b w:val="1"/>
          <w:sz w:val="24"/>
          <w:szCs w:val="24"/>
          <w:rtl w:val="0"/>
        </w:rPr>
        <w:t xml:space="preserve">A Startup Enxuta.</w:t>
      </w:r>
      <w:r w:rsidDel="00000000" w:rsidR="00000000" w:rsidRPr="00000000">
        <w:rPr>
          <w:sz w:val="24"/>
          <w:szCs w:val="24"/>
          <w:rtl w:val="0"/>
        </w:rPr>
        <w:t xml:space="preserve"> São Paulo: Editora Leya, 2019.</w:t>
      </w:r>
    </w:p>
    <w:p w:rsidR="00000000" w:rsidDel="00000000" w:rsidP="00000000" w:rsidRDefault="00000000" w:rsidRPr="00000000" w14:paraId="00000118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SBROCCO, Jose. H. T. C.; MACEDO, Paulo C. de.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Metodologias ágeis: Engenharia de Software sob medida</w:t>
      </w:r>
      <w:r w:rsidDel="00000000" w:rsidR="00000000" w:rsidRPr="00000000">
        <w:rPr>
          <w:sz w:val="24"/>
          <w:szCs w:val="24"/>
          <w:rtl w:val="0"/>
        </w:rPr>
        <w:t xml:space="preserve">. São Paulo: Érica, 2012.</w:t>
      </w:r>
    </w:p>
    <w:p w:rsidR="00000000" w:rsidDel="00000000" w:rsidP="00000000" w:rsidRDefault="00000000" w:rsidRPr="00000000" w14:paraId="00000119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SEBRAE, CANVAS: Como estruturar seu modelo de negócio. </w:t>
      </w:r>
      <w:r w:rsidDel="00000000" w:rsidR="00000000" w:rsidRPr="00000000">
        <w:rPr>
          <w:b w:val="1"/>
          <w:sz w:val="24"/>
          <w:szCs w:val="24"/>
          <w:rtl w:val="0"/>
        </w:rPr>
        <w:t xml:space="preserve">SEBRAEPR, </w:t>
      </w:r>
      <w:r w:rsidDel="00000000" w:rsidR="00000000" w:rsidRPr="00000000">
        <w:rPr>
          <w:sz w:val="24"/>
          <w:szCs w:val="24"/>
          <w:rtl w:val="0"/>
        </w:rPr>
        <w:t xml:space="preserve">2024. Disponível em: </w:t>
      </w:r>
      <w:hyperlink r:id="rId20">
        <w:r w:rsidDel="00000000" w:rsidR="00000000" w:rsidRPr="00000000">
          <w:rPr>
            <w:color w:val="000000"/>
            <w:sz w:val="24"/>
            <w:szCs w:val="24"/>
            <w:u w:val="single"/>
            <w:rtl w:val="0"/>
          </w:rPr>
          <w:t xml:space="preserve">https://www.sebraepr.com.br/canvas-como-estruturar-seu-modelo-de-negocios/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25 maio 2024.</w:t>
      </w:r>
    </w:p>
    <w:p w:rsidR="00000000" w:rsidDel="00000000" w:rsidP="00000000" w:rsidRDefault="00000000" w:rsidRPr="00000000" w14:paraId="0000011A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SCRUMSTUDY, </w:t>
      </w:r>
      <w:r w:rsidDel="00000000" w:rsidR="00000000" w:rsidRPr="00000000">
        <w:rPr>
          <w:b w:val="1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sz w:val="24"/>
          <w:szCs w:val="24"/>
          <w:rtl w:val="0"/>
        </w:rPr>
        <w:t xml:space="preserve">, Arizona, EUA: SCRUMstudy, 2016. </w:t>
      </w:r>
      <w:hyperlink r:id="rId21">
        <w:r w:rsidDel="00000000" w:rsidR="00000000" w:rsidRPr="00000000">
          <w:rPr>
            <w:sz w:val="24"/>
            <w:szCs w:val="24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08 mar. 2024.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SUTHERLAND, J.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11C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SUTHERLAND, J. J.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Scrum</w:t>
      </w:r>
      <w:r w:rsidDel="00000000" w:rsidR="00000000" w:rsidRPr="00000000">
        <w:rPr>
          <w:sz w:val="24"/>
          <w:szCs w:val="24"/>
          <w:rtl w:val="0"/>
        </w:rPr>
        <w:t xml:space="preserve">: guia prático, Sextante, Rio de Janeiro, 2020.</w:t>
      </w:r>
    </w:p>
    <w:p w:rsidR="00000000" w:rsidDel="00000000" w:rsidP="00000000" w:rsidRDefault="00000000" w:rsidRPr="00000000" w14:paraId="0000011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ind w:left="710" w:hanging="710"/>
        <w:rPr>
          <w:color w:val="ff0000"/>
        </w:rPr>
      </w:pPr>
      <w:bookmarkStart w:colFirst="0" w:colLast="0" w:name="_4i7ojhp" w:id="24"/>
      <w:bookmarkEnd w:id="24"/>
      <w:r w:rsidDel="00000000" w:rsidR="00000000" w:rsidRPr="00000000">
        <w:rPr>
          <w:color w:val="ff0000"/>
          <w:rtl w:val="0"/>
        </w:rPr>
        <w:t xml:space="preserve">Anexo I - Diário de bordo</w:t>
      </w:r>
    </w:p>
    <w:p w:rsidR="00000000" w:rsidDel="00000000" w:rsidP="00000000" w:rsidRDefault="00000000" w:rsidRPr="00000000" w14:paraId="0000011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Link</w:t>
      </w:r>
    </w:p>
    <w:p w:rsidR="00000000" w:rsidDel="00000000" w:rsidP="00000000" w:rsidRDefault="00000000" w:rsidRPr="00000000" w14:paraId="00000121">
      <w:pPr>
        <w:pStyle w:val="Heading1"/>
        <w:ind w:left="710" w:hanging="710"/>
        <w:rPr>
          <w:color w:val="ff0000"/>
        </w:rPr>
      </w:pPr>
      <w:bookmarkStart w:colFirst="0" w:colLast="0" w:name="_2xcytpi" w:id="25"/>
      <w:bookmarkEnd w:id="25"/>
      <w:r w:rsidDel="00000000" w:rsidR="00000000" w:rsidRPr="00000000">
        <w:rPr>
          <w:color w:val="ff0000"/>
          <w:rtl w:val="0"/>
        </w:rPr>
        <w:t xml:space="preserve">Anexo II – Cronograma efetivo</w:t>
      </w:r>
    </w:p>
    <w:p w:rsidR="00000000" w:rsidDel="00000000" w:rsidP="00000000" w:rsidRDefault="00000000" w:rsidRPr="00000000" w14:paraId="0000012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ind w:left="710" w:hanging="710"/>
        <w:rPr>
          <w:color w:val="ff0000"/>
        </w:rPr>
      </w:pPr>
      <w:bookmarkStart w:colFirst="0" w:colLast="0" w:name="_1ci93xb" w:id="26"/>
      <w:bookmarkEnd w:id="26"/>
      <w:r w:rsidDel="00000000" w:rsidR="00000000" w:rsidRPr="00000000">
        <w:rPr>
          <w:color w:val="ff0000"/>
          <w:rtl w:val="0"/>
        </w:rPr>
        <w:t xml:space="preserve">Anexo III – Evidências</w:t>
      </w:r>
    </w:p>
    <w:p w:rsidR="00000000" w:rsidDel="00000000" w:rsidP="00000000" w:rsidRDefault="00000000" w:rsidRPr="00000000" w14:paraId="0000012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Link Live, participantes externos, prints.</w:t>
      </w:r>
    </w:p>
    <w:sectPr>
      <w:head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ambria"/>
  <w:font w:name="Verdana"/>
  <w:font w:name="Twentieth Century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600450" cy="657225"/>
          <wp:effectExtent b="0" l="0" r="0" t="0"/>
          <wp:docPr descr="logo-novo-cps-cor" id="7" name="image1.png"/>
          <a:graphic>
            <a:graphicData uri="http://schemas.openxmlformats.org/drawingml/2006/picture">
              <pic:pic>
                <pic:nvPicPr>
                  <pic:cNvPr descr="logo-novo-cps-co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600450" cy="65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tabs>
        <w:tab w:val="left" w:leader="none" w:pos="3540"/>
      </w:tabs>
      <w:spacing w:line="240" w:lineRule="auto"/>
      <w:jc w:val="center"/>
      <w:rPr>
        <w:b w:val="1"/>
        <w:color w:val="262626"/>
        <w:sz w:val="12"/>
        <w:szCs w:val="12"/>
      </w:rPr>
    </w:pPr>
    <w:r w:rsidDel="00000000" w:rsidR="00000000" w:rsidRPr="00000000">
      <w:rPr>
        <w:b w:val="1"/>
        <w:color w:val="262626"/>
        <w:sz w:val="12"/>
        <w:szCs w:val="12"/>
        <w:rtl w:val="0"/>
      </w:rPr>
      <w:t xml:space="preserve">_______________________________________________________________________________________________________________________________________</w:t>
    </w:r>
  </w:p>
  <w:p w:rsidR="00000000" w:rsidDel="00000000" w:rsidP="00000000" w:rsidRDefault="00000000" w:rsidRPr="00000000" w14:paraId="00000127">
    <w:pPr>
      <w:tabs>
        <w:tab w:val="left" w:leader="none" w:pos="3540"/>
      </w:tabs>
      <w:spacing w:line="240" w:lineRule="auto"/>
      <w:jc w:val="center"/>
      <w:rPr>
        <w:rFonts w:ascii="Verdana" w:cs="Verdana" w:eastAsia="Verdana" w:hAnsi="Verdana"/>
        <w:b w:val="1"/>
        <w:color w:val="880e1b"/>
        <w:sz w:val="18"/>
        <w:szCs w:val="18"/>
      </w:rPr>
    </w:pPr>
    <w:r w:rsidDel="00000000" w:rsidR="00000000" w:rsidRPr="00000000">
      <w:rPr>
        <w:rFonts w:ascii="Verdana" w:cs="Verdana" w:eastAsia="Verdana" w:hAnsi="Verdana"/>
        <w:b w:val="1"/>
        <w:color w:val="880e1b"/>
        <w:sz w:val="18"/>
        <w:szCs w:val="18"/>
        <w:rtl w:val="0"/>
      </w:rPr>
      <w:t xml:space="preserve">Fatec Araras “Antônio Brambilla”</w:t>
    </w:r>
  </w:p>
  <w:p w:rsidR="00000000" w:rsidDel="00000000" w:rsidP="00000000" w:rsidRDefault="00000000" w:rsidRPr="00000000" w14:paraId="000001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1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405" w:hanging="40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4">
    <w:lvl w:ilvl="0">
      <w:start w:val="2"/>
      <w:numFmt w:val="decimal"/>
      <w:lvlText w:val="%1."/>
      <w:lvlJc w:val="left"/>
      <w:pPr>
        <w:ind w:left="710" w:hanging="360"/>
      </w:pPr>
      <w:rPr>
        <w:sz w:val="28"/>
        <w:szCs w:val="28"/>
      </w:rPr>
    </w:lvl>
    <w:lvl w:ilvl="1">
      <w:start w:val="3"/>
      <w:numFmt w:val="decimal"/>
      <w:lvlText w:val="%1.%2"/>
      <w:lvlJc w:val="left"/>
      <w:pPr>
        <w:ind w:left="405" w:hanging="40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10" w:hanging="36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142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00" w:lineRule="auto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rPr>
      <w:rFonts w:ascii="Twentieth Century" w:cs="Twentieth Century" w:eastAsia="Twentieth Century" w:hAnsi="Twentieth Century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ebraepr.com.br/canvas-como-estruturar-seu-modelo-de-negocios/" TargetMode="External"/><Relationship Id="rId11" Type="http://schemas.openxmlformats.org/officeDocument/2006/relationships/image" Target="media/image8.png"/><Relationship Id="rId22" Type="http://schemas.openxmlformats.org/officeDocument/2006/relationships/header" Target="header1.xml"/><Relationship Id="rId10" Type="http://schemas.openxmlformats.org/officeDocument/2006/relationships/image" Target="media/image6.png"/><Relationship Id="rId21" Type="http://schemas.openxmlformats.org/officeDocument/2006/relationships/hyperlink" Target="https://www.scrumstudy.com/SBOK/SCRUMstudy-SBOK-Guide-2016-Portuguese.pdf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jpg"/><Relationship Id="rId14" Type="http://schemas.openxmlformats.org/officeDocument/2006/relationships/image" Target="media/image5.jpg"/><Relationship Id="rId17" Type="http://schemas.openxmlformats.org/officeDocument/2006/relationships/hyperlink" Target="https://www.scrumstudy.com/SBOK/SCRUMstudy-SBOK-Guide-2016-Portuguese.pdf" TargetMode="External"/><Relationship Id="rId16" Type="http://schemas.openxmlformats.org/officeDocument/2006/relationships/hyperlink" Target="https://www.scrumstudy.com/SBOK/SCRUMstudy-SBOK-Guide-2016-Portuguese.pdf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scrumstudy.com/SBOK/SCRUMstudy-SBOK-Guide-2016-Portuguese.pdf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www.scrumstudy.com/SBOK/SCRUMstudy-SBOK-Guide-2016-Portuguese.pdf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www.scrumstudy.com/SBOK/SCRUMstudy-SBOK-Guide-2016-Portuguese.pdf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0x0101006C8CDB52A11399428A73C2425D2C430C</vt:lpwstr>
  </property>
</Properties>
</file>