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9EEB15" wp14:paraId="214855F2" wp14:textId="1E1486E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</w:pPr>
    </w:p>
    <w:p xmlns:wp14="http://schemas.microsoft.com/office/word/2010/wordml" w:rsidP="289EEB15" wp14:paraId="2C078E63" wp14:textId="03EF6E9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</w:pPr>
      <w:r w:rsidRPr="289EEB15" w:rsidR="37AAFC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  <w:t># 🏦 Banking Profitability &amp; Risk Analysis</w:t>
      </w:r>
      <w:r w:rsidRPr="289EEB15" w:rsidR="0FC33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  <w:t>-</w:t>
      </w:r>
    </w:p>
    <w:p w:rsidR="0FC33750" w:rsidP="289EEB15" w:rsidRDefault="0FC33750" w14:paraId="46C8DCAC" w14:textId="48079C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</w:pPr>
      <w:r w:rsidRPr="289EEB15" w:rsidR="0FC33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  <w:t xml:space="preserve">Executive </w:t>
      </w:r>
      <w:r w:rsidRPr="289EEB15" w:rsidR="0FC33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  <w:t>Business</w:t>
      </w:r>
      <w:r w:rsidRPr="289EEB15" w:rsidR="0FC33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  <w:t xml:space="preserve"> Report</w:t>
      </w:r>
    </w:p>
    <w:p w:rsidR="0FE0FCA3" w:rsidP="289EEB15" w:rsidRDefault="0FE0FCA3" w14:paraId="59AA23B9" w14:textId="479E2AFD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2A31DDD8" w:rsidR="1C6C75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Executive Summary</w:t>
      </w:r>
    </w:p>
    <w:p w:rsidR="5481A095" w:rsidP="2A31DDD8" w:rsidRDefault="5481A095" w14:paraId="0D202906" w14:textId="50F7D5D2">
      <w:pPr>
        <w:pStyle w:val="Normal"/>
        <w:keepNext w:val="1"/>
        <w:keepLines w:val="1"/>
        <w:bidi w:val="0"/>
      </w:pPr>
      <w:r w:rsidRPr="2A31DDD8" w:rsidR="5481A095">
        <w:rPr>
          <w:rFonts w:ascii="Aptos" w:hAnsi="Aptos" w:eastAsia="Aptos" w:cs="Aptos"/>
          <w:noProof w:val="0"/>
          <w:sz w:val="24"/>
          <w:szCs w:val="24"/>
          <w:lang w:val="en-US"/>
        </w:rPr>
        <w:t>The bank profitability analysis reveals strong revenue concentration, moderate credit risk exposure, and measurable default impact across customer segments. The top 20% of customers contribute approximately 68% of total revenue, indicating heavy dependence on a small customer base. While total revenue remains strong, the gap between total revenue and risk-adjusted revenue highlights profitability erosion due to defaults and delayed payments. High-risk customers exhibit higher average days late, increasing credit exposure and potential losses. Customer distribution shows that low-value customers dominate in count but contribute less to profitability. Overall, profitability is primarily driven by high-value low-risk customers, while high-risk segments reduce effective revenue and increase default impact.</w:t>
      </w:r>
    </w:p>
    <w:p w:rsidR="73A13697" w:rsidP="2A31DDD8" w:rsidRDefault="73A13697" w14:paraId="64569AB5" w14:textId="3A6A59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31DDD8" w:rsidR="73A13697">
        <w:rPr>
          <w:rFonts w:ascii="Calibri" w:hAnsi="Calibri" w:eastAsia="Calibri" w:cs="Calibri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Key Business Insights</w:t>
      </w:r>
    </w:p>
    <w:p w:rsidR="3C7A3146" w:rsidP="289EEB15" w:rsidRDefault="3C7A3146" w14:paraId="130B3B84" w14:textId="4A832305">
      <w:pPr>
        <w:pStyle w:val="Heading3"/>
        <w:bidi w:val="0"/>
        <w:spacing w:before="281" w:beforeAutospacing="off" w:after="281" w:afterAutospacing="off"/>
        <w:jc w:val="left"/>
      </w:pPr>
      <w:r w:rsidRPr="289EEB15" w:rsidR="3C7A314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Revenue Concentration</w:t>
      </w:r>
    </w:p>
    <w:p w:rsidR="3C7A3146" w:rsidP="289EEB15" w:rsidRDefault="3C7A3146" w14:paraId="15939208" w14:textId="61778003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Top 20% customers contribute a significant portion of total revenue, indicating strong revenue concentration. The bank should prioritize retention, personalized offers, and premium services for these high-value customers.</w:t>
      </w:r>
    </w:p>
    <w:p w:rsidR="3C7A3146" w:rsidP="289EEB15" w:rsidRDefault="3C7A3146" w14:paraId="7F594905" w14:textId="5832AAF5">
      <w:pPr>
        <w:pStyle w:val="Heading3"/>
        <w:bidi w:val="0"/>
        <w:spacing w:before="281" w:beforeAutospacing="off" w:after="281" w:afterAutospacing="off"/>
        <w:jc w:val="left"/>
      </w:pPr>
      <w:r w:rsidRPr="289EEB15" w:rsidR="3C7A314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Risk-Adjusted Profitability</w:t>
      </w:r>
    </w:p>
    <w:p w:rsidR="3C7A3146" w:rsidP="289EEB15" w:rsidRDefault="3C7A3146" w14:paraId="3FD3E90C" w14:textId="6962CE3A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gap between </w:t>
      </w:r>
      <w:r w:rsidRPr="289EEB15" w:rsidR="3C7A31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Total Revenue</w:t>
      </w: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89EEB15" w:rsidR="3C7A31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Risk Adjusted Revenue</w:t>
      </w: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represents profitability loss due to defaults and risk exposure. A large gap indicates poor credit quality in the portfolio.</w:t>
      </w:r>
    </w:p>
    <w:p w:rsidR="3C7A3146" w:rsidP="289EEB15" w:rsidRDefault="3C7A3146" w14:paraId="62DC009C" w14:textId="4A66F706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Business action:</w:t>
      </w:r>
    </w:p>
    <w:p w:rsidR="3C7A3146" w:rsidP="289EEB15" w:rsidRDefault="3C7A3146" w14:paraId="2BE0E409" w14:textId="05F2DBA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tighten credit policy </w:t>
      </w:r>
    </w:p>
    <w:p w:rsidR="3C7A3146" w:rsidP="289EEB15" w:rsidRDefault="3C7A3146" w14:paraId="5ACAE7B2" w14:textId="53A1F94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risk-based pricing </w:t>
      </w:r>
    </w:p>
    <w:p w:rsidR="3C7A3146" w:rsidP="289EEB15" w:rsidRDefault="3C7A3146" w14:paraId="60D8889B" w14:textId="1558C79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reduce exposure to risky segments</w:t>
      </w:r>
    </w:p>
    <w:p w:rsidR="289EEB15" w:rsidP="289EEB15" w:rsidRDefault="289EEB15" w14:paraId="2BC7A8A8" w14:textId="6C0A6E8D">
      <w:pPr>
        <w:bidi w:val="0"/>
        <w:jc w:val="left"/>
      </w:pPr>
    </w:p>
    <w:p w:rsidR="3C7A3146" w:rsidP="289EEB15" w:rsidRDefault="3C7A3146" w14:paraId="16C63629" w14:textId="55866ECD">
      <w:pPr>
        <w:pStyle w:val="Heading3"/>
        <w:bidi w:val="0"/>
        <w:spacing w:before="281" w:beforeAutospacing="off" w:after="281" w:afterAutospacing="off"/>
        <w:jc w:val="left"/>
      </w:pPr>
      <w:r w:rsidRPr="2A31DDD8" w:rsidR="3925DA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</w:t>
      </w:r>
      <w:r w:rsidRPr="2A31DDD8" w:rsidR="06C9788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Payment Behavior Risk</w:t>
      </w:r>
    </w:p>
    <w:p w:rsidR="3C7A3146" w:rsidP="289EEB15" w:rsidRDefault="3C7A3146" w14:paraId="118B0137" w14:textId="59E11DF2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Customers with </w:t>
      </w:r>
      <w:r w:rsidRPr="289EEB15" w:rsidR="3C7A31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Max Average Days Late</w:t>
      </w: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indicate delayed repayment behavior. These customers are likely to move into default category.</w:t>
      </w:r>
    </w:p>
    <w:p w:rsidR="3C7A3146" w:rsidP="289EEB15" w:rsidRDefault="3C7A3146" w14:paraId="6603EC3A" w14:textId="503D306E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Business action:</w:t>
      </w:r>
    </w:p>
    <w:p w:rsidR="3C7A3146" w:rsidP="289EEB15" w:rsidRDefault="3C7A3146" w14:paraId="7CC32218" w14:textId="7C0CACA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early reminder notifications </w:t>
      </w:r>
    </w:p>
    <w:p w:rsidR="3C7A3146" w:rsidP="289EEB15" w:rsidRDefault="3C7A3146" w14:paraId="40A3B609" w14:textId="5067A6F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stricter repayment terms </w:t>
      </w:r>
    </w:p>
    <w:p w:rsidR="3C7A3146" w:rsidP="289EEB15" w:rsidRDefault="3C7A3146" w14:paraId="192FC972" w14:textId="22D242F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temporary credit freeze</w:t>
      </w:r>
    </w:p>
    <w:p w:rsidR="3C7A3146" w:rsidP="289EEB15" w:rsidRDefault="3C7A3146" w14:paraId="216EF972" w14:textId="2BC9F363">
      <w:pPr>
        <w:pStyle w:val="Heading3"/>
        <w:bidi w:val="0"/>
        <w:spacing w:before="281" w:beforeAutospacing="off" w:after="281" w:afterAutospacing="off"/>
        <w:jc w:val="left"/>
      </w:pPr>
      <w:r w:rsidRPr="2A31DDD8" w:rsidR="660790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</w:t>
      </w:r>
      <w:r w:rsidRPr="2A31DDD8" w:rsidR="06C9788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High Risk Customer Exposure</w:t>
      </w:r>
    </w:p>
    <w:p w:rsidR="3C7A3146" w:rsidP="289EEB15" w:rsidRDefault="3C7A3146" w14:paraId="52E9EBE1" w14:textId="676986EA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High Risk % shows how much of portfolio is exposed to risky customers. A high value means unstable revenue.</w:t>
      </w:r>
    </w:p>
    <w:p w:rsidR="3C7A3146" w:rsidP="289EEB15" w:rsidRDefault="3C7A3146" w14:paraId="271FDF96" w14:textId="0D54A4E7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Business action:</w:t>
      </w:r>
    </w:p>
    <w:p w:rsidR="3C7A3146" w:rsidP="289EEB15" w:rsidRDefault="3C7A3146" w14:paraId="24E94A0D" w14:textId="1FF67FF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reduce exposure </w:t>
      </w:r>
    </w:p>
    <w:p w:rsidR="3C7A3146" w:rsidP="289EEB15" w:rsidRDefault="3C7A3146" w14:paraId="36FC71C9" w14:textId="0AC3C05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shift focus to medium-risk profitable customers </w:t>
      </w:r>
    </w:p>
    <w:p w:rsidR="3C7A3146" w:rsidP="289EEB15" w:rsidRDefault="3C7A3146" w14:paraId="38F80073" w14:textId="7C96E91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rebalance portfolio</w:t>
      </w:r>
    </w:p>
    <w:p w:rsidR="3C7A3146" w:rsidP="289EEB15" w:rsidRDefault="3C7A3146" w14:paraId="6DA99C9C" w14:textId="23490202">
      <w:pPr>
        <w:pStyle w:val="Heading3"/>
        <w:bidi w:val="0"/>
        <w:spacing w:before="281" w:beforeAutospacing="off" w:after="281" w:afterAutospacing="off"/>
        <w:jc w:val="left"/>
      </w:pPr>
      <w:r w:rsidRPr="2A31DDD8" w:rsidR="0316B2D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</w:t>
      </w:r>
      <w:r w:rsidRPr="2A31DDD8" w:rsidR="06C9788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Early Warning Customers</w:t>
      </w:r>
    </w:p>
    <w:p w:rsidR="3C7A3146" w:rsidP="289EEB15" w:rsidRDefault="3C7A3146" w14:paraId="0BCC5238" w14:textId="2C680855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Early warning customers indicate accounts likely to default soon. These customers should be monitored closely.</w:t>
      </w:r>
    </w:p>
    <w:p w:rsidR="3C7A3146" w:rsidP="289EEB15" w:rsidRDefault="3C7A3146" w14:paraId="312CF444" w14:textId="64AEF000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Business action:</w:t>
      </w:r>
    </w:p>
    <w:p w:rsidR="3C7A3146" w:rsidP="289EEB15" w:rsidRDefault="3C7A3146" w14:paraId="18F79F6D" w14:textId="2FAD0BB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proactive collections </w:t>
      </w:r>
    </w:p>
    <w:p w:rsidR="3C7A3146" w:rsidP="289EEB15" w:rsidRDefault="3C7A3146" w14:paraId="40E2CB01" w14:textId="27F04A8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reduce credit limits </w:t>
      </w:r>
    </w:p>
    <w:p w:rsidR="3C7A3146" w:rsidP="289EEB15" w:rsidRDefault="3C7A3146" w14:paraId="5BFA8CE2" w14:textId="7358F05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risk re-evaluation</w:t>
      </w:r>
    </w:p>
    <w:p w:rsidR="289EEB15" w:rsidP="289EEB15" w:rsidRDefault="289EEB15" w14:paraId="14D7F5CC" w14:textId="312333FD">
      <w:pPr>
        <w:bidi w:val="0"/>
        <w:jc w:val="left"/>
      </w:pPr>
    </w:p>
    <w:p w:rsidR="3C7A3146" w:rsidP="289EEB15" w:rsidRDefault="3C7A3146" w14:paraId="1E79BFF1" w14:textId="18745915">
      <w:pPr>
        <w:pStyle w:val="Heading3"/>
        <w:bidi w:val="0"/>
        <w:spacing w:before="281" w:beforeAutospacing="off" w:after="281" w:afterAutospacing="off"/>
        <w:jc w:val="left"/>
      </w:pPr>
      <w:r w:rsidRPr="2A31DDD8" w:rsidR="5A669E8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</w:t>
      </w:r>
      <w:r w:rsidRPr="2A31DDD8" w:rsidR="06C9788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Default Impact Analysis</w:t>
      </w:r>
    </w:p>
    <w:p w:rsidR="3C7A3146" w:rsidP="289EEB15" w:rsidRDefault="3C7A3146" w14:paraId="66A720D5" w14:textId="508B44E7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Default Impact = Total Revenue − Risk Adjusted Revenue</w:t>
      </w:r>
    </w:p>
    <w:p w:rsidR="3C7A3146" w:rsidP="289EEB15" w:rsidRDefault="3C7A3146" w14:paraId="5ECA7469" w14:textId="5E5CBE11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Higher default impact means revenue is not converting into profit.</w:t>
      </w:r>
    </w:p>
    <w:p w:rsidR="3C7A3146" w:rsidP="289EEB15" w:rsidRDefault="3C7A3146" w14:paraId="36A2E3F9" w14:textId="4300D231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Business insight:</w:t>
      </w:r>
    </w:p>
    <w:p w:rsidR="3C7A3146" w:rsidP="289EEB15" w:rsidRDefault="3C7A3146" w14:paraId="027262AE" w14:textId="78938A7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identify customers with high default impact </w:t>
      </w:r>
    </w:p>
    <w:p w:rsidR="3C7A3146" w:rsidP="289EEB15" w:rsidRDefault="3C7A3146" w14:paraId="51BCD59F" w14:textId="1CB6254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prioritize recovery efforts </w:t>
      </w:r>
    </w:p>
    <w:p w:rsidR="3C7A3146" w:rsidP="289EEB15" w:rsidRDefault="3C7A3146" w14:paraId="7E20BE31" w14:textId="27D9978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revise credit pricing</w:t>
      </w:r>
    </w:p>
    <w:p w:rsidR="3C7A3146" w:rsidP="289EEB15" w:rsidRDefault="3C7A3146" w14:paraId="15986B29" w14:textId="738B0354">
      <w:pPr>
        <w:pStyle w:val="Heading3"/>
        <w:bidi w:val="0"/>
        <w:spacing w:before="281" w:beforeAutospacing="off" w:after="281" w:afterAutospacing="off"/>
        <w:jc w:val="left"/>
      </w:pPr>
      <w:r w:rsidRPr="2A31DDD8" w:rsidR="6413080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</w:t>
      </w:r>
      <w:r w:rsidRPr="2A31DDD8" w:rsidR="06C9788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Risk Segment Profitability</w:t>
      </w:r>
    </w:p>
    <w:p w:rsidR="3C7A3146" w:rsidP="289EEB15" w:rsidRDefault="3C7A3146" w14:paraId="7014857B" w14:textId="470E01C7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Comparing:</w:t>
      </w:r>
    </w:p>
    <w:p w:rsidR="3C7A3146" w:rsidP="289EEB15" w:rsidRDefault="3C7A3146" w14:paraId="415B4974" w14:textId="06908E4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Sum of Total Revenue by Risk Segment </w:t>
      </w:r>
    </w:p>
    <w:p w:rsidR="3C7A3146" w:rsidP="289EEB15" w:rsidRDefault="3C7A3146" w14:paraId="7724138B" w14:textId="3A2D25D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Sum of Risk Adjusted Revenue by Risk Segment </w:t>
      </w:r>
    </w:p>
    <w:p w:rsidR="3C7A3146" w:rsidP="289EEB15" w:rsidRDefault="3C7A3146" w14:paraId="5655B75C" w14:textId="0DD1424A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Shows which segment is actually profitable.</w:t>
      </w:r>
    </w:p>
    <w:p w:rsidR="3C7A3146" w:rsidP="289EEB15" w:rsidRDefault="3C7A3146" w14:paraId="2F20C053" w14:textId="747AC073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Typical insight:</w:t>
      </w:r>
    </w:p>
    <w:p w:rsidR="3C7A3146" w:rsidP="289EEB15" w:rsidRDefault="3C7A3146" w14:paraId="4258BB13" w14:textId="01CC116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Low risk → stable profit </w:t>
      </w:r>
    </w:p>
    <w:p w:rsidR="3C7A3146" w:rsidP="289EEB15" w:rsidRDefault="3C7A3146" w14:paraId="241353F5" w14:textId="38351CF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Medium risk → best growth opportunity </w:t>
      </w:r>
    </w:p>
    <w:p w:rsidR="3C7A3146" w:rsidP="289EEB15" w:rsidRDefault="3C7A3146" w14:paraId="70DF8876" w14:textId="305E65E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High risk → revenue high but profit low</w:t>
      </w:r>
    </w:p>
    <w:p w:rsidR="3C7A3146" w:rsidP="289EEB15" w:rsidRDefault="3C7A3146" w14:paraId="2C467D0D" w14:textId="1503F4C6">
      <w:pPr>
        <w:pStyle w:val="Heading3"/>
        <w:bidi w:val="0"/>
        <w:spacing w:before="281" w:beforeAutospacing="off" w:after="281" w:afterAutospacing="off"/>
        <w:jc w:val="left"/>
      </w:pPr>
      <w:r w:rsidRPr="2A31DDD8" w:rsidR="75E9E09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</w:t>
      </w:r>
      <w:r w:rsidRPr="2A31DDD8" w:rsidR="06C9788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Customer Type Distribution</w:t>
      </w:r>
    </w:p>
    <w:p w:rsidR="3C7A3146" w:rsidP="289EEB15" w:rsidRDefault="3C7A3146" w14:paraId="5F9EE115" w14:textId="0DBE9C33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Count of customer_id by customer_type shows which segment drives customer base.</w:t>
      </w:r>
    </w:p>
    <w:p w:rsidR="3C7A3146" w:rsidP="289EEB15" w:rsidRDefault="3C7A3146" w14:paraId="4619381D" w14:textId="19395760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Business insight:</w:t>
      </w:r>
    </w:p>
    <w:p w:rsidR="3C7A3146" w:rsidP="289EEB15" w:rsidRDefault="3C7A3146" w14:paraId="42F6E654" w14:textId="65BD5EE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Retail customers → volume driven </w:t>
      </w:r>
    </w:p>
    <w:p w:rsidR="3C7A3146" w:rsidP="289EEB15" w:rsidRDefault="3C7A3146" w14:paraId="4EDA5DAA" w14:textId="1498574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Corporate customers → revenue driven </w:t>
      </w:r>
    </w:p>
    <w:p w:rsidR="3C7A3146" w:rsidP="289EEB15" w:rsidRDefault="3C7A3146" w14:paraId="01FE9389" w14:textId="2CC8137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Premium customers → profitability driven</w:t>
      </w:r>
    </w:p>
    <w:p w:rsidR="3C7A3146" w:rsidP="289EEB15" w:rsidRDefault="3C7A3146" w14:paraId="3B5D0DF6" w14:textId="258E1FDA">
      <w:pPr>
        <w:pStyle w:val="Heading3"/>
        <w:bidi w:val="0"/>
        <w:spacing w:before="281" w:beforeAutospacing="off" w:after="281" w:afterAutospacing="off"/>
        <w:jc w:val="left"/>
      </w:pPr>
      <w:r w:rsidRPr="2A31DDD8" w:rsidR="29FE6C3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</w:t>
      </w:r>
      <w:r w:rsidRPr="2A31DDD8" w:rsidR="06C9788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Customer Lifetime Value (CLV)</w:t>
      </w:r>
    </w:p>
    <w:p w:rsidR="3C7A3146" w:rsidP="289EEB15" w:rsidRDefault="3C7A3146" w14:paraId="5976751F" w14:textId="2509F3B8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Customers with high </w:t>
      </w:r>
      <w:r w:rsidRPr="289EEB15" w:rsidR="3C7A31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Estimated CLV</w:t>
      </w: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but low risk should be prioritized for retention.</w:t>
      </w:r>
    </w:p>
    <w:p w:rsidR="3C7A3146" w:rsidP="289EEB15" w:rsidRDefault="3C7A3146" w14:paraId="4115E4F7" w14:textId="5990ECBD">
      <w:pPr>
        <w:bidi w:val="0"/>
        <w:spacing w:before="240" w:beforeAutospacing="off" w:after="240" w:afterAutospacing="off"/>
        <w:jc w:val="left"/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>Business action:</w:t>
      </w:r>
    </w:p>
    <w:p w:rsidR="3C7A3146" w:rsidP="289EEB15" w:rsidRDefault="3C7A3146" w14:paraId="60CF5AAC" w14:textId="4CB2EEE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loyalty programs </w:t>
      </w:r>
    </w:p>
    <w:p w:rsidR="3C7A3146" w:rsidP="289EEB15" w:rsidRDefault="3C7A3146" w14:paraId="4B4BCCEC" w14:textId="0221A60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89EEB15" w:rsidR="3C7A31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cross sell products </w:t>
      </w:r>
    </w:p>
    <w:p w:rsidR="3C7A3146" w:rsidP="289EEB15" w:rsidRDefault="3C7A3146" w14:paraId="12A3B58E" w14:textId="0E97EB9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31DDD8" w:rsidR="06C97882">
        <w:rPr>
          <w:rFonts w:ascii="Calibri" w:hAnsi="Calibri" w:eastAsia="Calibri" w:cs="Calibri"/>
          <w:noProof w:val="0"/>
          <w:sz w:val="22"/>
          <w:szCs w:val="22"/>
          <w:lang w:val="en-US"/>
        </w:rPr>
        <w:t>premium banking services</w:t>
      </w:r>
    </w:p>
    <w:p w:rsidR="070B864B" w:rsidP="2A31DDD8" w:rsidRDefault="070B864B" w14:paraId="0631F3A4" w14:textId="443836A7">
      <w:pPr>
        <w:pStyle w:val="Heading3"/>
        <w:bidi w:val="0"/>
        <w:spacing w:before="281" w:beforeAutospacing="off" w:after="281" w:afterAutospacing="off"/>
        <w:jc w:val="left"/>
      </w:pPr>
      <w:r w:rsidRPr="2A31DDD8" w:rsidR="070B864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</w:t>
      </w:r>
      <w:r w:rsidRPr="2A31DDD8" w:rsidR="72602A1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</w:t>
      </w:r>
      <w:r w:rsidRPr="2A31DDD8" w:rsidR="070B864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Revenue vs Default by Risk Segment</w:t>
      </w:r>
    </w:p>
    <w:p w:rsidR="070B864B" w:rsidP="2A31DDD8" w:rsidRDefault="070B864B" w14:paraId="1C62ECDE" w14:textId="4CA9A970">
      <w:pPr>
        <w:bidi w:val="0"/>
        <w:spacing w:before="240" w:beforeAutospacing="off" w:after="240" w:afterAutospacing="off"/>
        <w:jc w:val="left"/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>If high-risk segment shows:</w:t>
      </w:r>
    </w:p>
    <w:p w:rsidR="070B864B" w:rsidP="2A31DDD8" w:rsidRDefault="070B864B" w14:paraId="43A2985E" w14:textId="6039149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high revenue </w:t>
      </w:r>
    </w:p>
    <w:p w:rsidR="070B864B" w:rsidP="2A31DDD8" w:rsidRDefault="070B864B" w14:paraId="1BE56DDF" w14:textId="6F9DC08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high defaults </w:t>
      </w:r>
    </w:p>
    <w:p w:rsidR="070B864B" w:rsidP="2A31DDD8" w:rsidRDefault="070B864B" w14:paraId="500B7097" w14:textId="503CEC0C">
      <w:pPr>
        <w:bidi w:val="0"/>
        <w:spacing w:before="240" w:beforeAutospacing="off" w:after="240" w:afterAutospacing="off"/>
        <w:jc w:val="left"/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>Then revenue is not sustainable.</w:t>
      </w:r>
    </w:p>
    <w:p w:rsidR="070B864B" w:rsidP="2A31DDD8" w:rsidRDefault="070B864B" w14:paraId="70A26115" w14:textId="292CE019">
      <w:pPr>
        <w:bidi w:val="0"/>
        <w:spacing w:before="240" w:beforeAutospacing="off" w:after="240" w:afterAutospacing="off"/>
        <w:jc w:val="left"/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>Business action:</w:t>
      </w:r>
    </w:p>
    <w:p w:rsidR="070B864B" w:rsidP="2A31DDD8" w:rsidRDefault="070B864B" w14:paraId="708FCF7C" w14:textId="21CF07D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tighten approvals </w:t>
      </w:r>
    </w:p>
    <w:p w:rsidR="070B864B" w:rsidP="2A31DDD8" w:rsidRDefault="070B864B" w14:paraId="77E99D6A" w14:textId="3660D00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risk-based interest rates </w:t>
      </w:r>
    </w:p>
    <w:p w:rsidR="070B864B" w:rsidP="2A31DDD8" w:rsidRDefault="070B864B" w14:paraId="6CB3BC37" w14:textId="0FB94DA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>reduce exposure</w:t>
      </w:r>
    </w:p>
    <w:p w:rsidR="2A31DDD8" w:rsidP="2A31DDD8" w:rsidRDefault="2A31DDD8" w14:paraId="63FB3BCD" w14:textId="6A57E5D2">
      <w:pPr>
        <w:bidi w:val="0"/>
        <w:jc w:val="left"/>
      </w:pPr>
    </w:p>
    <w:p w:rsidR="070B864B" w:rsidP="2A31DDD8" w:rsidRDefault="070B864B" w14:paraId="697340BA" w14:textId="7BD3DC33">
      <w:pPr>
        <w:pStyle w:val="Heading3"/>
        <w:bidi w:val="0"/>
        <w:spacing w:before="281" w:beforeAutospacing="off" w:after="281" w:afterAutospacing="off"/>
        <w:jc w:val="left"/>
      </w:pPr>
      <w:r w:rsidRPr="2A31DDD8" w:rsidR="070B864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</w:t>
      </w:r>
      <w:r w:rsidRPr="2A31DDD8" w:rsidR="748136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</w:t>
      </w:r>
      <w:r w:rsidRPr="2A31DDD8" w:rsidR="070B864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Days Late vs Revenue</w:t>
      </w:r>
    </w:p>
    <w:p w:rsidR="070B864B" w:rsidP="2A31DDD8" w:rsidRDefault="070B864B" w14:paraId="0BBFB3B7" w14:textId="2B9826AE">
      <w:pPr>
        <w:bidi w:val="0"/>
        <w:spacing w:before="240" w:beforeAutospacing="off" w:after="240" w:afterAutospacing="off"/>
        <w:jc w:val="left"/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If customers with higher </w:t>
      </w:r>
      <w:r w:rsidRPr="2A31DDD8" w:rsidR="070B86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avg days late</w:t>
      </w: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still generate high revenue, the bank is trading risk for revenue.</w:t>
      </w:r>
    </w:p>
    <w:p w:rsidR="070B864B" w:rsidP="2A31DDD8" w:rsidRDefault="070B864B" w14:paraId="48414739" w14:textId="7030CC0E">
      <w:pPr>
        <w:bidi w:val="0"/>
        <w:spacing w:before="240" w:beforeAutospacing="off" w:after="240" w:afterAutospacing="off"/>
        <w:jc w:val="left"/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>Business action:</w:t>
      </w:r>
    </w:p>
    <w:p w:rsidR="070B864B" w:rsidP="2A31DDD8" w:rsidRDefault="070B864B" w14:paraId="506BF9E1" w14:textId="38DDBDB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rebalance portfolio </w:t>
      </w:r>
    </w:p>
    <w:p w:rsidR="070B864B" w:rsidP="2A31DDD8" w:rsidRDefault="070B864B" w14:paraId="757907F4" w14:textId="4FCBFB6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31DDD8" w:rsidR="070B864B">
        <w:rPr>
          <w:rFonts w:ascii="Calibri" w:hAnsi="Calibri" w:eastAsia="Calibri" w:cs="Calibri"/>
          <w:noProof w:val="0"/>
          <w:sz w:val="22"/>
          <w:szCs w:val="22"/>
          <w:lang w:val="en-US"/>
        </w:rPr>
        <w:t>shift to low-risk customers</w:t>
      </w:r>
    </w:p>
    <w:p w:rsidR="627AF88B" w:rsidP="2A31DDD8" w:rsidRDefault="627AF88B" w14:paraId="2FBD8CDE" w14:textId="3572F7B0">
      <w:pPr>
        <w:pStyle w:val="Heading1"/>
        <w:bidi w:val="0"/>
        <w:spacing w:before="322" w:beforeAutospacing="off" w:after="322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Strategic Recommendations</w:t>
      </w:r>
    </w:p>
    <w:p w:rsidR="627AF88B" w:rsidP="2A31DDD8" w:rsidRDefault="627AF88B" w14:paraId="52C2C170" w14:textId="4D425CC8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Focus on High-Value Low-Risk Customers</w:t>
      </w:r>
    </w:p>
    <w:p w:rsidR="627AF88B" w:rsidP="2A31DDD8" w:rsidRDefault="627AF88B" w14:paraId="281335F1" w14:textId="5C1B9F6F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These customers generate the majority of stable revenue and should be prioritized through retention strategies, loyalty programs, and premium offerings.</w:t>
      </w:r>
    </w:p>
    <w:p w:rsidR="627AF88B" w:rsidP="2A31DDD8" w:rsidRDefault="627AF88B" w14:paraId="36A82203" w14:textId="33CAB988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Reduce Exposure to High-Risk Customers</w:t>
      </w:r>
    </w:p>
    <w:p w:rsidR="627AF88B" w:rsidP="2A31DDD8" w:rsidRDefault="627AF88B" w14:paraId="137C061B" w14:textId="7FAA1572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High-risk customers show higher average days late and higher default impact. Implement tighter credit controls and risk-based pricing.</w:t>
      </w:r>
    </w:p>
    <w:p w:rsidR="627AF88B" w:rsidP="2A31DDD8" w:rsidRDefault="627AF88B" w14:paraId="1A9523DF" w14:textId="0F524AC1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Target Medium-Risk Customers for Growth</w:t>
      </w:r>
    </w:p>
    <w:p w:rsidR="627AF88B" w:rsidP="2A31DDD8" w:rsidRDefault="627AF88B" w14:paraId="761CA4E3" w14:textId="0F26BCE9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Medium-risk customers with consistent repayment behavior provide the best opportunity for safe revenue expansion.</w:t>
      </w:r>
    </w:p>
    <w:p w:rsidR="627AF88B" w:rsidP="2A31DDD8" w:rsidRDefault="627AF88B" w14:paraId="40B71041" w14:textId="3D8C9061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Improve Collections for Late-Paying Customers</w:t>
      </w:r>
    </w:p>
    <w:p w:rsidR="627AF88B" w:rsidP="2A31DDD8" w:rsidRDefault="627AF88B" w14:paraId="084E11BF" w14:textId="44EA4A4E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Customers with higher average days late should receive proactive reminders and structured repayment plans.</w:t>
      </w:r>
    </w:p>
    <w:p w:rsidR="627AF88B" w:rsidP="2A31DDD8" w:rsidRDefault="627AF88B" w14:paraId="14EF324B" w14:textId="7265D160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Optimize Customer Mix</w:t>
      </w:r>
    </w:p>
    <w:p w:rsidR="627AF88B" w:rsidP="2A31DDD8" w:rsidRDefault="627AF88B" w14:paraId="0667BE15" w14:textId="631BE9D4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Low-value customers dominate in volume but contribute less revenue. Introduce cross-sell and upsell strategies to improve profitability.</w:t>
      </w:r>
    </w:p>
    <w:p w:rsidR="627AF88B" w:rsidP="2A31DDD8" w:rsidRDefault="627AF88B" w14:paraId="5D0B01F0" w14:textId="666D942E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Monitor Default Impact</w:t>
      </w:r>
    </w:p>
    <w:p w:rsidR="627AF88B" w:rsidP="2A31DDD8" w:rsidRDefault="627AF88B" w14:paraId="30093252" w14:textId="44613AF9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The total default impact indicates revenue leakage. Focus on customers with large default impact for recovery actions.</w:t>
      </w:r>
    </w:p>
    <w:p w:rsidR="627AF88B" w:rsidP="2A31DDD8" w:rsidRDefault="627AF88B" w14:paraId="7ED211F0" w14:textId="5CA8BCF4">
      <w:pPr>
        <w:pStyle w:val="Heading1"/>
        <w:bidi w:val="0"/>
        <w:spacing w:before="322" w:beforeAutospacing="off" w:after="322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Business Impact</w:t>
      </w:r>
    </w:p>
    <w:p w:rsidR="627AF88B" w:rsidP="2A31DDD8" w:rsidRDefault="627AF88B" w14:paraId="6DC3EC0E" w14:textId="1148D73B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Revenue Concentration Risk</w:t>
      </w:r>
    </w:p>
    <w:p w:rsidR="627AF88B" w:rsidP="2A31DDD8" w:rsidRDefault="627AF88B" w14:paraId="5A2FDF06" w14:textId="0FD34BFE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Top 20% customers contribute 68% of revenue, meaning profitability is highly dependent on a small customer base.</w:t>
      </w:r>
    </w:p>
    <w:p w:rsidR="627AF88B" w:rsidP="2A31DDD8" w:rsidRDefault="627AF88B" w14:paraId="77BE2A0F" w14:textId="5A00B80B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Credit Risk Exposure</w:t>
      </w:r>
    </w:p>
    <w:p w:rsidR="627AF88B" w:rsidP="2A31DDD8" w:rsidRDefault="627AF88B" w14:paraId="29C6B56A" w14:textId="26D6F27A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High-risk customers show higher days late, indicating potential future defaults and declining profitability.</w:t>
      </w:r>
    </w:p>
    <w:p w:rsidR="627AF88B" w:rsidP="2A31DDD8" w:rsidRDefault="627AF88B" w14:paraId="38CAD7D2" w14:textId="3C4746F0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Profit Leakage</w:t>
      </w:r>
    </w:p>
    <w:p w:rsidR="627AF88B" w:rsidP="2A31DDD8" w:rsidRDefault="627AF88B" w14:paraId="2D38AEFF" w14:textId="4037365A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The gap between total revenue and risk-adjusted revenue reflects loss due to defaults and delayed payments.</w:t>
      </w:r>
    </w:p>
    <w:p w:rsidR="627AF88B" w:rsidP="2A31DDD8" w:rsidRDefault="627AF88B" w14:paraId="3D8040FD" w14:textId="6532362C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Customer Segment Imbalance</w:t>
      </w:r>
    </w:p>
    <w:p w:rsidR="627AF88B" w:rsidP="2A31DDD8" w:rsidRDefault="627AF88B" w14:paraId="62F7D2E3" w14:textId="3FD89C3D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Low-value customers form the majority but contribute less revenue, increasing operational cost.</w:t>
      </w:r>
    </w:p>
    <w:p w:rsidR="627AF88B" w:rsidP="2A31DDD8" w:rsidRDefault="627AF88B" w14:paraId="59D0BF6C" w14:textId="4756F402">
      <w:pPr>
        <w:pStyle w:val="Heading3"/>
        <w:bidi w:val="0"/>
        <w:spacing w:before="281" w:beforeAutospacing="off" w:after="281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Growth Opportunity</w:t>
      </w:r>
    </w:p>
    <w:p w:rsidR="627AF88B" w:rsidP="2A31DDD8" w:rsidRDefault="627AF88B" w14:paraId="4C4038B1" w14:textId="33488AEF">
      <w:pPr>
        <w:bidi w:val="0"/>
        <w:spacing w:before="240" w:beforeAutospacing="off" w:after="240" w:afterAutospacing="off"/>
        <w:jc w:val="left"/>
      </w:pPr>
      <w:r w:rsidRPr="2A31DDD8" w:rsidR="627AF88B">
        <w:rPr>
          <w:rFonts w:ascii="Calibri" w:hAnsi="Calibri" w:eastAsia="Calibri" w:cs="Calibri"/>
          <w:noProof w:val="0"/>
          <w:sz w:val="22"/>
          <w:szCs w:val="22"/>
          <w:lang w:val="en-US"/>
        </w:rPr>
        <w:t>Medium-risk, high CLV customers present opportunity for safe portfolio expansion.</w:t>
      </w:r>
    </w:p>
    <w:p w:rsidR="627AF88B" w:rsidP="2A31DDD8" w:rsidRDefault="627AF88B" w14:paraId="444F78BF" w14:textId="4DCF64E8">
      <w:pPr>
        <w:pStyle w:val="Heading1"/>
        <w:bidi w:val="0"/>
        <w:spacing w:before="322" w:beforeAutospacing="off" w:after="322" w:afterAutospacing="off"/>
        <w:jc w:val="left"/>
      </w:pPr>
      <w:r w:rsidRPr="2A31DDD8" w:rsidR="627AF88B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Conclusion</w:t>
      </w:r>
    </w:p>
    <w:p w:rsidR="17E2AE27" w:rsidP="2A31DDD8" w:rsidRDefault="17E2AE27" w14:paraId="2E3BDE11" w14:textId="0CA70F5B">
      <w:pPr>
        <w:pStyle w:val="Normal"/>
        <w:bidi w:val="0"/>
        <w:spacing w:before="0" w:beforeAutospacing="off" w:after="0" w:afterAutospacing="off"/>
        <w:ind w:left="0"/>
        <w:jc w:val="left"/>
      </w:pPr>
      <w:r w:rsidRPr="2A31DDD8" w:rsidR="17E2AE27">
        <w:rPr>
          <w:rFonts w:ascii="Calibri" w:hAnsi="Calibri" w:eastAsia="Calibri" w:cs="Calibri"/>
          <w:noProof w:val="0"/>
          <w:sz w:val="22"/>
          <w:szCs w:val="22"/>
          <w:lang w:val="en-US"/>
        </w:rPr>
        <w:t>The bank’s profitability is heavily concentrated among a small group of high-value customers, while high-risk customers contribute to increased default impact and delayed payments. Improving credit quality, prioritizing low-risk high-value customers, and reducing exposure to high-risk segments will significantly enhance overall profitability. By optimizing the customer mix and implementing proactive risk management strategies, the bank can reduce default losses and achieve sustainable revenue growth.</w:t>
      </w:r>
    </w:p>
    <w:p w:rsidR="289EEB15" w:rsidP="289EEB15" w:rsidRDefault="289EEB15" w14:paraId="2CA544A4" w14:textId="234085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d2da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9bb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67a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7be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276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451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bb4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675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3fb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963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a43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b1a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588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B892D4"/>
    <w:rsid w:val="0316B2D7"/>
    <w:rsid w:val="04F59DA1"/>
    <w:rsid w:val="06C97882"/>
    <w:rsid w:val="070B864B"/>
    <w:rsid w:val="0FC33750"/>
    <w:rsid w:val="0FE0FCA3"/>
    <w:rsid w:val="17E2AE27"/>
    <w:rsid w:val="1C6C7533"/>
    <w:rsid w:val="2127834A"/>
    <w:rsid w:val="213FA586"/>
    <w:rsid w:val="26BA26DC"/>
    <w:rsid w:val="289EEB15"/>
    <w:rsid w:val="29FE6C3A"/>
    <w:rsid w:val="2A31DDD8"/>
    <w:rsid w:val="37AAFC00"/>
    <w:rsid w:val="3925DAAD"/>
    <w:rsid w:val="3C7A3146"/>
    <w:rsid w:val="3EDE15C1"/>
    <w:rsid w:val="3FD167C0"/>
    <w:rsid w:val="412913C6"/>
    <w:rsid w:val="41B892D4"/>
    <w:rsid w:val="449513FC"/>
    <w:rsid w:val="46D8DF10"/>
    <w:rsid w:val="4B62E6DF"/>
    <w:rsid w:val="4B902C3E"/>
    <w:rsid w:val="5260D8FB"/>
    <w:rsid w:val="53BB4E54"/>
    <w:rsid w:val="5481A095"/>
    <w:rsid w:val="5A669E87"/>
    <w:rsid w:val="5C5723E8"/>
    <w:rsid w:val="61DABC4D"/>
    <w:rsid w:val="6200D817"/>
    <w:rsid w:val="627AF88B"/>
    <w:rsid w:val="64130803"/>
    <w:rsid w:val="660790F7"/>
    <w:rsid w:val="690412D7"/>
    <w:rsid w:val="69BF5536"/>
    <w:rsid w:val="6A414DCD"/>
    <w:rsid w:val="72602A1E"/>
    <w:rsid w:val="7354B48D"/>
    <w:rsid w:val="73A13697"/>
    <w:rsid w:val="748136A5"/>
    <w:rsid w:val="75E9E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F1A36"/>
  <w15:chartTrackingRefBased/>
  <w15:docId w15:val="{36DE5E50-75AE-4989-A6A6-1699CDA4D9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9EEB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89EEB1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9EE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c82f3f007445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2026-04-17T11:30:06.1371660Z</dcterms:created>
  <dcterms:modified xsi:type="dcterms:W3CDTF">2026-04-17T12:23:19.6660311Z</dcterms:modified>
  <dc:creator>raju nani</dc:creator>
  <lastModifiedBy>raju nani</lastModifiedBy>
</coreProperties>
</file>