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AECB8F2" wp14:textId="255D7540">
      <w:pPr>
        <w:pStyle w:val="Title"/>
      </w:pPr>
      <w:r w:rsidR="0268DBC4">
        <w:rPr/>
        <w:t>Credit Card Churn &amp; delinquency  Analysis – Executive Business Report</w:t>
      </w:r>
    </w:p>
    <w:p xmlns:wp14="http://schemas.microsoft.com/office/word/2010/wordml" w14:paraId="0583529C" wp14:textId="77777777">
      <w:pPr>
        <w:pStyle w:val="Heading1"/>
      </w:pPr>
      <w:r>
        <w:t>1. Executive Summary</w:t>
      </w:r>
    </w:p>
    <w:p xmlns:wp14="http://schemas.microsoft.com/office/word/2010/wordml" w14:paraId="1ECF8F76" wp14:textId="77777777">
      <w:r>
        <w:t>This report analyzes customer churn behavior and credit default risk. The objective is to identify key drivers impacting portfolio performance and provide actionable business insights.</w:t>
      </w:r>
    </w:p>
    <w:p xmlns:wp14="http://schemas.microsoft.com/office/word/2010/wordml" w14:paraId="5FE78887" wp14:textId="77777777">
      <w:pPr>
        <w:pStyle w:val="Heading1"/>
      </w:pPr>
      <w:r w:rsidR="0268DBC4">
        <w:rPr/>
        <w:t>2. Churn Risk Insights</w:t>
      </w:r>
    </w:p>
    <w:p w:rsidR="0268DBC4" w:rsidP="0268DBC4" w:rsidRDefault="0268DBC4" w14:paraId="59D13F9A" w14:textId="103BB456">
      <w:pPr>
        <w:pStyle w:val="Normal"/>
      </w:pPr>
    </w:p>
    <w:p xmlns:wp14="http://schemas.microsoft.com/office/word/2010/wordml" w14:paraId="6FAA2A63" wp14:textId="06DD6265">
      <w:r w:rsidR="0268DBC4">
        <w:rPr/>
        <w:t>Customer inactivity is the strongest predictor of churn.</w:t>
      </w:r>
    </w:p>
    <w:p xmlns:wp14="http://schemas.microsoft.com/office/word/2010/wordml" w:rsidP="0268DBC4" w14:paraId="6D0ED9ED" wp14:textId="21787DF3">
      <w:pPr>
        <w:pStyle w:val="Normal"/>
      </w:pPr>
      <w:r w:rsidR="2857C1D0">
        <w:drawing>
          <wp:inline xmlns:wp14="http://schemas.microsoft.com/office/word/2010/wordprocessingDrawing" wp14:editId="788D650E" wp14:anchorId="49044116">
            <wp:extent cx="5486400" cy="3686175"/>
            <wp:effectExtent l="0" t="0" r="0" b="0"/>
            <wp:docPr id="462966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966578" name="Picture 462966578"/>
                    <pic:cNvPicPr/>
                  </pic:nvPicPr>
                  <pic:blipFill>
                    <a:blip xmlns:r="http://schemas.openxmlformats.org/officeDocument/2006/relationships" r:embed="rId2145575554">
                      <a:extLst>
                        <a:ext uri="{28A0092B-C50C-407E-A947-70E740481C1C}">
                          <a14:useLocalDpi xmlns:a14="http://schemas.microsoft.com/office/drawing/2010/main"/>
                        </a:ext>
                      </a:extLst>
                    </a:blip>
                    <a:stretch>
                      <a:fillRect/>
                    </a:stretch>
                  </pic:blipFill>
                  <pic:spPr>
                    <a:xfrm>
                      <a:off x="0" y="0"/>
                      <a:ext cx="5486400" cy="3686175"/>
                    </a:xfrm>
                    <a:prstGeom prst="rect">
                      <a:avLst/>
                    </a:prstGeom>
                  </pic:spPr>
                </pic:pic>
              </a:graphicData>
            </a:graphic>
          </wp:inline>
        </w:drawing>
      </w:r>
    </w:p>
    <w:p w:rsidR="07C32DE8" w:rsidP="0268DBC4" w:rsidRDefault="07C32DE8" w14:paraId="0A275DEC" w14:textId="0D919A30">
      <w:pPr>
        <w:pStyle w:val="Normal"/>
      </w:pPr>
      <w:r w:rsidRPr="0268DBC4" w:rsidR="07C32DE8">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Progresion</w:t>
      </w:r>
      <w:r w:rsidRPr="0268DBC4" w:rsidR="07C32DE8">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Insight:</w:t>
      </w:r>
    </w:p>
    <w:p w:rsidR="07C32DE8" w:rsidP="0268DBC4" w:rsidRDefault="07C32DE8" w14:paraId="06EA763E" w14:textId="05001EAD">
      <w:pPr>
        <w:pStyle w:val="ListParagraph"/>
        <w:numPr>
          <w:ilvl w:val="0"/>
          <w:numId w:val="11"/>
        </w:numPr>
        <w:rPr>
          <w:sz w:val="22"/>
          <w:szCs w:val="22"/>
        </w:rPr>
      </w:pPr>
      <w:r w:rsidR="07C32DE8">
        <w:rPr/>
        <w:t>Churn rises steadily from 5% (active)</w:t>
      </w:r>
      <w:r w:rsidR="0C820465">
        <w:rPr/>
        <w:t xml:space="preserve"> to 1</w:t>
      </w:r>
      <w:r w:rsidR="66B0615C">
        <w:rPr/>
        <w:t>9</w:t>
      </w:r>
      <w:r w:rsidR="0C820465">
        <w:rPr/>
        <w:t>%  in</w:t>
      </w:r>
      <w:r w:rsidR="0C820465">
        <w:rPr/>
        <w:t xml:space="preserve"> moderately inactive customers and peaks at 30% in </w:t>
      </w:r>
      <w:r w:rsidR="0C52B787">
        <w:rPr/>
        <w:t xml:space="preserve">the </w:t>
      </w:r>
      <w:r w:rsidR="0C52B787">
        <w:rPr/>
        <w:t>high risk</w:t>
      </w:r>
      <w:r w:rsidR="0C52B787">
        <w:rPr/>
        <w:t xml:space="preserve"> segment.</w:t>
      </w:r>
    </w:p>
    <w:p w:rsidR="0268DBC4" w:rsidP="0268DBC4" w:rsidRDefault="0268DBC4" w14:paraId="57C5614E" w14:textId="71B55EA2">
      <w:pPr>
        <w:pStyle w:val="Normal"/>
      </w:pPr>
    </w:p>
    <w:p w:rsidR="0268DBC4" w:rsidP="0268DBC4" w:rsidRDefault="0268DBC4" w14:paraId="3B23DDC1" w14:textId="308B606C">
      <w:pPr>
        <w:pStyle w:val="Normal"/>
      </w:pPr>
    </w:p>
    <w:p w:rsidR="0C52B787" w:rsidP="0268DBC4" w:rsidRDefault="0C52B787" w14:paraId="5A2ADC65" w14:textId="3E1ED120">
      <w:pPr>
        <w:pStyle w:val="Normal"/>
        <w:suppressLineNumbers w:val="0"/>
        <w:bidi w:val="0"/>
        <w:spacing w:before="0" w:beforeAutospacing="off" w:after="200" w:afterAutospacing="off" w:line="276" w:lineRule="auto"/>
        <w:ind w:left="0" w:right="0"/>
        <w:jc w:val="left"/>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pPr>
      <w:r w:rsidRPr="0268DBC4" w:rsidR="0C52B787">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Risk Threshold Insight:</w:t>
      </w:r>
    </w:p>
    <w:p w:rsidR="0C52B787" w:rsidP="0268DBC4" w:rsidRDefault="0C52B787" w14:paraId="29510007" w14:textId="6F177923">
      <w:pPr>
        <w:pStyle w:val="ListParagraph"/>
        <w:numPr>
          <w:ilvl w:val="0"/>
          <w:numId w:val="12"/>
        </w:numPr>
        <w:rPr>
          <w:sz w:val="22"/>
          <w:szCs w:val="22"/>
        </w:rPr>
      </w:pPr>
      <w:r w:rsidR="0C52B787">
        <w:rPr/>
        <w:t xml:space="preserve">Customer inactive for 3 months </w:t>
      </w:r>
      <w:r w:rsidR="0C52B787">
        <w:rPr/>
        <w:t>show</w:t>
      </w:r>
      <w:r w:rsidR="0C52B787">
        <w:rPr/>
        <w:t xml:space="preserve"> a </w:t>
      </w:r>
      <w:r w:rsidR="0C52B787">
        <w:rPr/>
        <w:t>sharp  increase</w:t>
      </w:r>
      <w:r w:rsidR="0C52B787">
        <w:rPr/>
        <w:t xml:space="preserve"> in churn and reaches up to</w:t>
      </w:r>
      <w:r w:rsidR="232482DD">
        <w:rPr/>
        <w:t xml:space="preserve"> 30%.</w:t>
      </w:r>
    </w:p>
    <w:p w:rsidR="0E4D0D6F" w:rsidP="0268DBC4" w:rsidRDefault="0E4D0D6F" w14:paraId="1B89AEE1" w14:textId="683F2809">
      <w:pPr>
        <w:pStyle w:val="Normal"/>
        <w:ind w:left="0"/>
        <w:rPr>
          <w:sz w:val="22"/>
          <w:szCs w:val="22"/>
        </w:rPr>
      </w:pPr>
      <w:r w:rsidR="0E4D0D6F">
        <w:rPr/>
        <w:t xml:space="preserve">Customer churn increases significantly with </w:t>
      </w:r>
      <w:r w:rsidR="0E4D0D6F">
        <w:rPr/>
        <w:t>inactivity,</w:t>
      </w:r>
      <w:r w:rsidR="5E796A64">
        <w:rPr/>
        <w:t xml:space="preserve"> </w:t>
      </w:r>
      <w:r w:rsidR="0E4D0D6F">
        <w:rPr/>
        <w:t>rising</w:t>
      </w:r>
      <w:r w:rsidR="0E4D0D6F">
        <w:rPr/>
        <w:t xml:space="preserve"> from 5% in</w:t>
      </w:r>
      <w:r w:rsidR="3D0DFA6C">
        <w:rPr/>
        <w:t xml:space="preserve"> active users to 30% in </w:t>
      </w:r>
      <w:r w:rsidR="3D0DFA6C">
        <w:rPr/>
        <w:t>high risk</w:t>
      </w:r>
      <w:r w:rsidR="3D0DFA6C">
        <w:rPr/>
        <w:t xml:space="preserve"> </w:t>
      </w:r>
      <w:r w:rsidR="3D0DFA6C">
        <w:rPr/>
        <w:t>customers(</w:t>
      </w:r>
      <w:r w:rsidR="3D0DFA6C">
        <w:rPr/>
        <w:t xml:space="preserve">4 months </w:t>
      </w:r>
      <w:r w:rsidR="5A069095">
        <w:rPr/>
        <w:t>inactive), highlighting a critical intervention</w:t>
      </w:r>
      <w:r w:rsidR="431534E6">
        <w:rPr/>
        <w:t xml:space="preserve"> window between 2-4 months.</w:t>
      </w:r>
    </w:p>
    <w:p w:rsidR="0268DBC4" w:rsidP="0268DBC4" w:rsidRDefault="0268DBC4" w14:paraId="3C443BFD" w14:textId="2C97E982">
      <w:pPr>
        <w:pStyle w:val="Normal"/>
      </w:pPr>
    </w:p>
    <w:p w:rsidR="551E61AC" w:rsidP="0268DBC4" w:rsidRDefault="551E61AC" w14:paraId="57851ECE" w14:textId="55FF0F7D">
      <w:pPr>
        <w:pStyle w:val="Normal"/>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pPr>
      <w:r w:rsidRPr="0268DBC4" w:rsidR="551E61AC">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Customer churn by </w:t>
      </w:r>
      <w:r w:rsidRPr="0268DBC4" w:rsidR="551E61AC">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risk_score</w:t>
      </w:r>
      <w:r w:rsidRPr="0268DBC4" w:rsidR="551E61AC">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w:t>
      </w:r>
    </w:p>
    <w:p w:rsidR="0268DBC4" w:rsidP="0268DBC4" w:rsidRDefault="0268DBC4" w14:paraId="090A35F9" w14:textId="495DE2ED">
      <w:pPr>
        <w:pStyle w:val="Normal"/>
        <w:ind w:left="0"/>
      </w:pPr>
    </w:p>
    <w:p w:rsidR="0268DBC4" w:rsidP="0268DBC4" w:rsidRDefault="0268DBC4" w14:paraId="5C691688" w14:textId="0FB50DEC">
      <w:pPr>
        <w:pStyle w:val="Normal"/>
      </w:pPr>
    </w:p>
    <w:p w:rsidR="4CED1809" w:rsidP="0268DBC4" w:rsidRDefault="4CED1809" w14:paraId="20014B4A" w14:textId="78100BCF">
      <w:pPr>
        <w:pStyle w:val="Normal"/>
        <w:rPr>
          <w:rFonts w:ascii="Cambria" w:hAnsi="Cambria" w:eastAsia="Cambria" w:cs="Cambria"/>
          <w:noProof w:val="0"/>
          <w:sz w:val="22"/>
          <w:szCs w:val="22"/>
          <w:lang w:val="en-US"/>
        </w:rPr>
      </w:pPr>
      <w:r w:rsidR="4CED1809">
        <w:drawing>
          <wp:inline wp14:editId="0B721097" wp14:anchorId="1E625D4C">
            <wp:extent cx="5486400" cy="3676650"/>
            <wp:effectExtent l="0" t="0" r="0" b="0"/>
            <wp:docPr id="432625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625628" name="Picture 432625628"/>
                    <pic:cNvPicPr/>
                  </pic:nvPicPr>
                  <pic:blipFill>
                    <a:blip xmlns:r="http://schemas.openxmlformats.org/officeDocument/2006/relationships" r:embed="rId39860166">
                      <a:extLst>
                        <a:ext uri="{28A0092B-C50C-407E-A947-70E740481C1C}">
                          <a14:useLocalDpi xmlns:a14="http://schemas.microsoft.com/office/drawing/2010/main"/>
                        </a:ext>
                      </a:extLst>
                    </a:blip>
                    <a:stretch>
                      <a:fillRect/>
                    </a:stretch>
                  </pic:blipFill>
                  <pic:spPr>
                    <a:xfrm>
                      <a:off x="0" y="0"/>
                      <a:ext cx="5486400" cy="3676650"/>
                    </a:xfrm>
                    <a:prstGeom prst="rect">
                      <a:avLst/>
                    </a:prstGeom>
                  </pic:spPr>
                </pic:pic>
              </a:graphicData>
            </a:graphic>
          </wp:inline>
        </w:drawing>
      </w:r>
    </w:p>
    <w:p w:rsidR="7D151AC3" w:rsidP="0268DBC4" w:rsidRDefault="7D151AC3" w14:paraId="1DE34EE4" w14:textId="16F1BBFC">
      <w:pPr>
        <w:pStyle w:val="ListParagraph"/>
        <w:numPr>
          <w:ilvl w:val="0"/>
          <w:numId w:val="13"/>
        </w:numPr>
        <w:rPr>
          <w:rFonts w:ascii="Cambria" w:hAnsi="Cambria" w:eastAsia="Cambria" w:cs="Cambria"/>
          <w:noProof w:val="0"/>
          <w:sz w:val="22"/>
          <w:szCs w:val="22"/>
          <w:lang w:val="en-US"/>
        </w:rPr>
      </w:pPr>
      <w:r w:rsidRPr="0268DBC4" w:rsidR="7D151AC3">
        <w:rPr>
          <w:rFonts w:ascii="Cambria" w:hAnsi="Cambria" w:eastAsia="Cambria" w:cs="Cambria"/>
          <w:noProof w:val="0"/>
          <w:sz w:val="22"/>
          <w:szCs w:val="22"/>
          <w:lang w:val="en-US"/>
        </w:rPr>
        <w:t>Customers in the highest risk segment are more than twice as likely to churn compared to low-risk customers.</w:t>
      </w:r>
    </w:p>
    <w:p w:rsidR="0268DBC4" w:rsidP="0268DBC4" w:rsidRDefault="0268DBC4" w14:paraId="2ADDFA82" w14:textId="57E3B38D">
      <w:pPr>
        <w:pStyle w:val="Normal"/>
        <w:rPr>
          <w:rFonts w:ascii="Cambria" w:hAnsi="Cambria" w:eastAsia="Cambria" w:cs="Cambria"/>
          <w:noProof w:val="0"/>
          <w:sz w:val="22"/>
          <w:szCs w:val="22"/>
          <w:lang w:val="en-US"/>
        </w:rPr>
      </w:pPr>
    </w:p>
    <w:p w:rsidR="0268DBC4" w:rsidP="0268DBC4" w:rsidRDefault="0268DBC4" w14:paraId="11803C4D" w14:textId="7B15B053">
      <w:pPr>
        <w:pStyle w:val="Normal"/>
        <w:rPr>
          <w:rFonts w:ascii="Cambria" w:hAnsi="Cambria" w:eastAsia="Cambria" w:cs="Cambria"/>
          <w:noProof w:val="0"/>
          <w:sz w:val="22"/>
          <w:szCs w:val="22"/>
          <w:lang w:val="en-US"/>
        </w:rPr>
      </w:pPr>
    </w:p>
    <w:p w:rsidR="0268DBC4" w:rsidP="0268DBC4" w:rsidRDefault="0268DBC4" w14:paraId="6F0FFA31" w14:textId="212133C0">
      <w:pPr>
        <w:pStyle w:val="Normal"/>
        <w:rPr>
          <w:rFonts w:ascii="Cambria" w:hAnsi="Cambria" w:eastAsia="Cambria" w:cs="Cambria"/>
          <w:noProof w:val="0"/>
          <w:sz w:val="22"/>
          <w:szCs w:val="22"/>
          <w:lang w:val="en-US"/>
        </w:rPr>
      </w:pPr>
    </w:p>
    <w:p w:rsidR="6DB76D9E" w:rsidP="0268DBC4" w:rsidRDefault="6DB76D9E" w14:paraId="1FE58F53" w14:textId="4DC87A47">
      <w:pPr>
        <w:pStyle w:val="Normal"/>
        <w:rPr>
          <w:rFonts w:ascii="Cambria" w:hAnsi="Cambria" w:eastAsia="Cambria" w:cs="Cambria"/>
          <w:noProof w:val="0"/>
          <w:sz w:val="22"/>
          <w:szCs w:val="22"/>
          <w:lang w:val="en-US"/>
        </w:rPr>
      </w:pPr>
      <w:r w:rsidRPr="0268DBC4" w:rsidR="6DB76D9E">
        <w:rPr>
          <w:rFonts w:ascii="Cambria" w:hAnsi="Cambria" w:eastAsia="Cambria" w:cs="Cambria"/>
          <w:noProof w:val="0"/>
          <w:sz w:val="22"/>
          <w:szCs w:val="22"/>
          <w:lang w:val="en-US"/>
        </w:rPr>
        <w:t xml:space="preserve">Customer churn by </w:t>
      </w:r>
      <w:r w:rsidRPr="0268DBC4" w:rsidR="6DB76D9E">
        <w:rPr>
          <w:rFonts w:ascii="Cambria" w:hAnsi="Cambria" w:eastAsia="Cambria" w:cs="Cambria"/>
          <w:noProof w:val="0"/>
          <w:sz w:val="22"/>
          <w:szCs w:val="22"/>
          <w:lang w:val="en-US"/>
        </w:rPr>
        <w:t>utilization</w:t>
      </w:r>
      <w:r w:rsidRPr="0268DBC4" w:rsidR="6DB76D9E">
        <w:rPr>
          <w:rFonts w:ascii="Cambria" w:hAnsi="Cambria" w:eastAsia="Cambria" w:cs="Cambria"/>
          <w:noProof w:val="0"/>
          <w:sz w:val="22"/>
          <w:szCs w:val="22"/>
          <w:lang w:val="en-US"/>
        </w:rPr>
        <w:t xml:space="preserve"> bucket:</w:t>
      </w:r>
    </w:p>
    <w:p w:rsidR="0268DBC4" w:rsidP="0268DBC4" w:rsidRDefault="0268DBC4" w14:paraId="4ECD4170" w14:textId="4579C1D6">
      <w:pPr>
        <w:pStyle w:val="Normal"/>
        <w:rPr>
          <w:rFonts w:ascii="Cambria" w:hAnsi="Cambria" w:eastAsia="Cambria" w:cs="Cambria"/>
          <w:noProof w:val="0"/>
          <w:sz w:val="22"/>
          <w:szCs w:val="22"/>
          <w:lang w:val="en-US"/>
        </w:rPr>
      </w:pPr>
    </w:p>
    <w:p w:rsidR="4CED1809" w:rsidP="0268DBC4" w:rsidRDefault="4CED1809" w14:paraId="12A45E30" w14:textId="0705314F">
      <w:pPr>
        <w:pStyle w:val="Normal"/>
      </w:pPr>
      <w:r w:rsidR="4CED1809">
        <w:drawing>
          <wp:inline wp14:editId="6EF724AB" wp14:anchorId="682B412A">
            <wp:extent cx="5486400" cy="3705225"/>
            <wp:effectExtent l="0" t="0" r="0" b="0"/>
            <wp:docPr id="286769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769166" name="Picture 286769166"/>
                    <pic:cNvPicPr/>
                  </pic:nvPicPr>
                  <pic:blipFill>
                    <a:blip xmlns:r="http://schemas.openxmlformats.org/officeDocument/2006/relationships" r:embed="rId735064542">
                      <a:extLst>
                        <a:ext uri="{28A0092B-C50C-407E-A947-70E740481C1C}">
                          <a14:useLocalDpi xmlns:a14="http://schemas.microsoft.com/office/drawing/2010/main"/>
                        </a:ext>
                      </a:extLst>
                    </a:blip>
                    <a:stretch>
                      <a:fillRect/>
                    </a:stretch>
                  </pic:blipFill>
                  <pic:spPr>
                    <a:xfrm>
                      <a:off x="0" y="0"/>
                      <a:ext cx="5486400" cy="3705225"/>
                    </a:xfrm>
                    <a:prstGeom prst="rect">
                      <a:avLst/>
                    </a:prstGeom>
                  </pic:spPr>
                </pic:pic>
              </a:graphicData>
            </a:graphic>
          </wp:inline>
        </w:drawing>
      </w:r>
    </w:p>
    <w:p w:rsidR="7636D88C" w:rsidP="0268DBC4" w:rsidRDefault="7636D88C" w14:paraId="5EA79FCE" w14:textId="5661F60A">
      <w:pPr>
        <w:pStyle w:val="ListParagraph"/>
        <w:numPr>
          <w:ilvl w:val="0"/>
          <w:numId w:val="14"/>
        </w:numPr>
        <w:rPr/>
      </w:pPr>
      <w:r w:rsidR="7636D88C">
        <w:rPr/>
        <w:t xml:space="preserve"> Churn follows a U-shaped pattern across </w:t>
      </w:r>
      <w:r w:rsidR="7636D88C">
        <w:rPr/>
        <w:t>utilization</w:t>
      </w:r>
      <w:r w:rsidR="7636D88C">
        <w:rPr/>
        <w:t xml:space="preserve">, with higher churn at </w:t>
      </w:r>
      <w:r w:rsidR="7636D88C">
        <w:rPr/>
        <w:t>very low</w:t>
      </w:r>
      <w:r w:rsidR="7636D88C">
        <w:rPr/>
        <w:t xml:space="preserve"> (22%) and high (20%) </w:t>
      </w:r>
      <w:r w:rsidR="7636D88C">
        <w:rPr/>
        <w:t>utilization</w:t>
      </w:r>
      <w:r w:rsidR="7636D88C">
        <w:rPr/>
        <w:t xml:space="preserve">, and the lowest churn at medium </w:t>
      </w:r>
      <w:r w:rsidR="7636D88C">
        <w:rPr/>
        <w:t>utilization</w:t>
      </w:r>
      <w:r w:rsidR="7636D88C">
        <w:rPr/>
        <w:t xml:space="preserve"> (6%).</w:t>
      </w:r>
      <w:r w:rsidR="0268DBC4">
        <w:rPr/>
        <w:t xml:space="preserve"> </w:t>
      </w:r>
    </w:p>
    <w:p w:rsidR="0268DBC4" w:rsidP="0268DBC4" w:rsidRDefault="0268DBC4" w14:paraId="306A93D4" w14:textId="18A57493">
      <w:pPr>
        <w:pStyle w:val="Heading1"/>
      </w:pPr>
    </w:p>
    <w:p w:rsidR="0268DBC4" w:rsidP="0268DBC4" w:rsidRDefault="0268DBC4" w14:paraId="155D7802" w14:textId="33E01016">
      <w:pPr>
        <w:pStyle w:val="Normal"/>
      </w:pPr>
    </w:p>
    <w:p w:rsidR="0268DBC4" w:rsidP="0268DBC4" w:rsidRDefault="0268DBC4" w14:paraId="5DD88F5D" w14:textId="3D1FE472">
      <w:pPr>
        <w:pStyle w:val="Normal"/>
      </w:pPr>
    </w:p>
    <w:p w:rsidR="0268DBC4" w:rsidP="0268DBC4" w:rsidRDefault="0268DBC4" w14:paraId="0783B6D4" w14:textId="16597456">
      <w:pPr>
        <w:pStyle w:val="Normal"/>
      </w:pPr>
    </w:p>
    <w:p w:rsidR="0268DBC4" w:rsidP="0268DBC4" w:rsidRDefault="0268DBC4" w14:paraId="3F59C67C" w14:textId="52517BB3">
      <w:pPr>
        <w:pStyle w:val="Normal"/>
      </w:pPr>
    </w:p>
    <w:p w:rsidR="0268DBC4" w:rsidP="0268DBC4" w:rsidRDefault="0268DBC4" w14:paraId="46B316E4" w14:textId="6738C08A">
      <w:pPr>
        <w:pStyle w:val="Normal"/>
      </w:pPr>
    </w:p>
    <w:p xmlns:wp14="http://schemas.microsoft.com/office/word/2010/wordml" w14:paraId="03FAC4DC" wp14:textId="77777777">
      <w:pPr>
        <w:pStyle w:val="Heading1"/>
      </w:pPr>
      <w:r>
        <w:t>3. Credit Default Risk Insights</w:t>
      </w:r>
    </w:p>
    <w:p xmlns:wp14="http://schemas.microsoft.com/office/word/2010/wordml" w14:paraId="1578EC1D" wp14:textId="440283D9"/>
    <w:p w:rsidR="70B528D0" w:rsidP="0268DBC4" w:rsidRDefault="70B528D0" w14:paraId="006F7E12" w14:textId="29B47EFD">
      <w:pPr>
        <w:pStyle w:val="Normal"/>
      </w:pPr>
      <w:r w:rsidRPr="0268DBC4" w:rsidR="70B528D0">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Customer  default</w:t>
      </w:r>
      <w:r w:rsidRPr="0268DBC4" w:rsidR="70B528D0">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flag</w:t>
      </w:r>
      <w:r w:rsidRPr="0268DBC4" w:rsidR="3E8F924A">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by </w:t>
      </w:r>
      <w:r w:rsidRPr="0268DBC4" w:rsidR="3E8F924A">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utilizatio</w:t>
      </w:r>
      <w:r w:rsidRPr="0268DBC4" w:rsidR="3E8F924A">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n</w:t>
      </w:r>
      <w:r w:rsidRPr="0268DBC4" w:rsidR="3E8F924A">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bucket</w:t>
      </w:r>
      <w:r w:rsidRPr="0268DBC4" w:rsidR="70B528D0">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w:t>
      </w:r>
    </w:p>
    <w:p w:rsidR="0268DBC4" w:rsidRDefault="0268DBC4" w14:paraId="102ABF45" w14:textId="791E1E0E"/>
    <w:p w:rsidR="0CD376E5" w:rsidP="0268DBC4" w:rsidRDefault="0CD376E5" w14:paraId="131BC057" w14:textId="61D31F32">
      <w:pPr>
        <w:pStyle w:val="Normal"/>
      </w:pPr>
      <w:r w:rsidR="0CD376E5">
        <w:drawing>
          <wp:inline wp14:editId="4A5D7686" wp14:anchorId="2D8593A5">
            <wp:extent cx="5486400" cy="3638550"/>
            <wp:effectExtent l="0" t="0" r="0" b="0"/>
            <wp:docPr id="1340524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524303" name="Picture 1340524303"/>
                    <pic:cNvPicPr/>
                  </pic:nvPicPr>
                  <pic:blipFill>
                    <a:blip xmlns:r="http://schemas.openxmlformats.org/officeDocument/2006/relationships" r:embed="rId169645019">
                      <a:extLst>
                        <a:ext uri="{28A0092B-C50C-407E-A947-70E740481C1C}">
                          <a14:useLocalDpi xmlns:a14="http://schemas.microsoft.com/office/drawing/2010/main"/>
                        </a:ext>
                      </a:extLst>
                    </a:blip>
                    <a:stretch>
                      <a:fillRect/>
                    </a:stretch>
                  </pic:blipFill>
                  <pic:spPr>
                    <a:xfrm>
                      <a:off x="0" y="0"/>
                      <a:ext cx="5486400" cy="3638550"/>
                    </a:xfrm>
                    <a:prstGeom prst="rect">
                      <a:avLst/>
                    </a:prstGeom>
                  </pic:spPr>
                </pic:pic>
              </a:graphicData>
            </a:graphic>
          </wp:inline>
        </w:drawing>
      </w:r>
    </w:p>
    <w:p w:rsidR="55E086AA" w:rsidP="0268DBC4" w:rsidRDefault="55E086AA" w14:paraId="10B2CF17" w14:textId="59352901">
      <w:pPr>
        <w:pStyle w:val="ListParagraph"/>
        <w:numPr>
          <w:ilvl w:val="0"/>
          <w:numId w:val="17"/>
        </w:numPr>
        <w:rPr>
          <w:sz w:val="22"/>
          <w:szCs w:val="22"/>
        </w:rPr>
      </w:pPr>
      <w:r w:rsidR="55E086AA">
        <w:rPr/>
        <w:t xml:space="preserve">Default rate increases from 18% in low </w:t>
      </w:r>
      <w:r w:rsidR="55E086AA">
        <w:rPr/>
        <w:t>utilization</w:t>
      </w:r>
      <w:r w:rsidR="55E086AA">
        <w:rPr/>
        <w:t xml:space="preserve"> customers to 27% in high </w:t>
      </w:r>
      <w:r w:rsidR="55E086AA">
        <w:rPr/>
        <w:t>utilization</w:t>
      </w:r>
      <w:r w:rsidR="55E086AA">
        <w:rPr/>
        <w:t xml:space="preserve"> customers, </w:t>
      </w:r>
      <w:r w:rsidR="55E086AA">
        <w:rPr/>
        <w:t>indicating</w:t>
      </w:r>
      <w:r w:rsidR="55E086AA">
        <w:rPr/>
        <w:t xml:space="preserve"> that higher credit usage is strongly associated with increased default risk.</w:t>
      </w:r>
    </w:p>
    <w:p w:rsidR="0268DBC4" w:rsidP="0268DBC4" w:rsidRDefault="0268DBC4" w14:paraId="5E36DB01" w14:textId="4ED6C119">
      <w:pPr>
        <w:pStyle w:val="Normal"/>
      </w:pPr>
    </w:p>
    <w:p w:rsidR="0268DBC4" w:rsidP="0268DBC4" w:rsidRDefault="0268DBC4" w14:paraId="16DA6E86" w14:textId="06F67776">
      <w:pPr>
        <w:pStyle w:val="Normal"/>
      </w:pPr>
    </w:p>
    <w:p w:rsidR="0268DBC4" w:rsidP="0268DBC4" w:rsidRDefault="0268DBC4" w14:paraId="11AC2919" w14:textId="6977B810">
      <w:pPr>
        <w:pStyle w:val="Normal"/>
      </w:pPr>
    </w:p>
    <w:p w:rsidR="0268DBC4" w:rsidP="0268DBC4" w:rsidRDefault="0268DBC4" w14:paraId="199AB413" w14:textId="0011A67A">
      <w:pPr>
        <w:pStyle w:val="Normal"/>
      </w:pPr>
    </w:p>
    <w:p w:rsidR="0268DBC4" w:rsidP="0268DBC4" w:rsidRDefault="0268DBC4" w14:paraId="48BD1C31" w14:textId="51C62419">
      <w:pPr>
        <w:pStyle w:val="Normal"/>
      </w:pPr>
    </w:p>
    <w:p w:rsidR="0268DBC4" w:rsidP="0268DBC4" w:rsidRDefault="0268DBC4" w14:paraId="7EFB3D0E" w14:textId="77D299F2">
      <w:pPr>
        <w:pStyle w:val="Normal"/>
      </w:pPr>
    </w:p>
    <w:p w:rsidR="0268DBC4" w:rsidP="0268DBC4" w:rsidRDefault="0268DBC4" w14:paraId="30C29D2C" w14:textId="517BAD5E">
      <w:pPr>
        <w:pStyle w:val="Normal"/>
      </w:pPr>
    </w:p>
    <w:p w:rsidR="21146CD8" w:rsidP="0268DBC4" w:rsidRDefault="21146CD8" w14:paraId="467BE128" w14:textId="74207609">
      <w:pPr>
        <w:pStyle w:val="Normal"/>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pPr>
      <w:r w:rsidRPr="0268DBC4" w:rsidR="21146CD8">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Customer  default</w:t>
      </w:r>
      <w:r w:rsidRPr="0268DBC4" w:rsidR="21146CD8">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flag</w:t>
      </w:r>
      <w:r w:rsidRPr="0268DBC4" w:rsidR="19B6978B">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w:t>
      </w:r>
      <w:r w:rsidRPr="0268DBC4" w:rsidR="19B6978B">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by default </w:t>
      </w:r>
      <w:r w:rsidRPr="0268DBC4" w:rsidR="19B6978B">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risk </w:t>
      </w:r>
      <w:r w:rsidRPr="0268DBC4" w:rsidR="19B6978B">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score </w:t>
      </w:r>
      <w:r w:rsidRPr="0268DBC4" w:rsidR="21146CD8">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w:t>
      </w:r>
    </w:p>
    <w:p w:rsidR="0CD376E5" w:rsidP="0268DBC4" w:rsidRDefault="0CD376E5" w14:paraId="3B416AA9" w14:textId="1F422982">
      <w:pPr>
        <w:pStyle w:val="Normal"/>
      </w:pPr>
      <w:r w:rsidR="0CD376E5">
        <w:drawing>
          <wp:inline wp14:editId="55A24957" wp14:anchorId="3C30275B">
            <wp:extent cx="5486400" cy="3714750"/>
            <wp:effectExtent l="0" t="0" r="0" b="0"/>
            <wp:docPr id="684169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169125" name="Picture 684169125"/>
                    <pic:cNvPicPr/>
                  </pic:nvPicPr>
                  <pic:blipFill>
                    <a:blip xmlns:r="http://schemas.openxmlformats.org/officeDocument/2006/relationships" r:embed="rId1614968094">
                      <a:extLst>
                        <a:ext uri="{28A0092B-C50C-407E-A947-70E740481C1C}">
                          <a14:useLocalDpi xmlns:a14="http://schemas.microsoft.com/office/drawing/2010/main"/>
                        </a:ext>
                      </a:extLst>
                    </a:blip>
                    <a:stretch>
                      <a:fillRect/>
                    </a:stretch>
                  </pic:blipFill>
                  <pic:spPr>
                    <a:xfrm>
                      <a:off x="0" y="0"/>
                      <a:ext cx="5486400" cy="3714750"/>
                    </a:xfrm>
                    <a:prstGeom prst="rect">
                      <a:avLst/>
                    </a:prstGeom>
                  </pic:spPr>
                </pic:pic>
              </a:graphicData>
            </a:graphic>
          </wp:inline>
        </w:drawing>
      </w:r>
    </w:p>
    <w:p w:rsidR="40FE72F8" w:rsidP="0268DBC4" w:rsidRDefault="40FE72F8" w14:paraId="2FC30405" w14:textId="24E63AF5">
      <w:pPr>
        <w:pStyle w:val="ListParagraph"/>
        <w:numPr>
          <w:ilvl w:val="0"/>
          <w:numId w:val="18"/>
        </w:numPr>
        <w:rPr>
          <w:sz w:val="22"/>
          <w:szCs w:val="22"/>
        </w:rPr>
      </w:pPr>
      <w:r w:rsidR="40FE72F8">
        <w:rPr/>
        <w:t>Default rates increase sharply with higher risk scores, rising from 11% in low-risk customers to 48% in the highest risk segment, despite minor variation in lower risk categories.</w:t>
      </w:r>
    </w:p>
    <w:p w:rsidR="0268DBC4" w:rsidP="0268DBC4" w:rsidRDefault="0268DBC4" w14:paraId="1E9A0EBB" w14:textId="594A3F5D">
      <w:pPr>
        <w:pStyle w:val="ListParagraph"/>
        <w:ind w:left="720"/>
        <w:rPr>
          <w:sz w:val="22"/>
          <w:szCs w:val="22"/>
        </w:rPr>
      </w:pPr>
    </w:p>
    <w:p w:rsidR="2B7248BE" w:rsidP="0268DBC4" w:rsidRDefault="2B7248BE" w14:paraId="0BD91E48" w14:textId="529CB146">
      <w:pPr>
        <w:pStyle w:val="ListParagraph"/>
        <w:numPr>
          <w:ilvl w:val="0"/>
          <w:numId w:val="18"/>
        </w:numPr>
        <w:rPr>
          <w:sz w:val="22"/>
          <w:szCs w:val="22"/>
        </w:rPr>
      </w:pPr>
      <w:r w:rsidRPr="0268DBC4" w:rsidR="2B7248BE">
        <w:rPr>
          <w:sz w:val="22"/>
          <w:szCs w:val="22"/>
        </w:rPr>
        <w:t>Customers in the highest risk segment (score 3) have over 4x higher default rates compared to low-risk customers, demonstrating the strong predictive power of the risk scoring model.</w:t>
      </w:r>
    </w:p>
    <w:p w:rsidR="0268DBC4" w:rsidP="0268DBC4" w:rsidRDefault="0268DBC4" w14:paraId="6038DEFE" w14:textId="48ED0006">
      <w:pPr>
        <w:pStyle w:val="Normal"/>
      </w:pPr>
    </w:p>
    <w:p w:rsidR="0268DBC4" w:rsidP="0268DBC4" w:rsidRDefault="0268DBC4" w14:paraId="0EDC5B99" w14:textId="24B83BC7">
      <w:pPr>
        <w:pStyle w:val="Normal"/>
      </w:pPr>
    </w:p>
    <w:p w:rsidR="0268DBC4" w:rsidP="0268DBC4" w:rsidRDefault="0268DBC4" w14:paraId="25DCFF77" w14:textId="3FDEA9AF">
      <w:pPr>
        <w:pStyle w:val="Normal"/>
      </w:pPr>
    </w:p>
    <w:p w:rsidR="0268DBC4" w:rsidP="0268DBC4" w:rsidRDefault="0268DBC4" w14:paraId="636179A4" w14:textId="46D0177D">
      <w:pPr>
        <w:pStyle w:val="Normal"/>
      </w:pPr>
    </w:p>
    <w:p w:rsidR="0268DBC4" w:rsidP="0268DBC4" w:rsidRDefault="0268DBC4" w14:paraId="26B6542C" w14:textId="2FD6F987">
      <w:pPr>
        <w:pStyle w:val="Normal"/>
      </w:pPr>
    </w:p>
    <w:p w:rsidR="0268DBC4" w:rsidP="0268DBC4" w:rsidRDefault="0268DBC4" w14:paraId="22EC08DF" w14:textId="3EB85F5A">
      <w:pPr>
        <w:pStyle w:val="Normal"/>
      </w:pPr>
    </w:p>
    <w:p w:rsidR="0268DBC4" w:rsidP="0268DBC4" w:rsidRDefault="0268DBC4" w14:paraId="04EDBA4C" w14:textId="7BF81169">
      <w:pPr>
        <w:pStyle w:val="Normal"/>
      </w:pPr>
    </w:p>
    <w:p w:rsidR="61AC508E" w:rsidP="0268DBC4" w:rsidRDefault="61AC508E" w14:paraId="3911C0F3" w14:textId="040B2BB1">
      <w:pPr>
        <w:pStyle w:val="Normal"/>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pPr>
      <w:r w:rsidRPr="0268DBC4" w:rsidR="61AC508E">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Customer  default</w:t>
      </w:r>
      <w:r w:rsidRPr="0268DBC4" w:rsidR="61AC508E">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rate</w:t>
      </w:r>
      <w:r w:rsidRPr="0268DBC4" w:rsidR="6DEFCDD0">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 by delinquency </w:t>
      </w:r>
      <w:r w:rsidRPr="0268DBC4" w:rsidR="6DEFCDD0">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 xml:space="preserve">bucket </w:t>
      </w:r>
      <w:r w:rsidRPr="0268DBC4" w:rsidR="61AC508E">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w:t>
      </w:r>
    </w:p>
    <w:p w:rsidR="0CD376E5" w:rsidP="0268DBC4" w:rsidRDefault="0CD376E5" w14:paraId="7C253FE9" w14:textId="07B21D3A">
      <w:pPr>
        <w:pStyle w:val="Normal"/>
      </w:pPr>
      <w:r w:rsidR="0CD376E5">
        <w:drawing>
          <wp:inline wp14:editId="05ED0F7F" wp14:anchorId="20D15BB3">
            <wp:extent cx="5486400" cy="3714750"/>
            <wp:effectExtent l="0" t="0" r="0" b="0"/>
            <wp:docPr id="770289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289403" name="Picture 770289403"/>
                    <pic:cNvPicPr/>
                  </pic:nvPicPr>
                  <pic:blipFill>
                    <a:blip xmlns:r="http://schemas.openxmlformats.org/officeDocument/2006/relationships" r:embed="rId565420565">
                      <a:extLst>
                        <a:ext uri="{28A0092B-C50C-407E-A947-70E740481C1C}">
                          <a14:useLocalDpi xmlns:a14="http://schemas.microsoft.com/office/drawing/2010/main"/>
                        </a:ext>
                      </a:extLst>
                    </a:blip>
                    <a:stretch>
                      <a:fillRect/>
                    </a:stretch>
                  </pic:blipFill>
                  <pic:spPr>
                    <a:xfrm>
                      <a:off x="0" y="0"/>
                      <a:ext cx="5486400" cy="3714750"/>
                    </a:xfrm>
                    <a:prstGeom prst="rect">
                      <a:avLst/>
                    </a:prstGeom>
                  </pic:spPr>
                </pic:pic>
              </a:graphicData>
            </a:graphic>
          </wp:inline>
        </w:drawing>
      </w:r>
    </w:p>
    <w:p w:rsidR="430DD854" w:rsidP="0268DBC4" w:rsidRDefault="430DD854" w14:paraId="715A46C4" w14:textId="2A7AE56D">
      <w:pPr>
        <w:pStyle w:val="ListParagraph"/>
        <w:numPr>
          <w:ilvl w:val="0"/>
          <w:numId w:val="19"/>
        </w:numPr>
        <w:suppressLineNumbers w:val="0"/>
        <w:bidi w:val="0"/>
        <w:spacing w:before="0" w:beforeAutospacing="off" w:after="200" w:afterAutospacing="off" w:line="276" w:lineRule="auto"/>
        <w:ind w:right="0"/>
        <w:jc w:val="left"/>
        <w:rPr/>
      </w:pPr>
      <w:r w:rsidR="430DD854">
        <w:rPr/>
        <w:t>Default rate increases sharply with delinquency, rising from 12% for current customers to 63% for those 3+ months late.</w:t>
      </w:r>
    </w:p>
    <w:p w:rsidR="0268DBC4" w:rsidP="0268DBC4" w:rsidRDefault="0268DBC4" w14:paraId="658C849E" w14:textId="7CB357DF">
      <w:pPr>
        <w:pStyle w:val="ListParagraph"/>
        <w:suppressLineNumbers w:val="0"/>
        <w:bidi w:val="0"/>
        <w:spacing w:before="0" w:beforeAutospacing="off" w:after="200" w:afterAutospacing="off" w:line="276" w:lineRule="auto"/>
        <w:ind w:left="720" w:right="0"/>
        <w:jc w:val="left"/>
      </w:pPr>
    </w:p>
    <w:p w:rsidR="15574B39" w:rsidP="0268DBC4" w:rsidRDefault="15574B39" w14:paraId="44EB7B42" w14:textId="2A2950BC">
      <w:pPr>
        <w:pStyle w:val="ListParagraph"/>
        <w:numPr>
          <w:ilvl w:val="0"/>
          <w:numId w:val="19"/>
        </w:numPr>
        <w:rPr/>
      </w:pPr>
      <w:r w:rsidR="15574B39">
        <w:rPr/>
        <w:t xml:space="preserve">Customers who are 3+ </w:t>
      </w:r>
      <w:r w:rsidR="15574B39">
        <w:rPr/>
        <w:t>months</w:t>
      </w:r>
      <w:r w:rsidR="15574B39">
        <w:rPr/>
        <w:t xml:space="preserve"> delinquent have over 5x higher default rates compared to current customers, highlighting delinquency as the strongest predictor of default risk.</w:t>
      </w:r>
    </w:p>
    <w:p xmlns:wp14="http://schemas.microsoft.com/office/word/2010/wordml" w14:paraId="06AC2553" wp14:textId="77777777">
      <w:pPr>
        <w:pStyle w:val="Heading1"/>
      </w:pPr>
      <w:r w:rsidR="0268DBC4">
        <w:rPr/>
        <w:t>4. Risk Segmentation</w:t>
      </w:r>
    </w:p>
    <w:p w:rsidR="4729D07C" w:rsidP="0268DBC4" w:rsidRDefault="4729D07C" w14:paraId="47288F77" w14:textId="63217589">
      <w:pPr>
        <w:pStyle w:val="ListParagraph"/>
        <w:numPr>
          <w:ilvl w:val="0"/>
          <w:numId w:val="20"/>
        </w:numPr>
        <w:rPr/>
      </w:pPr>
      <w:r w:rsidR="4729D07C">
        <w:rPr/>
        <w:t>Low-risk customers are stable, engaged, and financially healthy with minimal churn and default probability.</w:t>
      </w:r>
    </w:p>
    <w:p w:rsidR="451A8F82" w:rsidP="0268DBC4" w:rsidRDefault="451A8F82" w14:paraId="7B0607BA" w14:textId="5A28E2B1">
      <w:pPr>
        <w:pStyle w:val="ListParagraph"/>
        <w:numPr>
          <w:ilvl w:val="0"/>
          <w:numId w:val="20"/>
        </w:numPr>
        <w:rPr/>
      </w:pPr>
      <w:r w:rsidR="451A8F82">
        <w:rPr/>
        <w:t>Medium-risk customers show early signs of disengagement or financial stress and require proactive monitoring.</w:t>
      </w:r>
    </w:p>
    <w:p w:rsidR="451A8F82" w:rsidP="0268DBC4" w:rsidRDefault="451A8F82" w14:paraId="1152837A" w14:textId="244F2AB9">
      <w:pPr>
        <w:pStyle w:val="ListParagraph"/>
        <w:numPr>
          <w:ilvl w:val="0"/>
          <w:numId w:val="20"/>
        </w:numPr>
        <w:rPr/>
      </w:pPr>
      <w:r w:rsidR="451A8F82">
        <w:rPr/>
        <w:t xml:space="preserve">High-risk customers </w:t>
      </w:r>
      <w:r w:rsidR="451A8F82">
        <w:rPr/>
        <w:t>exhibit</w:t>
      </w:r>
      <w:r w:rsidR="451A8F82">
        <w:rPr/>
        <w:t xml:space="preserve"> strong indicators of churn and default, requiring immediate intervention strategies.</w:t>
      </w:r>
    </w:p>
    <w:p w:rsidR="29B53FB6" w:rsidP="0268DBC4" w:rsidRDefault="29B53FB6" w14:paraId="32D7341C" w14:textId="1908483D">
      <w:pPr>
        <w:pStyle w:val="ListParagraph"/>
        <w:numPr>
          <w:ilvl w:val="0"/>
          <w:numId w:val="20"/>
        </w:numPr>
        <w:rPr/>
      </w:pPr>
      <w:r w:rsidR="29B53FB6">
        <w:rPr/>
        <w:t>Customers in the critical risk segment have extremely high default probabilities and should be prioritized for recovery or credit restriction actions.</w:t>
      </w:r>
    </w:p>
    <w:p w:rsidR="650FDEB3" w:rsidP="0268DBC4" w:rsidRDefault="650FDEB3" w14:paraId="5AF4FA4D" w14:textId="6DE94BD3">
      <w:pPr>
        <w:pStyle w:val="ListParagraph"/>
        <w:numPr>
          <w:ilvl w:val="0"/>
          <w:numId w:val="20"/>
        </w:numPr>
        <w:rPr/>
      </w:pPr>
      <w:r w:rsidR="650FDEB3">
        <w:rPr/>
        <w:t>Customer risk segmentation reveals that delinquency and utilization are the strongest drivers of default risk, while inactivity significantly impacts churn. Customers in higher risk segments show disproportionately higher default and churn rates, enabling targeted intervention strategies.</w:t>
      </w:r>
    </w:p>
    <w:p xmlns:wp14="http://schemas.microsoft.com/office/word/2010/wordml" w14:paraId="6799C222" wp14:textId="77777777">
      <w:pPr>
        <w:pStyle w:val="Heading1"/>
      </w:pPr>
      <w:r w:rsidR="0268DBC4">
        <w:rPr/>
        <w:t>5. Strategic Recommendations</w:t>
      </w:r>
    </w:p>
    <w:p w:rsidR="139DAEC2" w:rsidP="0268DBC4" w:rsidRDefault="139DAEC2" w14:paraId="22F9327D" w14:textId="5C6290E5">
      <w:pPr>
        <w:pStyle w:val="ListParagraph"/>
        <w:numPr>
          <w:ilvl w:val="0"/>
          <w:numId w:val="21"/>
        </w:numPr>
        <w:rPr/>
      </w:pPr>
      <w:r w:rsidR="139DAEC2">
        <w:rPr/>
        <w:t>Implement targeted engagement campaigns for low-utilization customers to reduce disengagement-driven churn.</w:t>
      </w:r>
    </w:p>
    <w:p w:rsidR="139DAEC2" w:rsidP="0268DBC4" w:rsidRDefault="139DAEC2" w14:paraId="5D0F7826" w14:textId="002E1B9B">
      <w:pPr>
        <w:pStyle w:val="ListParagraph"/>
        <w:numPr>
          <w:ilvl w:val="0"/>
          <w:numId w:val="21"/>
        </w:numPr>
        <w:rPr/>
      </w:pPr>
      <w:r w:rsidR="139DAEC2">
        <w:rPr/>
        <w:t xml:space="preserve">Monitor high-utilization customers closely and offer financial support options to reduce default risk and prevent </w:t>
      </w:r>
      <w:r w:rsidR="139DAEC2">
        <w:rPr/>
        <w:t>churn</w:t>
      </w:r>
      <w:r w:rsidR="139DAEC2">
        <w:rPr/>
        <w:t>.</w:t>
      </w:r>
    </w:p>
    <w:p w:rsidR="139DAEC2" w:rsidP="0268DBC4" w:rsidRDefault="139DAEC2" w14:paraId="01FDE464" w14:textId="5F8B996A">
      <w:pPr>
        <w:pStyle w:val="ListParagraph"/>
        <w:numPr>
          <w:ilvl w:val="0"/>
          <w:numId w:val="21"/>
        </w:numPr>
        <w:rPr/>
      </w:pPr>
      <w:r w:rsidR="139DAEC2">
        <w:rPr/>
        <w:t>Introduce early warning systems to target customers after 2 months of inactivity to prevent progression into high churn risk segments.</w:t>
      </w:r>
    </w:p>
    <w:p w:rsidR="139DAEC2" w:rsidP="0268DBC4" w:rsidRDefault="139DAEC2" w14:paraId="4807A4A3" w14:textId="530E0E64">
      <w:pPr>
        <w:pStyle w:val="ListParagraph"/>
        <w:numPr>
          <w:ilvl w:val="0"/>
          <w:numId w:val="21"/>
        </w:numPr>
        <w:rPr/>
      </w:pPr>
      <w:r w:rsidR="139DAEC2">
        <w:rPr/>
        <w:t>Prioritize high-risk customers for stricter credit controls and proactive risk management to minimize potential losses.</w:t>
      </w:r>
    </w:p>
    <w:p w:rsidR="139DAEC2" w:rsidP="0268DBC4" w:rsidRDefault="139DAEC2" w14:paraId="3E1D6F00" w14:textId="614215AF">
      <w:pPr>
        <w:pStyle w:val="ListParagraph"/>
        <w:numPr>
          <w:ilvl w:val="0"/>
          <w:numId w:val="21"/>
        </w:numPr>
        <w:rPr/>
      </w:pPr>
      <w:r w:rsidR="139DAEC2">
        <w:rPr/>
        <w:t>Implement aggressive recovery strategies for highly delinquent customers to reduce default losses and improve portfolio quality.</w:t>
      </w:r>
    </w:p>
    <w:p w:rsidR="139DAEC2" w:rsidP="0268DBC4" w:rsidRDefault="139DAEC2" w14:paraId="354E2F26" w14:textId="6391A66C">
      <w:pPr>
        <w:pStyle w:val="ListParagraph"/>
        <w:numPr>
          <w:ilvl w:val="0"/>
          <w:numId w:val="21"/>
        </w:numPr>
        <w:rPr/>
      </w:pPr>
      <w:r w:rsidR="139DAEC2">
        <w:rPr/>
        <w:t xml:space="preserve">Adopt a segment-based customer management strategy to </w:t>
      </w:r>
      <w:r w:rsidR="139DAEC2">
        <w:rPr/>
        <w:t>optimize</w:t>
      </w:r>
      <w:r w:rsidR="139DAEC2">
        <w:rPr/>
        <w:t xml:space="preserve"> retention efforts and risk mitigation across different customer groups.</w:t>
      </w:r>
    </w:p>
    <w:p w:rsidR="139DAEC2" w:rsidP="0268DBC4" w:rsidRDefault="139DAEC2" w14:paraId="78B2E533" w14:textId="5B128FE8">
      <w:pPr>
        <w:pStyle w:val="ListParagraph"/>
        <w:numPr>
          <w:ilvl w:val="0"/>
          <w:numId w:val="21"/>
        </w:numPr>
        <w:rPr/>
      </w:pPr>
      <w:r w:rsidR="139DAEC2">
        <w:rPr/>
        <w:t>Focus on behavioral indicators such as utilization, inactivity, and delinquency rather than demographic factors like income for predicting churn and default.</w:t>
      </w:r>
    </w:p>
    <w:p xmlns:wp14="http://schemas.microsoft.com/office/word/2010/wordml" w14:paraId="1CC0A13F" wp14:textId="77777777">
      <w:pPr>
        <w:pStyle w:val="Heading1"/>
      </w:pPr>
      <w:r w:rsidR="0268DBC4">
        <w:rPr/>
        <w:t>6. Business Impact</w:t>
      </w:r>
    </w:p>
    <w:p w:rsidR="2125832F" w:rsidP="0268DBC4" w:rsidRDefault="2125832F" w14:paraId="18D91A74" w14:textId="49AF49F8">
      <w:pPr>
        <w:pStyle w:val="ListParagraph"/>
        <w:numPr>
          <w:ilvl w:val="0"/>
          <w:numId w:val="22"/>
        </w:numPr>
        <w:rPr/>
      </w:pPr>
      <w:r w:rsidR="2125832F">
        <w:rPr/>
        <w:t>By leveraging behavioral insights such as utilization, inactivity, and delinquency, the organization can reduce credit losses, improve customer retention, and implement more effective, data-driven decision-making strategies.</w:t>
      </w:r>
    </w:p>
    <w:p xmlns:wp14="http://schemas.microsoft.com/office/word/2010/wordml" w14:paraId="16A1F5A8" wp14:textId="77777777">
      <w:pPr>
        <w:pStyle w:val="Heading1"/>
      </w:pPr>
      <w:r w:rsidR="0268DBC4">
        <w:rPr/>
        <w:t>7. Conclusion</w:t>
      </w:r>
    </w:p>
    <w:p xmlns:wp14="http://schemas.microsoft.com/office/word/2010/wordml" w:rsidP="0268DBC4" w14:paraId="62AE3D95" wp14:textId="535FED90">
      <w:pPr>
        <w:spacing w:before="240" w:beforeAutospacing="off" w:after="240" w:afterAutospacing="off"/>
      </w:pPr>
      <w:r w:rsidRPr="0268DBC4" w:rsidR="6C76A664">
        <w:rPr>
          <w:rFonts w:ascii="Cambria" w:hAnsi="Cambria" w:eastAsia="Cambria" w:cs="Cambria"/>
          <w:noProof w:val="0"/>
          <w:sz w:val="22"/>
          <w:szCs w:val="22"/>
          <w:lang w:val="en-US"/>
        </w:rPr>
        <w:t xml:space="preserve">This analysis demonstrates that customer behavior plays a critical role in determining both churn and default risk. Key factors such as </w:t>
      </w:r>
      <w:r w:rsidRPr="0268DBC4" w:rsidR="6C76A664">
        <w:rPr>
          <w:rFonts w:ascii="Cambria" w:hAnsi="Cambria" w:eastAsia="Cambria" w:cs="Cambria"/>
          <w:b w:val="1"/>
          <w:bCs w:val="1"/>
          <w:noProof w:val="0"/>
          <w:sz w:val="22"/>
          <w:szCs w:val="22"/>
          <w:lang w:val="en-US"/>
        </w:rPr>
        <w:t>inactivity, credit utilization, delinquency, and risk score</w:t>
      </w:r>
      <w:r w:rsidRPr="0268DBC4" w:rsidR="6C76A664">
        <w:rPr>
          <w:rFonts w:ascii="Cambria" w:hAnsi="Cambria" w:eastAsia="Cambria" w:cs="Cambria"/>
          <w:noProof w:val="0"/>
          <w:sz w:val="22"/>
          <w:szCs w:val="22"/>
          <w:lang w:val="en-US"/>
        </w:rPr>
        <w:t xml:space="preserve"> were identified as strong predictors, while demographic factors like income showed minimal impact.</w:t>
      </w:r>
    </w:p>
    <w:p xmlns:wp14="http://schemas.microsoft.com/office/word/2010/wordml" w:rsidP="0268DBC4" w14:paraId="20637E4F" wp14:textId="56CBDE9D">
      <w:pPr>
        <w:spacing w:before="240" w:beforeAutospacing="off" w:after="240" w:afterAutospacing="off"/>
      </w:pPr>
      <w:r w:rsidRPr="0268DBC4" w:rsidR="6C76A664">
        <w:rPr>
          <w:rFonts w:ascii="Cambria" w:hAnsi="Cambria" w:eastAsia="Cambria" w:cs="Cambria"/>
          <w:noProof w:val="0"/>
          <w:sz w:val="22"/>
          <w:szCs w:val="22"/>
          <w:lang w:val="en-US"/>
        </w:rPr>
        <w:t>Customers with higher inactivity levels and extreme utilization patterns (very low or very high) are more likely to churn, whereas default risk increases significantly with higher utilization, delinquency, and risk scores. In particular, customers who are 3+ months delinquent or belong to the highest risk segments exhibit substantially higher default probabilities.</w:t>
      </w:r>
    </w:p>
    <w:p xmlns:wp14="http://schemas.microsoft.com/office/word/2010/wordml" w:rsidP="0268DBC4" w14:paraId="1C77A1E5" wp14:textId="0FA02BC4">
      <w:pPr>
        <w:spacing w:before="240" w:beforeAutospacing="off" w:after="240" w:afterAutospacing="off"/>
      </w:pPr>
      <w:r w:rsidRPr="0268DBC4" w:rsidR="6C76A664">
        <w:rPr>
          <w:rFonts w:ascii="Cambria" w:hAnsi="Cambria" w:eastAsia="Cambria" w:cs="Cambria"/>
          <w:noProof w:val="0"/>
          <w:sz w:val="22"/>
          <w:szCs w:val="22"/>
          <w:lang w:val="en-US"/>
        </w:rPr>
        <w:t>The study also highlights the importance of early intervention, especially within the 2–4 months inactivity window, and emphasizes the need for a segment-based approach to customer management.</w:t>
      </w:r>
    </w:p>
    <w:p xmlns:wp14="http://schemas.microsoft.com/office/word/2010/wordml" w:rsidP="0268DBC4" w14:paraId="7F6977DA" wp14:textId="04317DA7">
      <w:pPr>
        <w:spacing w:before="240" w:beforeAutospacing="off" w:after="240" w:afterAutospacing="off"/>
      </w:pPr>
      <w:r w:rsidRPr="0268DBC4" w:rsidR="6C76A664">
        <w:rPr>
          <w:rFonts w:ascii="Cambria" w:hAnsi="Cambria" w:eastAsia="Cambria" w:cs="Cambria"/>
          <w:noProof w:val="0"/>
          <w:sz w:val="22"/>
          <w:szCs w:val="22"/>
          <w:lang w:val="en-US"/>
        </w:rPr>
        <w:t>Overall, by leveraging these behavioral insights, organizations can improve customer retention, reduce financial losses, and implement more effective, data-driven strategies for credit risk management and customer engagement.</w:t>
      </w:r>
    </w:p>
    <w:p xmlns:wp14="http://schemas.microsoft.com/office/word/2010/wordml" w14:paraId="4B07F569" wp14:textId="50DCAF76"/>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1">
    <w:nsid w:val="1b7de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e637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8090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207d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208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57d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c90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0616b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ec0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cbb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19a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564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f3f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815D"/>
    <w:rsid w:val="003B815D"/>
    <w:rsid w:val="00AA1D8D"/>
    <w:rsid w:val="00B47730"/>
    <w:rsid w:val="00CB0664"/>
    <w:rsid w:val="00FC693F"/>
    <w:rsid w:val="011C94DA"/>
    <w:rsid w:val="0122873C"/>
    <w:rsid w:val="01883E1B"/>
    <w:rsid w:val="01883E1B"/>
    <w:rsid w:val="021F00EA"/>
    <w:rsid w:val="023896FC"/>
    <w:rsid w:val="0268DBC4"/>
    <w:rsid w:val="03BD6709"/>
    <w:rsid w:val="0417C6EC"/>
    <w:rsid w:val="06E246EE"/>
    <w:rsid w:val="07C32DE8"/>
    <w:rsid w:val="07CB2A94"/>
    <w:rsid w:val="07CB2A94"/>
    <w:rsid w:val="09487411"/>
    <w:rsid w:val="09487411"/>
    <w:rsid w:val="09BF7471"/>
    <w:rsid w:val="09BF7471"/>
    <w:rsid w:val="0A05B18A"/>
    <w:rsid w:val="0A05B18A"/>
    <w:rsid w:val="0ACDB37C"/>
    <w:rsid w:val="0BCBA6AA"/>
    <w:rsid w:val="0C52B787"/>
    <w:rsid w:val="0C820465"/>
    <w:rsid w:val="0CD376E5"/>
    <w:rsid w:val="0D18FCDC"/>
    <w:rsid w:val="0D18FCDC"/>
    <w:rsid w:val="0D906A9E"/>
    <w:rsid w:val="0E4D0D6F"/>
    <w:rsid w:val="0EAA2686"/>
    <w:rsid w:val="10062D8B"/>
    <w:rsid w:val="10144C6A"/>
    <w:rsid w:val="110A7D68"/>
    <w:rsid w:val="124AB5C5"/>
    <w:rsid w:val="1291A66C"/>
    <w:rsid w:val="138D2ECC"/>
    <w:rsid w:val="139DAEC2"/>
    <w:rsid w:val="13E9E218"/>
    <w:rsid w:val="13E9E218"/>
    <w:rsid w:val="14A60BA8"/>
    <w:rsid w:val="15574B39"/>
    <w:rsid w:val="174C463D"/>
    <w:rsid w:val="1861376A"/>
    <w:rsid w:val="1944FDF1"/>
    <w:rsid w:val="19B6978B"/>
    <w:rsid w:val="19E4C981"/>
    <w:rsid w:val="19E4C981"/>
    <w:rsid w:val="1B208A50"/>
    <w:rsid w:val="1B5E47A9"/>
    <w:rsid w:val="1BA272E4"/>
    <w:rsid w:val="1BA272E4"/>
    <w:rsid w:val="1BA462D2"/>
    <w:rsid w:val="1BCEC686"/>
    <w:rsid w:val="21047664"/>
    <w:rsid w:val="21146CD8"/>
    <w:rsid w:val="211EC80C"/>
    <w:rsid w:val="2125832F"/>
    <w:rsid w:val="219D415B"/>
    <w:rsid w:val="220490A3"/>
    <w:rsid w:val="22A23C61"/>
    <w:rsid w:val="232482DD"/>
    <w:rsid w:val="23CCE0FF"/>
    <w:rsid w:val="23EC37BA"/>
    <w:rsid w:val="26116178"/>
    <w:rsid w:val="2617B60A"/>
    <w:rsid w:val="2617B60A"/>
    <w:rsid w:val="268E2583"/>
    <w:rsid w:val="2857C1D0"/>
    <w:rsid w:val="29B53FB6"/>
    <w:rsid w:val="29BAF220"/>
    <w:rsid w:val="2AC5692B"/>
    <w:rsid w:val="2AC5692B"/>
    <w:rsid w:val="2AE93F0A"/>
    <w:rsid w:val="2AE93F0A"/>
    <w:rsid w:val="2B7248BE"/>
    <w:rsid w:val="2CD3D9C6"/>
    <w:rsid w:val="2D2DE1EC"/>
    <w:rsid w:val="2DB96D09"/>
    <w:rsid w:val="2DB96D09"/>
    <w:rsid w:val="2E175592"/>
    <w:rsid w:val="2E8040DA"/>
    <w:rsid w:val="2EF67C9C"/>
    <w:rsid w:val="2FE31022"/>
    <w:rsid w:val="30C493D1"/>
    <w:rsid w:val="31BD64E7"/>
    <w:rsid w:val="321EC874"/>
    <w:rsid w:val="321EC874"/>
    <w:rsid w:val="3288C20D"/>
    <w:rsid w:val="32ECCB8B"/>
    <w:rsid w:val="34726D58"/>
    <w:rsid w:val="36094901"/>
    <w:rsid w:val="36DA437A"/>
    <w:rsid w:val="3823FBD6"/>
    <w:rsid w:val="39974D62"/>
    <w:rsid w:val="3D0DFA6C"/>
    <w:rsid w:val="3E8F924A"/>
    <w:rsid w:val="3ECB4A65"/>
    <w:rsid w:val="40BCB046"/>
    <w:rsid w:val="40FE72F8"/>
    <w:rsid w:val="41A1C600"/>
    <w:rsid w:val="430DD854"/>
    <w:rsid w:val="431534E6"/>
    <w:rsid w:val="439CA28B"/>
    <w:rsid w:val="451A8F82"/>
    <w:rsid w:val="45FD4E29"/>
    <w:rsid w:val="4626D39B"/>
    <w:rsid w:val="467DEB09"/>
    <w:rsid w:val="467DEB09"/>
    <w:rsid w:val="46C6C1DA"/>
    <w:rsid w:val="4729D07C"/>
    <w:rsid w:val="475F69E8"/>
    <w:rsid w:val="475F69E8"/>
    <w:rsid w:val="48E06955"/>
    <w:rsid w:val="4ABD6CDB"/>
    <w:rsid w:val="4B53F57D"/>
    <w:rsid w:val="4B53F57D"/>
    <w:rsid w:val="4B8FD7D4"/>
    <w:rsid w:val="4C92D06E"/>
    <w:rsid w:val="4C92D06E"/>
    <w:rsid w:val="4CED1809"/>
    <w:rsid w:val="4F047874"/>
    <w:rsid w:val="4F047874"/>
    <w:rsid w:val="551E61AC"/>
    <w:rsid w:val="55E086AA"/>
    <w:rsid w:val="574B2DCE"/>
    <w:rsid w:val="574B2DCE"/>
    <w:rsid w:val="575EE17D"/>
    <w:rsid w:val="59A35102"/>
    <w:rsid w:val="5A069095"/>
    <w:rsid w:val="5BC3B29B"/>
    <w:rsid w:val="5DD495BF"/>
    <w:rsid w:val="5DE9CE9E"/>
    <w:rsid w:val="5E796A64"/>
    <w:rsid w:val="5EE2AAAD"/>
    <w:rsid w:val="61AC508E"/>
    <w:rsid w:val="620C7C13"/>
    <w:rsid w:val="628420AF"/>
    <w:rsid w:val="632A5C70"/>
    <w:rsid w:val="632A5C70"/>
    <w:rsid w:val="650FDEB3"/>
    <w:rsid w:val="665E6FBB"/>
    <w:rsid w:val="66B0615C"/>
    <w:rsid w:val="674AE260"/>
    <w:rsid w:val="68D4E00D"/>
    <w:rsid w:val="697F42F9"/>
    <w:rsid w:val="6B9D8726"/>
    <w:rsid w:val="6BA3AA7F"/>
    <w:rsid w:val="6BC385E5"/>
    <w:rsid w:val="6C2F16DA"/>
    <w:rsid w:val="6C2F16DA"/>
    <w:rsid w:val="6C76A664"/>
    <w:rsid w:val="6DB76D9E"/>
    <w:rsid w:val="6DCEACD2"/>
    <w:rsid w:val="6DEFCDD0"/>
    <w:rsid w:val="6F4670AC"/>
    <w:rsid w:val="70B528D0"/>
    <w:rsid w:val="72F766D5"/>
    <w:rsid w:val="74FB246F"/>
    <w:rsid w:val="7636D88C"/>
    <w:rsid w:val="773C5D62"/>
    <w:rsid w:val="775346C1"/>
    <w:rsid w:val="775346C1"/>
    <w:rsid w:val="78F92ABE"/>
    <w:rsid w:val="798A74AE"/>
    <w:rsid w:val="79AEB8A6"/>
    <w:rsid w:val="79AEB8A6"/>
    <w:rsid w:val="7D151AC3"/>
    <w:rsid w:val="7D411A7C"/>
    <w:rsid w:val="7D411A7C"/>
    <w:rsid w:val="7E3646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FFC09FF-589D-4BA8-A811-02BCD74657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145575554" /><Relationship Type="http://schemas.openxmlformats.org/officeDocument/2006/relationships/image" Target="/media/image2.png" Id="rId39860166" /><Relationship Type="http://schemas.openxmlformats.org/officeDocument/2006/relationships/image" Target="/media/image3.png" Id="rId735064542" /><Relationship Type="http://schemas.openxmlformats.org/officeDocument/2006/relationships/image" Target="/media/image4.png" Id="rId169645019" /><Relationship Type="http://schemas.openxmlformats.org/officeDocument/2006/relationships/image" Target="/media/image5.png" Id="rId1614968094" /><Relationship Type="http://schemas.openxmlformats.org/officeDocument/2006/relationships/image" Target="/media/image6.png" Id="rId5654205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raju nani</lastModifiedBy>
  <revision>2</revision>
  <dcterms:created xsi:type="dcterms:W3CDTF">2013-12-23T23:15:00.0000000Z</dcterms:created>
  <dcterms:modified xsi:type="dcterms:W3CDTF">2026-03-22T11:04:01.8393984Z</dcterms:modified>
  <category/>
</coreProperties>
</file>