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70547177"/>
        <w:docPartObj>
          <w:docPartGallery w:val="Cover Pages"/>
          <w:docPartUnique/>
        </w:docPartObj>
      </w:sdtPr>
      <w:sdtEndPr/>
      <w:sdtContent>
        <w:p w:rsidR="006703AC" w:rsidRDefault="006703A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703AC" w:rsidRPr="006703AC" w:rsidRDefault="00B968D2">
                                <w:pPr>
                                  <w:pStyle w:val="NoSpacing"/>
                                  <w:jc w:val="right"/>
                                  <w:rPr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pt-BR"/>
                                  </w:rPr>
                                  <w:t>Pedro Henrique Rocha Farias</w:t>
                                </w:r>
                              </w:p>
                              <w:p w:rsidR="006703AC" w:rsidRPr="006703AC" w:rsidRDefault="00A31FE4">
                                <w:pPr>
                                  <w:pStyle w:val="NoSpacing"/>
                                  <w:jc w:val="right"/>
                                  <w:rPr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703AC">
                                      <w:rPr>
                                        <w:sz w:val="18"/>
                                        <w:szCs w:val="18"/>
                                        <w:lang w:val="pt-BR"/>
                                      </w:rPr>
                                      <w:t>Pós Tech: Data &amp; Analytics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p w:rsidR="006703AC" w:rsidRPr="006703AC" w:rsidRDefault="00B968D2">
                          <w:pPr>
                            <w:pStyle w:val="NoSpacing"/>
                            <w:jc w:val="right"/>
                            <w:rPr>
                              <w:sz w:val="28"/>
                              <w:szCs w:val="28"/>
                              <w:lang w:val="pt-B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pt-BR"/>
                            </w:rPr>
                            <w:t>Pedro Henrique Rocha Farias</w:t>
                          </w:r>
                        </w:p>
                        <w:p w:rsidR="006703AC" w:rsidRPr="006703AC" w:rsidRDefault="00A31FE4">
                          <w:pPr>
                            <w:pStyle w:val="NoSpacing"/>
                            <w:jc w:val="right"/>
                            <w:rPr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703AC">
                                <w:rPr>
                                  <w:sz w:val="18"/>
                                  <w:szCs w:val="18"/>
                                  <w:lang w:val="pt-BR"/>
                                </w:rPr>
                                <w:t>Pós Tech: Data &amp; Analytics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703AC" w:rsidRPr="006703AC" w:rsidRDefault="00A31FE4">
                                <w:pPr>
                                  <w:jc w:val="right"/>
                                  <w:rPr>
                                    <w:color w:val="F0CDA1" w:themeColor="accent1"/>
                                    <w:sz w:val="64"/>
                                    <w:szCs w:val="64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F0CDA1" w:themeColor="accent1"/>
                                      <w:sz w:val="64"/>
                                      <w:szCs w:val="64"/>
                                      <w:lang w:val="pt-BR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703AC">
                                      <w:rPr>
                                        <w:caps/>
                                        <w:color w:val="F0CDA1" w:themeColor="accent1"/>
                                        <w:sz w:val="64"/>
                                        <w:szCs w:val="64"/>
                                        <w:lang w:val="pt-BR"/>
                                      </w:rPr>
                                      <w:t>DATATHON – Case Passos Mágicos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28"/>
                                    <w:szCs w:val="36"/>
                                    <w:lang w:val="pt-BR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6703AC" w:rsidRPr="006703AC" w:rsidRDefault="006703A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t-BR"/>
                                      </w:rPr>
                                    </w:pPr>
                                    <w:r w:rsidRPr="006703AC">
                                      <w:rPr>
                                        <w:color w:val="404040" w:themeColor="text1" w:themeTint="BF"/>
                                        <w:sz w:val="28"/>
                                        <w:szCs w:val="36"/>
                                        <w:lang w:val="pt-BR"/>
                                      </w:rPr>
                                      <w:t>Mudando a vida de crianças e jovens por meio da educação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:rsidR="006703AC" w:rsidRPr="006703AC" w:rsidRDefault="006703AC">
                          <w:pPr>
                            <w:jc w:val="right"/>
                            <w:rPr>
                              <w:color w:val="F0CDA1" w:themeColor="accent1"/>
                              <w:sz w:val="64"/>
                              <w:szCs w:val="64"/>
                              <w:lang w:val="pt-BR"/>
                            </w:rPr>
                          </w:pPr>
                          <w:sdt>
                            <w:sdtPr>
                              <w:rPr>
                                <w:caps/>
                                <w:color w:val="F0CDA1" w:themeColor="accent1"/>
                                <w:sz w:val="64"/>
                                <w:szCs w:val="64"/>
                                <w:lang w:val="pt-BR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F0CDA1" w:themeColor="accent1"/>
                                  <w:sz w:val="64"/>
                                  <w:szCs w:val="64"/>
                                  <w:lang w:val="pt-BR"/>
                                </w:rPr>
                                <w:t>DATATHON – Case Passos Mágicos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28"/>
                              <w:szCs w:val="36"/>
                              <w:lang w:val="pt-BR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6703AC" w:rsidRPr="006703AC" w:rsidRDefault="006703A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pt-BR"/>
                                </w:rPr>
                              </w:pPr>
                              <w:r w:rsidRPr="006703AC">
                                <w:rPr>
                                  <w:color w:val="404040" w:themeColor="text1" w:themeTint="BF"/>
                                  <w:sz w:val="28"/>
                                  <w:szCs w:val="36"/>
                                  <w:lang w:val="pt-BR"/>
                                </w:rPr>
                                <w:t>Mudando a vida de crianças e jovens por meio da educação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6703AC" w:rsidRDefault="006703AC"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685B4E" w:rsidRPr="002B017D" w:rsidRDefault="002B017D" w:rsidP="001C7777">
      <w:pPr>
        <w:pStyle w:val="Heading1"/>
        <w:spacing w:line="276" w:lineRule="auto"/>
        <w:rPr>
          <w:lang w:val="pt-BR"/>
        </w:rPr>
      </w:pPr>
      <w:r w:rsidRPr="002B017D">
        <w:rPr>
          <w:lang w:val="pt-BR"/>
        </w:rPr>
        <w:lastRenderedPageBreak/>
        <w:t>Overview da associação</w:t>
      </w:r>
    </w:p>
    <w:p w:rsidR="002B017D" w:rsidRDefault="002B017D" w:rsidP="001C7777">
      <w:pPr>
        <w:spacing w:line="276" w:lineRule="auto"/>
        <w:rPr>
          <w:lang w:val="pt-BR"/>
        </w:rPr>
      </w:pPr>
      <w:r w:rsidRPr="002B017D">
        <w:rPr>
          <w:lang w:val="pt-BR"/>
        </w:rPr>
        <w:t>A Associação Passos Mágicos tem uma trajetória de 32 anos de atuação, trabalhando na transformação da vida de crianças e jovens de baixa renda, os levando a melhores oportunidades de vida. A transformação, idealizada por Michelle Flues e Dimetri Ivanoff, começou em 1992, atuando</w:t>
      </w:r>
      <w:r w:rsidR="00023DF5">
        <w:rPr>
          <w:lang w:val="pt-BR"/>
        </w:rPr>
        <w:t xml:space="preserve"> </w:t>
      </w:r>
      <w:r w:rsidRPr="002B017D">
        <w:rPr>
          <w:lang w:val="pt-BR"/>
        </w:rPr>
        <w:t xml:space="preserve">dentro de orfanatos, no município de Embu-Guaçu. </w:t>
      </w:r>
    </w:p>
    <w:p w:rsidR="002B017D" w:rsidRDefault="002B017D" w:rsidP="001C7777">
      <w:pPr>
        <w:spacing w:line="276" w:lineRule="auto"/>
        <w:rPr>
          <w:lang w:val="pt-BR"/>
        </w:rPr>
      </w:pPr>
      <w:r w:rsidRPr="002B017D">
        <w:rPr>
          <w:lang w:val="pt-BR"/>
        </w:rPr>
        <w:t>Em 2016, depois de anos de atuação, decidem ampliar o programa para que mais jovens tivessem acesso a essa fórmula mágica para transformação que inclui: educação de qualidade, auxílio psicológico/psicopedagógico, ampliação de sua visão de mundo e protagonismo.</w:t>
      </w:r>
    </w:p>
    <w:p w:rsidR="005901CF" w:rsidRPr="002B017D" w:rsidRDefault="002B017D" w:rsidP="001C7777">
      <w:pPr>
        <w:spacing w:line="276" w:lineRule="auto"/>
        <w:rPr>
          <w:lang w:val="pt-BR"/>
        </w:rPr>
      </w:pPr>
      <w:r w:rsidRPr="002B017D">
        <w:rPr>
          <w:lang w:val="pt-BR"/>
        </w:rPr>
        <w:t>Foi então que passaram a atuar como um projeto social e educacional, criando assim a Associação Passos Mágicos.</w:t>
      </w:r>
    </w:p>
    <w:p w:rsidR="00F63BD1" w:rsidRPr="002B017D" w:rsidRDefault="002B017D" w:rsidP="001C7777">
      <w:pPr>
        <w:pStyle w:val="Heading1"/>
        <w:spacing w:line="276" w:lineRule="auto"/>
        <w:rPr>
          <w:lang w:val="pt-BR"/>
        </w:rPr>
      </w:pPr>
      <w:r w:rsidRPr="002B017D">
        <w:rPr>
          <w:lang w:val="pt-BR"/>
        </w:rPr>
        <w:t>DESAFIO PROPOSTO</w:t>
      </w:r>
    </w:p>
    <w:p w:rsidR="002B017D" w:rsidRPr="002B017D" w:rsidRDefault="002B017D" w:rsidP="001C7777">
      <w:pPr>
        <w:spacing w:line="276" w:lineRule="auto"/>
        <w:rPr>
          <w:lang w:val="pt-BR"/>
        </w:rPr>
      </w:pPr>
      <w:r w:rsidRPr="002B017D">
        <w:rPr>
          <w:lang w:val="pt-BR"/>
        </w:rPr>
        <w:t>Para este desafio de Data Analytics, fomos inseridos em um contexto real de impacto social, em parceria com a Associação Passos Mágicos, uma organização com mais de 30 anos de atuação voltada à transformação da vida de crianças e jovens em situação de vulnerabilidade por meio da educação.</w:t>
      </w:r>
    </w:p>
    <w:p w:rsidR="002B017D" w:rsidRPr="002B017D" w:rsidRDefault="002B017D" w:rsidP="001C7777">
      <w:pPr>
        <w:spacing w:line="276" w:lineRule="auto"/>
        <w:rPr>
          <w:lang w:val="pt-BR"/>
        </w:rPr>
      </w:pPr>
      <w:r w:rsidRPr="002B017D">
        <w:rPr>
          <w:lang w:val="pt-BR"/>
        </w:rPr>
        <w:t>O desafio consistiu em analisar um dataset abrangente sobre o desenvolvimento educacional de alunos ao longo dos anos de 2022 a 2024, com o objetivo de gerar insights estratégicos que apoiassem a tomada de decisão da instituição. A proposta foi ir além de uma análise descritiva, explorando relações entre indicadores acadêmicos, comportamentais e psicossociais, como desempenho (IDA), engajamento (IEG), autoavaliação (IAA), aspectos psicossociais (IPS), psicopedagógicos (IPP) e níveis de defasagem (IAN).</w:t>
      </w:r>
    </w:p>
    <w:p w:rsidR="002B017D" w:rsidRPr="002B017D" w:rsidRDefault="002B017D" w:rsidP="001C7777">
      <w:pPr>
        <w:spacing w:line="276" w:lineRule="auto"/>
        <w:rPr>
          <w:lang w:val="pt-BR"/>
        </w:rPr>
      </w:pPr>
      <w:r w:rsidRPr="002B017D">
        <w:rPr>
          <w:lang w:val="pt-BR"/>
        </w:rPr>
        <w:t>A partir desses dados, o desafio incluiu responder a questões-chave de negócio, como a evolução da defasagem dos alunos, a efetividade do programa educacional ao longo das fases Quartzo, Ágata, Ametista e Topázio, e a identificação de padrões que antecedem quedas de desempenho. Além disso, foi proposto o desenvolvimento de um modelo preditivo capaz de identificar, de forma antecipada, alunos com risco de defasagem, permitindo ações proativas por parte da instituição.</w:t>
      </w:r>
    </w:p>
    <w:p w:rsidR="002B017D" w:rsidRPr="002B017D" w:rsidRDefault="002B017D" w:rsidP="001C7777">
      <w:pPr>
        <w:spacing w:line="276" w:lineRule="auto"/>
        <w:rPr>
          <w:lang w:val="pt-BR"/>
        </w:rPr>
      </w:pPr>
      <w:r w:rsidRPr="002B017D">
        <w:rPr>
          <w:lang w:val="pt-BR"/>
        </w:rPr>
        <w:t>Para atender a esses objetivos, estruturamos nossa solução seguindo boas práticas de engenharia e análise de dados. Os dados brutos foram tratados e preparados utilizando Python, onde realizamos etapas de limpeza, transformação e feature engineering. Em seguida, conduzimos análises exploratórias e modelagem estatística para geração de insights relevantes.</w:t>
      </w:r>
    </w:p>
    <w:p w:rsidR="0056301D" w:rsidRDefault="002B017D" w:rsidP="001C7777">
      <w:pPr>
        <w:spacing w:line="276" w:lineRule="auto"/>
        <w:rPr>
          <w:lang w:val="pt-BR"/>
        </w:rPr>
      </w:pPr>
      <w:r w:rsidRPr="002B017D">
        <w:rPr>
          <w:lang w:val="pt-BR"/>
        </w:rPr>
        <w:lastRenderedPageBreak/>
        <w:t>Como entrega final, consolidamos os resultados em um storytelling analítico, além de um modelo de Machine Learning disponibilizado por meio de uma aplicação em Streamlit. Essa solução permite que a Passos Mágicos utilize previsões de risco de forma prática no seu dia a dia, ampliando sua capacidade de atuação preventiva e potencializando o impacto social do programa.</w:t>
      </w:r>
    </w:p>
    <w:p w:rsidR="0056301D" w:rsidRDefault="0056301D" w:rsidP="001C7777">
      <w:pPr>
        <w:pStyle w:val="Heading1"/>
        <w:spacing w:line="276" w:lineRule="auto"/>
        <w:rPr>
          <w:lang w:val="pt-BR"/>
        </w:rPr>
      </w:pPr>
      <w:r>
        <w:rPr>
          <w:lang w:val="pt-BR"/>
        </w:rPr>
        <w:t>Dicionário de siglas e indicadores</w:t>
      </w: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t>INDE – Índice de Desenvolvimento Educacional</w:t>
      </w:r>
    </w:p>
    <w:p w:rsidR="0056301D" w:rsidRP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O INDE representa a métrica consolidada de avaliação do aluno, sendo o principal indicador de desempenho global. Ele é calculado a partir da ponderação de múltiplos fatores, incluindo desempenho acadêmico, engajamento, aspectos psicossociais e adequação ao nível.</w:t>
      </w:r>
      <w:r w:rsidRPr="0056301D">
        <w:rPr>
          <w:lang w:val="pt-BR"/>
        </w:rPr>
        <w:br/>
        <w:t>Esse índice sintetiza a evolução do aluno ao longo do tempo e serve como base para classificações, rankings e análises comparativas.</w:t>
      </w: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t>IDA – Indicador de Desempenho Acadêmico</w:t>
      </w:r>
    </w:p>
    <w:p w:rsidR="0056301D" w:rsidRP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O IDA mede o desempenho escolar do aluno com base em suas notas e avaliações acadêmicas.</w:t>
      </w:r>
      <w:r w:rsidRPr="0056301D">
        <w:rPr>
          <w:lang w:val="pt-BR"/>
        </w:rPr>
        <w:br/>
        <w:t>Ele reflete diretamente a capacidade de aprendizado em disciplinas formais e é um dos principais componentes do INDE.</w:t>
      </w:r>
      <w:r w:rsidRPr="0056301D">
        <w:rPr>
          <w:lang w:val="pt-BR"/>
        </w:rPr>
        <w:br/>
        <w:t>Sua evolução ao longo do tempo permite identificar melhora, estagnação ou queda no rendimento escolar.</w:t>
      </w: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t>IEG – Indicador de Engajamento</w:t>
      </w:r>
    </w:p>
    <w:p w:rsid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O IEG representa o nível de participação e envolvimento do aluno nas atividades propostas pelo programa.</w:t>
      </w:r>
      <w:r w:rsidRPr="0056301D">
        <w:rPr>
          <w:lang w:val="pt-BR"/>
        </w:rPr>
        <w:br/>
        <w:t>Esse indicador está relacionado a aspectos como presença, dedicação, interesse e interação nas atividades educacionais.</w:t>
      </w:r>
      <w:r w:rsidRPr="0056301D">
        <w:rPr>
          <w:lang w:val="pt-BR"/>
        </w:rPr>
        <w:br/>
        <w:t>Altos níveis de engajamento tendem a estar associados a melhores resultados acadêmicos e maior evolução no programa.</w:t>
      </w:r>
    </w:p>
    <w:p w:rsidR="001C7777" w:rsidRPr="0056301D" w:rsidRDefault="001C7777" w:rsidP="001C7777">
      <w:pPr>
        <w:spacing w:line="276" w:lineRule="auto"/>
        <w:rPr>
          <w:lang w:val="pt-BR"/>
        </w:rPr>
      </w:pP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t>IAA – Indicador de Autoavaliação</w:t>
      </w:r>
    </w:p>
    <w:p w:rsidR="0056301D" w:rsidRP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O IAA corresponde à percepção que o próprio aluno tem sobre seu desempenho e desenvolvimento.</w:t>
      </w:r>
      <w:r w:rsidRPr="0056301D">
        <w:rPr>
          <w:lang w:val="pt-BR"/>
        </w:rPr>
        <w:br/>
        <w:t>Esse indicador permite avaliar o grau de consciência do aluno em relação às suas habilidades, dificuldades e progresso.</w:t>
      </w:r>
      <w:r w:rsidRPr="0056301D">
        <w:rPr>
          <w:lang w:val="pt-BR"/>
        </w:rPr>
        <w:br/>
        <w:t>A comparação entre o IAA e outros indicadores, como IDA e IEG, possibilita identificar distorções de percepção, como excesso de confiança ou baixa autoestima.</w:t>
      </w: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lastRenderedPageBreak/>
        <w:t>IPS – Indicador Psicossocial</w:t>
      </w:r>
    </w:p>
    <w:p w:rsidR="001C7777" w:rsidRPr="001C7777" w:rsidRDefault="001C7777" w:rsidP="001C7777">
      <w:pPr>
        <w:spacing w:line="276" w:lineRule="auto"/>
        <w:rPr>
          <w:lang w:val="pt-BR"/>
        </w:rPr>
      </w:pPr>
      <w:r w:rsidRPr="001C7777">
        <w:rPr>
          <w:lang w:val="pt-BR"/>
        </w:rPr>
        <w:t>O IPS mede aspectos relacionados ao contexto emocional, social e comportamental do aluno.</w:t>
      </w:r>
      <w:r w:rsidRPr="001C7777">
        <w:rPr>
          <w:lang w:val="pt-BR"/>
        </w:rPr>
        <w:br/>
        <w:t xml:space="preserve">Inclui fatores como bem-estar emocional, </w:t>
      </w:r>
      <w:r w:rsidRPr="001C7777">
        <w:rPr>
          <w:b/>
          <w:bCs/>
          <w:lang w:val="pt-BR"/>
        </w:rPr>
        <w:t>relações interpessoais</w:t>
      </w:r>
      <w:r w:rsidRPr="001C7777">
        <w:rPr>
          <w:lang w:val="pt-BR"/>
        </w:rPr>
        <w:t>, contexto familiar e outros elementos que podem impactar o desempenho educacional.</w:t>
      </w:r>
      <w:r w:rsidRPr="001C7777">
        <w:rPr>
          <w:lang w:val="pt-BR"/>
        </w:rPr>
        <w:br/>
        <w:t>Esse indicador é fundamental para identificar possíveis causas externas que influenciam o aprendizado e o engajamento.</w:t>
      </w: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t>IPP – Indicador Psicopedagógico</w:t>
      </w:r>
    </w:p>
    <w:p w:rsidR="0056301D" w:rsidRP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O IPP avalia aspectos relacionados às habilidades cognitivas e ao processo de aprendizagem do aluno.</w:t>
      </w:r>
      <w:r w:rsidRPr="0056301D">
        <w:rPr>
          <w:lang w:val="pt-BR"/>
        </w:rPr>
        <w:br/>
        <w:t>Ele considera dificuldades de aprendizagem, necessidades pedagógicas específicas e aspectos ligados ao desenvolvimento intelectual.</w:t>
      </w:r>
      <w:r w:rsidRPr="0056301D">
        <w:rPr>
          <w:lang w:val="pt-BR"/>
        </w:rPr>
        <w:br/>
        <w:t>Esse indicador complementa a análise acadêmica ao trazer uma visão mais aprofundada sobre como o aluno aprende.</w:t>
      </w: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t>IAN – Indicador de Adequação ao Nível</w:t>
      </w:r>
    </w:p>
    <w:p w:rsidR="0056301D" w:rsidRP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O IAN mede o quão adequado o aluno está em relação ao nível ou fase educacional em que se encontra.</w:t>
      </w:r>
      <w:r w:rsidRPr="0056301D">
        <w:rPr>
          <w:lang w:val="pt-BR"/>
        </w:rPr>
        <w:br/>
        <w:t>Ele permite identificar situações de defasagem, onde o aluno está abaixo do esperado para seu nível, ou de avanço, quando está acima.</w:t>
      </w:r>
      <w:r w:rsidRPr="0056301D">
        <w:rPr>
          <w:lang w:val="pt-BR"/>
        </w:rPr>
        <w:br/>
        <w:t>Esse indicador é essencial para entender o alinhamento entre capacidade e posicionamento educacional do aluno.</w:t>
      </w: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t>IPV – Indicador de Ponto de Virada</w:t>
      </w:r>
    </w:p>
    <w:p w:rsid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O IPV representa a probabilidade ou evidência de que o aluno atingiu um momento de mudança significativa em sua trajetória.</w:t>
      </w:r>
      <w:r w:rsidRPr="0056301D">
        <w:rPr>
          <w:lang w:val="pt-BR"/>
        </w:rPr>
        <w:br/>
        <w:t>Esse ponto pode refletir melhora consistente no desempenho, aumento de engajamento ou mudança de comportamento.</w:t>
      </w:r>
      <w:r w:rsidRPr="0056301D">
        <w:rPr>
          <w:lang w:val="pt-BR"/>
        </w:rPr>
        <w:br/>
        <w:t>Também pode ser analisado como um marco importante para identificar alunos que passaram a evoluir de forma mais acelerada.</w:t>
      </w:r>
    </w:p>
    <w:p w:rsidR="0056301D" w:rsidRDefault="0056301D" w:rsidP="001C7777">
      <w:pPr>
        <w:spacing w:line="276" w:lineRule="auto"/>
        <w:rPr>
          <w:lang w:val="pt-BR"/>
        </w:rPr>
      </w:pPr>
    </w:p>
    <w:p w:rsidR="0056301D" w:rsidRPr="0056301D" w:rsidRDefault="0056301D" w:rsidP="001C7777">
      <w:pPr>
        <w:spacing w:line="276" w:lineRule="auto"/>
        <w:rPr>
          <w:lang w:val="pt-BR"/>
        </w:rPr>
      </w:pPr>
    </w:p>
    <w:p w:rsidR="0056301D" w:rsidRPr="0056301D" w:rsidRDefault="0056301D" w:rsidP="001C7777">
      <w:pPr>
        <w:spacing w:line="276" w:lineRule="auto"/>
        <w:rPr>
          <w:b/>
          <w:bCs/>
          <w:lang w:val="pt-BR"/>
        </w:rPr>
      </w:pPr>
      <w:r w:rsidRPr="0056301D">
        <w:rPr>
          <w:b/>
          <w:bCs/>
          <w:lang w:val="pt-BR"/>
        </w:rPr>
        <w:t>INDE (Classificação por “Pedras”)</w:t>
      </w:r>
    </w:p>
    <w:p w:rsidR="0056301D" w:rsidRP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Com base no valor do INDE, os alunos são classificados em categorias que representam seu nível de desenvolvimento:</w:t>
      </w:r>
    </w:p>
    <w:p w:rsidR="0056301D" w:rsidRPr="0056301D" w:rsidRDefault="0056301D" w:rsidP="00A27E86">
      <w:pPr>
        <w:numPr>
          <w:ilvl w:val="0"/>
          <w:numId w:val="8"/>
        </w:numPr>
        <w:spacing w:line="276" w:lineRule="auto"/>
        <w:rPr>
          <w:lang w:val="pt-BR"/>
        </w:rPr>
      </w:pPr>
      <w:r w:rsidRPr="0056301D">
        <w:rPr>
          <w:lang w:val="pt-BR"/>
        </w:rPr>
        <w:t xml:space="preserve">Quartzo: desempenho mais baixo </w:t>
      </w:r>
    </w:p>
    <w:p w:rsidR="0056301D" w:rsidRPr="0056301D" w:rsidRDefault="0056301D" w:rsidP="00A27E86">
      <w:pPr>
        <w:numPr>
          <w:ilvl w:val="0"/>
          <w:numId w:val="8"/>
        </w:numPr>
        <w:spacing w:line="276" w:lineRule="auto"/>
        <w:rPr>
          <w:lang w:val="pt-BR"/>
        </w:rPr>
      </w:pPr>
      <w:r w:rsidRPr="0056301D">
        <w:rPr>
          <w:lang w:val="pt-BR"/>
        </w:rPr>
        <w:t xml:space="preserve">Ágata: desempenho intermediário inferior </w:t>
      </w:r>
    </w:p>
    <w:p w:rsidR="0056301D" w:rsidRPr="0056301D" w:rsidRDefault="0056301D" w:rsidP="00A27E86">
      <w:pPr>
        <w:numPr>
          <w:ilvl w:val="0"/>
          <w:numId w:val="8"/>
        </w:numPr>
        <w:spacing w:line="276" w:lineRule="auto"/>
        <w:rPr>
          <w:lang w:val="pt-BR"/>
        </w:rPr>
      </w:pPr>
      <w:r w:rsidRPr="0056301D">
        <w:rPr>
          <w:lang w:val="pt-BR"/>
        </w:rPr>
        <w:t xml:space="preserve">Ametista: desempenho intermediário superior </w:t>
      </w:r>
    </w:p>
    <w:p w:rsidR="0056301D" w:rsidRPr="0056301D" w:rsidRDefault="0056301D" w:rsidP="00A27E86">
      <w:pPr>
        <w:numPr>
          <w:ilvl w:val="0"/>
          <w:numId w:val="8"/>
        </w:numPr>
        <w:spacing w:line="276" w:lineRule="auto"/>
        <w:rPr>
          <w:lang w:val="pt-BR"/>
        </w:rPr>
      </w:pPr>
      <w:r w:rsidRPr="0056301D">
        <w:rPr>
          <w:lang w:val="pt-BR"/>
        </w:rPr>
        <w:lastRenderedPageBreak/>
        <w:t xml:space="preserve">Topázio: alto desempenho </w:t>
      </w:r>
    </w:p>
    <w:p w:rsidR="0056301D" w:rsidRDefault="0056301D" w:rsidP="001C7777">
      <w:pPr>
        <w:spacing w:line="276" w:lineRule="auto"/>
        <w:rPr>
          <w:lang w:val="pt-BR"/>
        </w:rPr>
      </w:pPr>
      <w:r w:rsidRPr="0056301D">
        <w:rPr>
          <w:lang w:val="pt-BR"/>
        </w:rPr>
        <w:t>Essa classificação facilita a segmentação dos alunos e a análise da evolução ao longo do tempo.</w:t>
      </w:r>
    </w:p>
    <w:p w:rsidR="001C7777" w:rsidRDefault="001C7777" w:rsidP="001C7777">
      <w:pPr>
        <w:spacing w:line="276" w:lineRule="auto"/>
        <w:rPr>
          <w:lang w:val="pt-BR"/>
        </w:rPr>
      </w:pPr>
      <w:r w:rsidRPr="001C7777">
        <w:rPr>
          <w:lang w:val="pt-BR"/>
        </w:rPr>
        <w:t>Os indicadores apresentados refletem uma abordagem multidimensional do desenvolvimento educacional, permitindo analisar não apenas o desempenho acadêmico, mas também fatores comportamentais, emocionais e cognitivos que influenciam a trajetória dos alunos.</w:t>
      </w:r>
    </w:p>
    <w:p w:rsidR="005E7FF4" w:rsidRDefault="005E7FF4" w:rsidP="005E7FF4">
      <w:pPr>
        <w:pStyle w:val="Heading1"/>
        <w:rPr>
          <w:lang w:val="pt-BR"/>
        </w:rPr>
      </w:pPr>
      <w:r>
        <w:rPr>
          <w:lang w:val="pt-BR"/>
        </w:rPr>
        <w:t>ANÁLISE DAS QUESTÕES DE NEGÓCIO</w:t>
      </w:r>
    </w:p>
    <w:p w:rsidR="00C20A20" w:rsidRPr="005E7FF4" w:rsidRDefault="005E7FF4" w:rsidP="005E7FF4">
      <w:pPr>
        <w:spacing w:line="276" w:lineRule="auto"/>
        <w:rPr>
          <w:b/>
          <w:lang w:val="pt-BR"/>
        </w:rPr>
      </w:pPr>
      <w:r w:rsidRPr="005E7FF4">
        <w:rPr>
          <w:b/>
          <w:lang w:val="pt-BR"/>
        </w:rPr>
        <w:t>1.</w:t>
      </w:r>
      <w:r>
        <w:rPr>
          <w:b/>
          <w:lang w:val="pt-BR"/>
        </w:rPr>
        <w:t xml:space="preserve"> </w:t>
      </w:r>
      <w:r w:rsidRPr="005E7FF4">
        <w:rPr>
          <w:b/>
          <w:lang w:val="pt-BR"/>
        </w:rPr>
        <w:t>Adequação do nível (IAN): Qual é o perfil geral de defasagem dos alunos (IAN) e como ele evolui ao longo do ano?</w:t>
      </w:r>
    </w:p>
    <w:p w:rsidR="009E62D8" w:rsidRDefault="00DA1EED" w:rsidP="00DA1EED">
      <w:pPr>
        <w:spacing w:line="276" w:lineRule="auto"/>
        <w:rPr>
          <w:lang w:val="pt-BR"/>
        </w:rPr>
      </w:pPr>
      <w:r w:rsidRPr="00DA1EED">
        <w:rPr>
          <w:lang w:val="pt-BR"/>
        </w:rPr>
        <w:t>O Índice de Adequação ao Nível (IAN) classifica cada aluno em uma de três situações:</w:t>
      </w:r>
    </w:p>
    <w:p w:rsidR="009E62D8" w:rsidRDefault="00DA1EED" w:rsidP="00A27E86">
      <w:pPr>
        <w:pStyle w:val="ListParagraph"/>
        <w:numPr>
          <w:ilvl w:val="0"/>
          <w:numId w:val="9"/>
        </w:numPr>
        <w:spacing w:line="276" w:lineRule="auto"/>
        <w:rPr>
          <w:lang w:val="pt-BR"/>
        </w:rPr>
      </w:pPr>
      <w:r w:rsidRPr="009E62D8">
        <w:rPr>
          <w:lang w:val="pt-BR"/>
        </w:rPr>
        <w:t>defasagem crítica (muito abaixo do nível esperado para a série)</w:t>
      </w:r>
      <w:r w:rsidR="009E62D8">
        <w:rPr>
          <w:lang w:val="pt-BR"/>
        </w:rPr>
        <w:t>.</w:t>
      </w:r>
    </w:p>
    <w:p w:rsidR="009E62D8" w:rsidRDefault="00DA1EED" w:rsidP="00A27E86">
      <w:pPr>
        <w:pStyle w:val="ListParagraph"/>
        <w:numPr>
          <w:ilvl w:val="0"/>
          <w:numId w:val="9"/>
        </w:numPr>
        <w:spacing w:line="276" w:lineRule="auto"/>
        <w:rPr>
          <w:lang w:val="pt-BR"/>
        </w:rPr>
      </w:pPr>
      <w:r w:rsidRPr="009E62D8">
        <w:rPr>
          <w:lang w:val="pt-BR"/>
        </w:rPr>
        <w:t>defasagem moderada (parcialmente abaixo)</w:t>
      </w:r>
      <w:r w:rsidR="009E62D8">
        <w:rPr>
          <w:lang w:val="pt-BR"/>
        </w:rPr>
        <w:t>.</w:t>
      </w:r>
    </w:p>
    <w:p w:rsidR="009E62D8" w:rsidRDefault="00DA1EED" w:rsidP="00A27E86">
      <w:pPr>
        <w:pStyle w:val="ListParagraph"/>
        <w:numPr>
          <w:ilvl w:val="0"/>
          <w:numId w:val="9"/>
        </w:numPr>
        <w:spacing w:line="276" w:lineRule="auto"/>
        <w:rPr>
          <w:lang w:val="pt-BR"/>
        </w:rPr>
      </w:pPr>
      <w:r w:rsidRPr="009E62D8">
        <w:rPr>
          <w:lang w:val="pt-BR"/>
        </w:rPr>
        <w:t>adequado ao nível.</w:t>
      </w:r>
    </w:p>
    <w:p w:rsidR="00DA1EED" w:rsidRPr="009E62D8" w:rsidRDefault="00DA1EED" w:rsidP="009E62D8">
      <w:pPr>
        <w:spacing w:line="276" w:lineRule="auto"/>
        <w:rPr>
          <w:lang w:val="pt-BR"/>
        </w:rPr>
      </w:pPr>
      <w:r w:rsidRPr="009E62D8">
        <w:rPr>
          <w:lang w:val="pt-BR"/>
        </w:rPr>
        <w:t>É um diagnóstico direto: o aluno está onde deveria estar?</w:t>
      </w:r>
    </w:p>
    <w:p w:rsidR="00DA1EED" w:rsidRPr="00DA1EED" w:rsidRDefault="00DA1EED" w:rsidP="00DA1EED">
      <w:pPr>
        <w:spacing w:line="276" w:lineRule="auto"/>
        <w:rPr>
          <w:lang w:val="pt-BR"/>
        </w:rPr>
      </w:pPr>
    </w:p>
    <w:p w:rsidR="009E62D8" w:rsidRDefault="009E62D8" w:rsidP="009E62D8">
      <w:pPr>
        <w:keepNext/>
        <w:spacing w:line="276" w:lineRule="auto"/>
      </w:pPr>
      <w:r>
        <w:rPr>
          <w:b/>
          <w:noProof/>
          <w:lang w:val="pt-BR"/>
        </w:rPr>
        <w:drawing>
          <wp:inline distT="0" distB="0" distL="0" distR="0">
            <wp:extent cx="6388735" cy="3462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2D8" w:rsidRPr="009E62D8" w:rsidRDefault="009E62D8" w:rsidP="009E62D8">
      <w:pPr>
        <w:pStyle w:val="Caption"/>
        <w:jc w:val="center"/>
        <w:rPr>
          <w:lang w:val="pt-BR"/>
        </w:rPr>
      </w:pPr>
      <w:r w:rsidRPr="009E62D8">
        <w:rPr>
          <w:lang w:val="pt-BR"/>
        </w:rPr>
        <w:t xml:space="preserve">Figura </w:t>
      </w:r>
      <w:r>
        <w:fldChar w:fldCharType="begin"/>
      </w:r>
      <w:r w:rsidRPr="009E62D8">
        <w:rPr>
          <w:lang w:val="pt-BR"/>
        </w:rPr>
        <w:instrText xml:space="preserve"> SEQ Figura \* ARABIC </w:instrText>
      </w:r>
      <w:r>
        <w:fldChar w:fldCharType="separate"/>
      </w:r>
      <w:r w:rsidR="003269F3">
        <w:rPr>
          <w:noProof/>
          <w:lang w:val="pt-BR"/>
        </w:rPr>
        <w:t>1</w:t>
      </w:r>
      <w:r>
        <w:fldChar w:fldCharType="end"/>
      </w:r>
      <w:r w:rsidRPr="009E62D8">
        <w:rPr>
          <w:lang w:val="pt-BR"/>
        </w:rPr>
        <w:t xml:space="preserve"> - Composição do IAN por Faixa de Adequação (barras empilhadas 2022–2024)</w:t>
      </w:r>
    </w:p>
    <w:p w:rsidR="009E62D8" w:rsidRDefault="009E62D8" w:rsidP="009E62D8">
      <w:pPr>
        <w:pStyle w:val="Caption"/>
        <w:keepNext/>
        <w:jc w:val="center"/>
      </w:pPr>
      <w:r w:rsidRPr="009E62D8">
        <w:rPr>
          <w:b/>
          <w:noProof/>
          <w:lang w:val="pt-BR"/>
        </w:rPr>
        <w:lastRenderedPageBreak/>
        <w:drawing>
          <wp:inline distT="0" distB="0" distL="0" distR="0" wp14:anchorId="0FED68D9" wp14:editId="11E792A6">
            <wp:extent cx="3600953" cy="1771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F4" w:rsidRPr="009E62D8" w:rsidRDefault="009E62D8" w:rsidP="009E62D8">
      <w:pPr>
        <w:pStyle w:val="Caption"/>
        <w:jc w:val="center"/>
        <w:rPr>
          <w:lang w:val="pt-BR"/>
        </w:rPr>
      </w:pPr>
      <w:r w:rsidRPr="009E62D8">
        <w:rPr>
          <w:lang w:val="pt-BR"/>
        </w:rPr>
        <w:t xml:space="preserve">Figura </w:t>
      </w:r>
      <w:r>
        <w:fldChar w:fldCharType="begin"/>
      </w:r>
      <w:r w:rsidRPr="009E62D8">
        <w:rPr>
          <w:lang w:val="pt-BR"/>
        </w:rPr>
        <w:instrText xml:space="preserve"> SEQ Figura \* ARABIC </w:instrText>
      </w:r>
      <w:r>
        <w:fldChar w:fldCharType="separate"/>
      </w:r>
      <w:r w:rsidR="003269F3">
        <w:rPr>
          <w:noProof/>
          <w:lang w:val="pt-BR"/>
        </w:rPr>
        <w:t>2</w:t>
      </w:r>
      <w:r>
        <w:fldChar w:fldCharType="end"/>
      </w:r>
      <w:r w:rsidRPr="009E62D8">
        <w:rPr>
          <w:lang w:val="pt-BR"/>
        </w:rPr>
        <w:t xml:space="preserve"> - Estatísticas descritivas de apoio</w:t>
      </w:r>
    </w:p>
    <w:p w:rsidR="009E62D8" w:rsidRDefault="009E62D8" w:rsidP="009E62D8">
      <w:pPr>
        <w:rPr>
          <w:b/>
          <w:bCs/>
          <w:lang w:val="pt-BR"/>
        </w:rPr>
      </w:pPr>
      <w:r w:rsidRPr="009E62D8">
        <w:rPr>
          <w:b/>
          <w:bCs/>
          <w:lang w:val="pt-BR"/>
        </w:rPr>
        <w:t>O ponto de partida (2022)</w:t>
      </w:r>
    </w:p>
    <w:p w:rsidR="009E62D8" w:rsidRPr="009E62D8" w:rsidRDefault="009E62D8" w:rsidP="009E62D8">
      <w:pPr>
        <w:rPr>
          <w:lang w:val="pt-BR"/>
        </w:rPr>
      </w:pPr>
      <w:r w:rsidRPr="009E62D8">
        <w:rPr>
          <w:lang w:val="pt-BR"/>
        </w:rPr>
        <w:t>Dos 860 alunos avaliados no início do período, 70% apresentavam alguma defasagem em relação ao nível esperado: 66,6% em nível moderado e 3,3% em nível crítico. Apenas 30 em cada 100 alunos estavam plenamente adequados.</w:t>
      </w:r>
    </w:p>
    <w:p w:rsidR="009E62D8" w:rsidRDefault="009E62D8" w:rsidP="009E62D8">
      <w:pPr>
        <w:rPr>
          <w:b/>
          <w:bCs/>
          <w:lang w:val="pt-BR"/>
        </w:rPr>
      </w:pPr>
      <w:r w:rsidRPr="009E62D8">
        <w:rPr>
          <w:b/>
          <w:bCs/>
          <w:lang w:val="pt-BR"/>
        </w:rPr>
        <w:t>A trajetória dos três anos</w:t>
      </w:r>
    </w:p>
    <w:p w:rsidR="009E62D8" w:rsidRDefault="009E62D8" w:rsidP="009E62D8">
      <w:pPr>
        <w:rPr>
          <w:lang w:val="pt-BR"/>
        </w:rPr>
      </w:pPr>
      <w:r w:rsidRPr="009E62D8">
        <w:rPr>
          <w:lang w:val="pt-BR"/>
        </w:rPr>
        <w:t>Em 2022, dos 860 alunos, 28 (3,3%) apresentavam defasagem crítica, 573 (66,6%) defasagem moderada e 259 (30,1%) estavam adequados. Em 2023, com 1.014 alunos, esses números evoluíram para 14 (1,4%) em defasagem crítica, 538 (53,1%) em defasagem moderada e 462 (45,6%) adequados. Já em 2024, dos 1.156 alunos, apenas 3 (0,3%) permaneciam em defasagem crítica, 531 (45,9%) em defasagem moderada e 622 (53,8%) estavam adequados ao nível.</w:t>
      </w:r>
    </w:p>
    <w:p w:rsidR="009E62D8" w:rsidRPr="009E62D8" w:rsidRDefault="009E62D8" w:rsidP="009E62D8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>
            <wp:extent cx="6390005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2D8" w:rsidRPr="009E62D8" w:rsidRDefault="009E62D8" w:rsidP="009E62D8">
      <w:pPr>
        <w:rPr>
          <w:lang w:val="pt-BR"/>
        </w:rPr>
      </w:pPr>
      <w:r w:rsidRPr="009E62D8">
        <w:rPr>
          <w:lang w:val="pt-BR"/>
        </w:rPr>
        <w:t>A defasagem moderada recuou 20,7 pontos percentuais em dois anos</w:t>
      </w:r>
      <w:r>
        <w:rPr>
          <w:lang w:val="pt-BR"/>
        </w:rPr>
        <w:t xml:space="preserve">, </w:t>
      </w:r>
      <w:r w:rsidRPr="009E62D8">
        <w:rPr>
          <w:lang w:val="pt-BR"/>
        </w:rPr>
        <w:t>de 66,6% para 45,9%. A defasagem crítica foi quase totalmente eliminada, caindo de 3,3% para 0,3%, representando uma redução de 90%. O grupo de alunos adequados cresceu +23,7 pontos percentuais e se tornou maioria absoluta pela primeira vez em 2024.</w:t>
      </w:r>
    </w:p>
    <w:p w:rsidR="009E62D8" w:rsidRDefault="009E62D8" w:rsidP="009E62D8">
      <w:pPr>
        <w:rPr>
          <w:b/>
          <w:bCs/>
          <w:lang w:val="pt-BR"/>
        </w:rPr>
      </w:pPr>
      <w:r w:rsidRPr="009E62D8">
        <w:rPr>
          <w:b/>
          <w:bCs/>
          <w:lang w:val="pt-BR"/>
        </w:rPr>
        <w:t>O programa cresceu e melhorou ao mesmo tempo</w:t>
      </w:r>
    </w:p>
    <w:p w:rsidR="009E62D8" w:rsidRPr="009E62D8" w:rsidRDefault="009E62D8" w:rsidP="009E62D8">
      <w:pPr>
        <w:rPr>
          <w:lang w:val="pt-BR"/>
        </w:rPr>
      </w:pPr>
      <w:r w:rsidRPr="009E62D8">
        <w:rPr>
          <w:lang w:val="pt-BR"/>
        </w:rPr>
        <w:t>A base de atendimento aumentou 34%</w:t>
      </w:r>
      <w:r w:rsidR="00D9515C">
        <w:rPr>
          <w:lang w:val="pt-BR"/>
        </w:rPr>
        <w:t xml:space="preserve">, </w:t>
      </w:r>
      <w:r w:rsidRPr="009E62D8">
        <w:rPr>
          <w:lang w:val="pt-BR"/>
        </w:rPr>
        <w:t>de 860 para 1.156 alunos sem comprometer os indicadores de qualidade. O fato de que os resultados melhoraram apesar da expansão torna os avanços ainda mais relevantes.</w:t>
      </w:r>
    </w:p>
    <w:p w:rsidR="009E62D8" w:rsidRDefault="009E62D8" w:rsidP="009E62D8">
      <w:pPr>
        <w:rPr>
          <w:b/>
          <w:bCs/>
          <w:lang w:val="pt-BR"/>
        </w:rPr>
      </w:pPr>
      <w:r w:rsidRPr="009E62D8">
        <w:rPr>
          <w:b/>
          <w:bCs/>
          <w:lang w:val="pt-BR"/>
        </w:rPr>
        <w:t>O que ainda exige atenção</w:t>
      </w:r>
    </w:p>
    <w:p w:rsidR="009E62D8" w:rsidRDefault="009E62D8" w:rsidP="009E62D8">
      <w:pPr>
        <w:rPr>
          <w:lang w:val="pt-BR"/>
        </w:rPr>
      </w:pPr>
      <w:r w:rsidRPr="009E62D8">
        <w:rPr>
          <w:lang w:val="pt-BR"/>
        </w:rPr>
        <w:t xml:space="preserve">Em 2024, 534 alunos </w:t>
      </w:r>
      <w:r w:rsidR="00D9515C">
        <w:rPr>
          <w:lang w:val="pt-BR"/>
        </w:rPr>
        <w:t xml:space="preserve">com </w:t>
      </w:r>
      <w:r w:rsidRPr="009E62D8">
        <w:rPr>
          <w:lang w:val="pt-BR"/>
        </w:rPr>
        <w:t>46% da base continuam abaixo do nível adequado. Com a defasagem crítica praticamente zerada, o foco do próximo ciclo deve ser a transição do grupo de defasagem moderada para o nível adequado: é o maior contingente em aberto e onde está o maior potencial de impacto imediato.</w:t>
      </w:r>
    </w:p>
    <w:p w:rsidR="00D9515C" w:rsidRPr="009E62D8" w:rsidRDefault="00D9515C" w:rsidP="009E62D8">
      <w:pPr>
        <w:rPr>
          <w:lang w:val="pt-BR"/>
        </w:rPr>
      </w:pPr>
    </w:p>
    <w:p w:rsidR="009E62D8" w:rsidRDefault="009E62D8" w:rsidP="009E62D8">
      <w:pPr>
        <w:rPr>
          <w:lang w:val="pt-BR"/>
        </w:rPr>
      </w:pPr>
    </w:p>
    <w:p w:rsidR="009E62D8" w:rsidRDefault="00D9515C" w:rsidP="009E62D8">
      <w:pPr>
        <w:rPr>
          <w:b/>
          <w:bCs/>
          <w:lang w:val="pt-BR"/>
        </w:rPr>
      </w:pPr>
      <w:r w:rsidRPr="00D9515C">
        <w:rPr>
          <w:rStyle w:val="Bold"/>
          <w:lang w:val="pt-BR"/>
        </w:rPr>
        <w:t xml:space="preserve">2. </w:t>
      </w:r>
      <w:r w:rsidRPr="00D9515C">
        <w:rPr>
          <w:b/>
          <w:bCs/>
          <w:lang w:val="pt-BR"/>
        </w:rPr>
        <w:t>Desempenho acadêmico (IDA): O desempenho acadêmico médio (IDA) está melhorando, estagnado ou caindo ao longo das fases e anos?</w:t>
      </w:r>
    </w:p>
    <w:p w:rsidR="00D9515C" w:rsidRDefault="00D9515C" w:rsidP="00D9515C">
      <w:pPr>
        <w:rPr>
          <w:lang w:val="pt-BR"/>
        </w:rPr>
      </w:pPr>
      <w:r w:rsidRPr="00D9515C">
        <w:rPr>
          <w:lang w:val="pt-BR"/>
        </w:rPr>
        <w:lastRenderedPageBreak/>
        <w:t>O Índice de Desempenho Acadêmico (IDA) consolida o resultado dos alunos nas avaliações do programa PEDE em uma escala de 0 a 10. Diferente do IAN, que classifica em três categorias, o IDA é contínuo: pequenas variações entre anos são capturadas e comparáveis.</w:t>
      </w:r>
    </w:p>
    <w:p w:rsidR="00D9515C" w:rsidRDefault="00D9515C" w:rsidP="00D9515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>
            <wp:extent cx="6400800" cy="3526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0C7" w:rsidRDefault="006770C7" w:rsidP="006770C7">
      <w:pPr>
        <w:keepNext/>
        <w:jc w:val="center"/>
      </w:pPr>
      <w:r w:rsidRPr="006770C7">
        <w:rPr>
          <w:noProof/>
          <w:lang w:val="pt-BR"/>
        </w:rPr>
        <w:drawing>
          <wp:inline distT="0" distB="0" distL="0" distR="0" wp14:anchorId="0D35F3D2" wp14:editId="07411310">
            <wp:extent cx="3429479" cy="8764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C7" w:rsidRPr="00F02DE8" w:rsidRDefault="006770C7" w:rsidP="006770C7">
      <w:pPr>
        <w:pStyle w:val="Caption"/>
        <w:jc w:val="center"/>
        <w:rPr>
          <w:lang w:val="pt-BR"/>
        </w:rPr>
      </w:pPr>
      <w:r w:rsidRPr="00F02DE8">
        <w:rPr>
          <w:lang w:val="pt-BR"/>
        </w:rPr>
        <w:t xml:space="preserve">Figura </w:t>
      </w:r>
      <w:r>
        <w:fldChar w:fldCharType="begin"/>
      </w:r>
      <w:r w:rsidRPr="00F02DE8">
        <w:rPr>
          <w:lang w:val="pt-BR"/>
        </w:rPr>
        <w:instrText xml:space="preserve"> SEQ Figura \* ARABIC </w:instrText>
      </w:r>
      <w:r>
        <w:fldChar w:fldCharType="separate"/>
      </w:r>
      <w:r w:rsidR="003269F3">
        <w:rPr>
          <w:noProof/>
          <w:lang w:val="pt-BR"/>
        </w:rPr>
        <w:t>3</w:t>
      </w:r>
      <w:r>
        <w:fldChar w:fldCharType="end"/>
      </w:r>
      <w:r w:rsidRPr="00F02DE8">
        <w:rPr>
          <w:lang w:val="pt-BR"/>
        </w:rPr>
        <w:t xml:space="preserve"> - Métricas estatísticas</w:t>
      </w:r>
      <w:r w:rsidR="00F02DE8" w:rsidRPr="00F02DE8">
        <w:rPr>
          <w:lang w:val="pt-BR"/>
        </w:rPr>
        <w:t xml:space="preserve"> (r</w:t>
      </w:r>
      <w:r w:rsidR="00F02DE8">
        <w:rPr>
          <w:lang w:val="pt-BR"/>
        </w:rPr>
        <w:t>emoção alunos sem IDA inferido)</w:t>
      </w:r>
    </w:p>
    <w:p w:rsidR="00D9515C" w:rsidRDefault="00D9515C" w:rsidP="00D9515C">
      <w:pPr>
        <w:rPr>
          <w:b/>
          <w:bCs/>
          <w:lang w:val="pt-BR"/>
        </w:rPr>
      </w:pPr>
      <w:r w:rsidRPr="00D9515C">
        <w:rPr>
          <w:b/>
          <w:bCs/>
          <w:lang w:val="pt-BR"/>
        </w:rPr>
        <w:t>Evolução por ano</w:t>
      </w:r>
    </w:p>
    <w:p w:rsidR="00D9515C" w:rsidRPr="00D9515C" w:rsidRDefault="00D9515C" w:rsidP="00D9515C">
      <w:pPr>
        <w:rPr>
          <w:lang w:val="pt-BR"/>
        </w:rPr>
      </w:pPr>
      <w:r w:rsidRPr="00D9515C">
        <w:rPr>
          <w:lang w:val="pt-BR"/>
        </w:rPr>
        <w:t>O desempenho médio seguiu um perfil de avanço expressivo seguido de retração parcial. Em 2022, com 860 alunos, o IDA médio era de 6,09 e a nota mediana de 6,30. Em 2023, com 937 alunos, essa média saltou para 6,66 e a mediana para 6,83, uma variação positiva de +0,57 pontos (+9,4%). Em 2024, com 1.055 alunos, a média recuou para 6,35 e a mediana para 6,75. Ainda assim, o resultado de 2024 fechou +0,26 pontos acima do patamar inicial de 2022, evidenciando ganho líquido positivo no período.</w:t>
      </w:r>
    </w:p>
    <w:p w:rsidR="006770C7" w:rsidRDefault="00D9515C" w:rsidP="00D9515C">
      <w:pPr>
        <w:rPr>
          <w:lang w:val="pt-BR"/>
        </w:rPr>
      </w:pPr>
      <w:r w:rsidRPr="00D9515C">
        <w:rPr>
          <w:lang w:val="pt-BR"/>
        </w:rPr>
        <w:t>O melhor resultado do período foi atingido em 2023, com avanço de quase 10% sobre 2022. A retração de 2024 tem contexto: o programa admitiu cerca de 260 novos alunos, com trajetórias mais variadas, o que naturalmente puxa a média geral para baixo, sem que isso signifique perda de qualidade para os alunos já atendidos.</w:t>
      </w:r>
    </w:p>
    <w:p w:rsidR="00D9515C" w:rsidRPr="00D9515C" w:rsidRDefault="00D9515C" w:rsidP="00D9515C">
      <w:pPr>
        <w:rPr>
          <w:lang w:val="pt-BR"/>
        </w:rPr>
      </w:pPr>
      <w:r w:rsidRPr="00D9515C">
        <w:rPr>
          <w:lang w:val="pt-BR"/>
        </w:rPr>
        <w:lastRenderedPageBreak/>
        <w:t>Um sinal disso é que em 2023 as notas ficaram mais concentradas (turma mais homogênea), e em 2024 voltaram a se espalhar, reflexo direto da chegada de perfis mais distintos.</w:t>
      </w:r>
    </w:p>
    <w:p w:rsidR="00D9515C" w:rsidRDefault="00F02DE8" w:rsidP="00D9515C">
      <w:pPr>
        <w:rPr>
          <w:b/>
          <w:bCs/>
          <w:lang w:val="pt-BR"/>
        </w:rPr>
      </w:pPr>
      <w:r w:rsidRPr="00F02DE8">
        <w:rPr>
          <w:b/>
          <w:bCs/>
          <w:noProof/>
          <w:lang w:val="pt-BR"/>
        </w:rPr>
        <w:drawing>
          <wp:inline distT="0" distB="0" distL="0" distR="0" wp14:anchorId="4A1566C6" wp14:editId="2A05E590">
            <wp:extent cx="6400800" cy="31762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DE8" w:rsidRPr="00D9515C" w:rsidRDefault="00F02DE8" w:rsidP="00D9515C">
      <w:pPr>
        <w:rPr>
          <w:b/>
          <w:bCs/>
          <w:lang w:val="pt-BR"/>
        </w:rPr>
      </w:pPr>
      <w:r w:rsidRPr="00F02DE8">
        <w:rPr>
          <w:b/>
          <w:bCs/>
          <w:noProof/>
          <w:lang w:val="pt-BR"/>
        </w:rPr>
        <w:drawing>
          <wp:inline distT="0" distB="0" distL="0" distR="0" wp14:anchorId="7B3ACC1D" wp14:editId="4779DFBA">
            <wp:extent cx="6400800" cy="35210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5C" w:rsidRDefault="00D9515C" w:rsidP="009E62D8">
      <w:pPr>
        <w:rPr>
          <w:rStyle w:val="Bold"/>
          <w:lang w:val="pt-BR"/>
        </w:rPr>
      </w:pPr>
    </w:p>
    <w:p w:rsidR="00F02DE8" w:rsidRPr="00940EF1" w:rsidRDefault="00F02DE8" w:rsidP="00F02DE8">
      <w:pPr>
        <w:rPr>
          <w:b/>
          <w:bCs/>
          <w:lang w:val="pt-BR"/>
        </w:rPr>
      </w:pPr>
      <w:r w:rsidRPr="00940EF1">
        <w:rPr>
          <w:rStyle w:val="Bold"/>
          <w:lang w:val="pt-BR"/>
        </w:rPr>
        <w:t>Desempenho por fase</w:t>
      </w:r>
    </w:p>
    <w:p w:rsidR="00F02DE8" w:rsidRDefault="00F02DE8" w:rsidP="00F02DE8">
      <w:pPr>
        <w:rPr>
          <w:lang w:val="pt-BR"/>
        </w:rPr>
      </w:pPr>
      <w:r w:rsidRPr="00F02DE8">
        <w:rPr>
          <w:lang w:val="pt-BR"/>
        </w:rPr>
        <w:lastRenderedPageBreak/>
        <w:t>O cruzamento por fase revela padrões relevantes e consistentes ao longo dos anos. A fase ALFA abre com desempenho elevado e estável (entre 7,1 e 7,4), os alunos ingressantes chegam com base sólida para a metodologia do programa.</w:t>
      </w:r>
    </w:p>
    <w:p w:rsidR="00F02DE8" w:rsidRDefault="00F02DE8" w:rsidP="00F02DE8">
      <w:pPr>
        <w:rPr>
          <w:lang w:val="pt-BR"/>
        </w:rPr>
      </w:pPr>
      <w:r w:rsidRPr="00F02DE8">
        <w:rPr>
          <w:lang w:val="pt-BR"/>
        </w:rPr>
        <w:t>As Fases 3 e 4 concentram os menores desempenhos em todos os anos, com IDA entre 5,1 e 6,1, é a fase de maior dificuldade da trajetória, independentemente do ciclo avaliado. As Fases 6 e 7 mostram recuperação, com o IDA subindo para a faixa de 6,7 a 7,8, evidenciando o efeito acumulado do programa nos alunos que avançam.</w:t>
      </w:r>
    </w:p>
    <w:p w:rsidR="00F02DE8" w:rsidRPr="00F02DE8" w:rsidRDefault="00F02DE8" w:rsidP="00F02DE8">
      <w:pPr>
        <w:rPr>
          <w:lang w:val="pt-BR"/>
        </w:rPr>
      </w:pPr>
      <w:r w:rsidRPr="00F02DE8">
        <w:rPr>
          <w:lang w:val="pt-BR"/>
        </w:rPr>
        <w:t>A Fase 8 apareceu pela primeira vez em 2024 com IDA de 8,00, o melhor resultado de toda a série por fase.</w:t>
      </w:r>
    </w:p>
    <w:p w:rsidR="00F02DE8" w:rsidRPr="00940EF1" w:rsidRDefault="00F02DE8" w:rsidP="00F02DE8">
      <w:pPr>
        <w:rPr>
          <w:b/>
          <w:bCs/>
          <w:lang w:val="pt-BR"/>
        </w:rPr>
      </w:pPr>
      <w:r w:rsidRPr="00940EF1">
        <w:rPr>
          <w:rStyle w:val="Bold"/>
          <w:lang w:val="pt-BR"/>
        </w:rPr>
        <w:t>Avaliação estratégica</w:t>
      </w:r>
    </w:p>
    <w:p w:rsidR="005C63EF" w:rsidRDefault="00F02DE8" w:rsidP="00F02DE8">
      <w:pPr>
        <w:rPr>
          <w:lang w:val="pt-BR"/>
        </w:rPr>
      </w:pPr>
      <w:r w:rsidRPr="00F02DE8">
        <w:rPr>
          <w:lang w:val="pt-BR"/>
        </w:rPr>
        <w:t>O gargalo das Fases 3 e 4 é recorrente nos três anos sem exceção. Dirigir suporte pedagógico adicional a essas fases tem o maior potencial de impacto sobre o IDA geral do programa. Por outro lado, os alunos que chegam às fases mais avançadas evidenciam que a metodologia PEDE tem efeito acumulado relevante: quanto mais tempo no programa, melhor o resultado.</w:t>
      </w:r>
    </w:p>
    <w:p w:rsidR="006F01BB" w:rsidRDefault="006F01BB" w:rsidP="00F02DE8">
      <w:pPr>
        <w:rPr>
          <w:lang w:val="pt-BR"/>
        </w:rPr>
      </w:pPr>
    </w:p>
    <w:p w:rsidR="005C63EF" w:rsidRPr="005C63EF" w:rsidRDefault="005C63EF" w:rsidP="00F02DE8">
      <w:pPr>
        <w:rPr>
          <w:rStyle w:val="Bold"/>
          <w:lang w:val="pt-BR"/>
        </w:rPr>
      </w:pPr>
      <w:r w:rsidRPr="005C63EF">
        <w:rPr>
          <w:rStyle w:val="Bold"/>
          <w:lang w:val="pt-BR"/>
        </w:rPr>
        <w:t>3. Engajamento nas atividades (IEG): O grau de engajamento dos alunos (IEG) tem relação direta com seus indicadores de desempenho (IDA) e do ponto de virada (IPV)?</w:t>
      </w:r>
    </w:p>
    <w:p w:rsidR="00D03C59" w:rsidRPr="00D03C59" w:rsidRDefault="00D03C59" w:rsidP="00D03C59">
      <w:pPr>
        <w:rPr>
          <w:lang w:val="pt-BR"/>
        </w:rPr>
      </w:pPr>
      <w:r w:rsidRPr="00D03C59">
        <w:rPr>
          <w:lang w:val="pt-BR"/>
        </w:rPr>
        <w:t>O Índice de Engajamento (IEG) reflete o quanto o aluno participa e se comprometeu com as atividades do programa PEDE, em escala de 0 a 10. A pergunta que guia esta análise é: alunos mais engajados têm desempenho acadêmico e ponto de virada melhores?</w:t>
      </w:r>
    </w:p>
    <w:p w:rsidR="00D03C59" w:rsidRDefault="00D03C59" w:rsidP="00D03C59">
      <w:pPr>
        <w:rPr>
          <w:lang w:val="pt-BR"/>
        </w:rPr>
      </w:pPr>
      <w:r w:rsidRPr="00D03C59">
        <w:rPr>
          <w:lang w:val="pt-BR"/>
        </w:rPr>
        <w:t>Resposta direta: sim, e a relação é consistente em todos os anos.</w:t>
      </w:r>
    </w:p>
    <w:p w:rsidR="00F04882" w:rsidRDefault="00F04882" w:rsidP="00F04882">
      <w:pPr>
        <w:keepNext/>
        <w:jc w:val="center"/>
      </w:pPr>
      <w:r w:rsidRPr="00F04882">
        <w:rPr>
          <w:noProof/>
          <w:lang w:val="pt-BR"/>
        </w:rPr>
        <w:drawing>
          <wp:inline distT="0" distB="0" distL="0" distR="0" wp14:anchorId="1BE33103" wp14:editId="16FE3B18">
            <wp:extent cx="4515480" cy="7811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C59" w:rsidRDefault="00F04882" w:rsidP="00F04882">
      <w:pPr>
        <w:pStyle w:val="Caption"/>
        <w:jc w:val="center"/>
        <w:rPr>
          <w:lang w:val="pt-BR"/>
        </w:rPr>
      </w:pPr>
      <w:r w:rsidRPr="00F04882">
        <w:rPr>
          <w:lang w:val="pt-BR"/>
        </w:rPr>
        <w:t xml:space="preserve">Figura </w:t>
      </w:r>
      <w:r>
        <w:fldChar w:fldCharType="begin"/>
      </w:r>
      <w:r w:rsidRPr="00F04882">
        <w:rPr>
          <w:lang w:val="pt-BR"/>
        </w:rPr>
        <w:instrText xml:space="preserve"> SEQ Figura \* ARABIC </w:instrText>
      </w:r>
      <w:r>
        <w:fldChar w:fldCharType="separate"/>
      </w:r>
      <w:r w:rsidR="003269F3">
        <w:rPr>
          <w:noProof/>
          <w:lang w:val="pt-BR"/>
        </w:rPr>
        <w:t>4</w:t>
      </w:r>
      <w:r>
        <w:fldChar w:fldCharType="end"/>
      </w:r>
      <w:r w:rsidRPr="00F04882">
        <w:rPr>
          <w:lang w:val="pt-BR"/>
        </w:rPr>
        <w:t xml:space="preserve"> - Correlações de Pearson</w:t>
      </w:r>
    </w:p>
    <w:p w:rsidR="00D03C59" w:rsidRPr="00D03C59" w:rsidRDefault="00D03C59" w:rsidP="00D03C59">
      <w:pPr>
        <w:rPr>
          <w:lang w:val="pt-BR"/>
        </w:rPr>
      </w:pPr>
    </w:p>
    <w:p w:rsidR="00F04882" w:rsidRPr="00F04882" w:rsidRDefault="00F04882" w:rsidP="00F04882">
      <w:pPr>
        <w:rPr>
          <w:lang w:val="pt-BR"/>
        </w:rPr>
      </w:pPr>
      <w:r w:rsidRPr="00F04882">
        <w:rPr>
          <w:lang w:val="pt-BR"/>
        </w:rPr>
        <w:t>A correlação de Pearson (</w:t>
      </w:r>
      <w:r w:rsidRPr="00F04882">
        <w:rPr>
          <w:i/>
          <w:iCs/>
          <w:lang w:val="pt-BR"/>
        </w:rPr>
        <w:t>r</w:t>
      </w:r>
      <w:r w:rsidRPr="00F04882">
        <w:rPr>
          <w:lang w:val="pt-BR"/>
        </w:rPr>
        <w:t>) mede a </w:t>
      </w:r>
      <w:r w:rsidRPr="00F04882">
        <w:rPr>
          <w:b/>
          <w:bCs/>
          <w:lang w:val="pt-BR"/>
        </w:rPr>
        <w:t>força e a direção da relação linear</w:t>
      </w:r>
      <w:r w:rsidRPr="00F04882">
        <w:rPr>
          <w:lang w:val="pt-BR"/>
        </w:rPr>
        <w:t xml:space="preserve"> entre duas variáveis contínuas. </w:t>
      </w:r>
      <w:r>
        <w:rPr>
          <w:lang w:val="pt-BR"/>
        </w:rPr>
        <w:t>Podendo variar</w:t>
      </w:r>
      <w:r w:rsidRPr="00F04882">
        <w:rPr>
          <w:lang w:val="pt-BR"/>
        </w:rPr>
        <w:t xml:space="preserve"> de −1 a +1</w:t>
      </w:r>
      <w:r>
        <w:rPr>
          <w:lang w:val="pt-BR"/>
        </w:rPr>
        <w:t>.</w:t>
      </w:r>
    </w:p>
    <w:p w:rsidR="00F04882" w:rsidRPr="00F04882" w:rsidRDefault="00F04882" w:rsidP="00F04882">
      <w:pPr>
        <w:rPr>
          <w:lang w:val="pt-BR"/>
        </w:rPr>
      </w:pPr>
    </w:p>
    <w:p w:rsidR="00F04882" w:rsidRPr="00F04882" w:rsidRDefault="00F04882" w:rsidP="00F04882">
      <w:pPr>
        <w:rPr>
          <w:lang w:val="pt-BR"/>
        </w:rPr>
      </w:pPr>
    </w:p>
    <w:p w:rsidR="00F04882" w:rsidRDefault="00F04882" w:rsidP="00F04882">
      <w:pPr>
        <w:keepNext/>
        <w:jc w:val="center"/>
      </w:pPr>
      <w:r w:rsidRPr="00F04882">
        <w:rPr>
          <w:noProof/>
          <w:lang w:val="pt-BR"/>
        </w:rPr>
        <w:lastRenderedPageBreak/>
        <w:drawing>
          <wp:inline distT="0" distB="0" distL="0" distR="0" wp14:anchorId="519E52B7" wp14:editId="17927B80">
            <wp:extent cx="2200582" cy="9145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82" w:rsidRDefault="00F04882" w:rsidP="00F04882">
      <w:pPr>
        <w:pStyle w:val="Caption"/>
        <w:jc w:val="center"/>
        <w:rPr>
          <w:lang w:val="pt-BR"/>
        </w:rPr>
      </w:pPr>
      <w:r w:rsidRPr="00940EF1">
        <w:rPr>
          <w:lang w:val="pt-BR"/>
        </w:rPr>
        <w:t xml:space="preserve">Figura </w:t>
      </w:r>
      <w:r>
        <w:fldChar w:fldCharType="begin"/>
      </w:r>
      <w:r w:rsidRPr="00940EF1">
        <w:rPr>
          <w:lang w:val="pt-BR"/>
        </w:rPr>
        <w:instrText xml:space="preserve"> SEQ Figura \* ARABIC </w:instrText>
      </w:r>
      <w:r>
        <w:fldChar w:fldCharType="separate"/>
      </w:r>
      <w:r w:rsidR="003269F3" w:rsidRPr="00940EF1">
        <w:rPr>
          <w:noProof/>
          <w:lang w:val="pt-BR"/>
        </w:rPr>
        <w:t>5</w:t>
      </w:r>
      <w:r>
        <w:fldChar w:fldCharType="end"/>
      </w:r>
      <w:r w:rsidRPr="00940EF1">
        <w:rPr>
          <w:lang w:val="pt-BR"/>
        </w:rPr>
        <w:t xml:space="preserve"> - Interpretação Correlação Pearson</w:t>
      </w:r>
    </w:p>
    <w:p w:rsidR="00F04882" w:rsidRDefault="00F04882" w:rsidP="00F04882">
      <w:pPr>
        <w:rPr>
          <w:lang w:val="pt-BR"/>
        </w:rPr>
      </w:pPr>
      <w:r w:rsidRPr="00F04882">
        <w:rPr>
          <w:lang w:val="pt-BR"/>
        </w:rPr>
        <w:t>Em 2022 (860 alunos), a associação entre IEG e IDA foi forte (r=0,564) e entre IEG e IPV também foi forte (r=0,589). Em 2023 (937 alunos), ambas as relações ficaram moderadas (r=0,461 e r=0,448, respectivamente).</w:t>
      </w:r>
    </w:p>
    <w:p w:rsidR="00F04882" w:rsidRDefault="00F04882" w:rsidP="00F04882">
      <w:pPr>
        <w:rPr>
          <w:lang w:val="pt-BR"/>
        </w:rPr>
      </w:pPr>
      <w:r w:rsidRPr="00F04882">
        <w:rPr>
          <w:lang w:val="pt-BR"/>
        </w:rPr>
        <w:t>Em 2024 (1.054 alunos), a relação voltou a ser forte: IEG×IDA com r=0,547 e IEG×IPV com r=0,535. A relação entre engajamento e resultado se manteve presente e relevante em todos os anos, em nenhum deles foi atribuível ao acaso.</w:t>
      </w:r>
    </w:p>
    <w:p w:rsidR="00F04882" w:rsidRPr="00940EF1" w:rsidRDefault="00F04882" w:rsidP="00F04882">
      <w:pPr>
        <w:rPr>
          <w:rStyle w:val="Bold"/>
          <w:lang w:val="pt-BR"/>
        </w:rPr>
      </w:pPr>
      <w:r w:rsidRPr="00940EF1">
        <w:rPr>
          <w:rStyle w:val="Bold"/>
          <w:lang w:val="pt-BR"/>
        </w:rPr>
        <w:t>Quanto cada nível de engajamento significa na prática (2024).</w:t>
      </w:r>
    </w:p>
    <w:p w:rsidR="00F63B66" w:rsidRPr="00F04882" w:rsidRDefault="00F63B66" w:rsidP="00F04882">
      <w:pPr>
        <w:rPr>
          <w:rStyle w:val="Bold"/>
        </w:rPr>
      </w:pPr>
      <w:r w:rsidRPr="00F63B66">
        <w:rPr>
          <w:rStyle w:val="Bold"/>
          <w:noProof/>
        </w:rPr>
        <w:drawing>
          <wp:inline distT="0" distB="0" distL="0" distR="0" wp14:anchorId="190C790F" wp14:editId="2DBC63A0">
            <wp:extent cx="6400800" cy="38144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99" w:rsidRDefault="00F04882" w:rsidP="00F04882">
      <w:pPr>
        <w:rPr>
          <w:lang w:val="pt-BR"/>
        </w:rPr>
      </w:pPr>
      <w:r w:rsidRPr="00F04882">
        <w:rPr>
          <w:lang w:val="pt-BR"/>
        </w:rPr>
        <w:t>Os alunos do grupo de menor engajamento (faixa 0,0–7,1 de IEG) apresentaram IDA médio de 4,70 e IPV médio de 6,52. O grupo de engajamento médio-baixo (7,1–8,6) registrou IDA de 6,13 e IPV de 7,23.</w:t>
      </w:r>
    </w:p>
    <w:p w:rsidR="00D57E99" w:rsidRDefault="00F04882" w:rsidP="00F04882">
      <w:pPr>
        <w:rPr>
          <w:lang w:val="pt-BR"/>
        </w:rPr>
      </w:pPr>
      <w:r w:rsidRPr="00F04882">
        <w:rPr>
          <w:lang w:val="pt-BR"/>
        </w:rPr>
        <w:lastRenderedPageBreak/>
        <w:t xml:space="preserve">O grupo médio-alto (8,6–9,5) chegou a IDA de 6,97 e IPV de 7,64. O grupo de maior engajamento (9,5–10,0) atingiu IDA de 7,62 e IPV de 8,04. Do grupo de menor para o de maior engajamento, o IDA subiu 2,92 pontos (+62%) e o IPV subiu 1,52 pontos (+23%). </w:t>
      </w:r>
    </w:p>
    <w:p w:rsidR="00F04882" w:rsidRPr="00F04882" w:rsidRDefault="00F04882" w:rsidP="00F04882">
      <w:pPr>
        <w:rPr>
          <w:lang w:val="pt-BR"/>
        </w:rPr>
      </w:pPr>
      <w:r w:rsidRPr="00F04882">
        <w:rPr>
          <w:lang w:val="pt-BR"/>
        </w:rPr>
        <w:t>Não há nenhuma inversão nessa escada, mais engajamento acompanha melhores resultados de forma consistente e progressiva em todos os grupos.</w:t>
      </w:r>
    </w:p>
    <w:p w:rsidR="00F04882" w:rsidRDefault="00F04882" w:rsidP="00F04882">
      <w:pPr>
        <w:rPr>
          <w:rStyle w:val="Bold"/>
          <w:lang w:val="pt-BR"/>
        </w:rPr>
      </w:pPr>
      <w:r>
        <w:rPr>
          <w:rStyle w:val="Bold"/>
          <w:lang w:val="pt-BR"/>
        </w:rPr>
        <w:t>Avaliação</w:t>
      </w:r>
      <w:r w:rsidRPr="00F04882">
        <w:rPr>
          <w:rStyle w:val="Bold"/>
          <w:lang w:val="pt-BR"/>
        </w:rPr>
        <w:t xml:space="preserve"> estratégica.</w:t>
      </w:r>
    </w:p>
    <w:p w:rsidR="00D57E99" w:rsidRPr="00F04882" w:rsidRDefault="00D57E99" w:rsidP="00F04882">
      <w:pPr>
        <w:rPr>
          <w:rStyle w:val="Bold"/>
          <w:lang w:val="pt-BR"/>
        </w:rPr>
      </w:pPr>
      <w:r w:rsidRPr="00D57E99">
        <w:rPr>
          <w:rStyle w:val="Bold"/>
          <w:noProof/>
          <w:lang w:val="pt-BR"/>
        </w:rPr>
        <w:drawing>
          <wp:inline distT="0" distB="0" distL="0" distR="0" wp14:anchorId="73FB09E4" wp14:editId="7E2CEAEF">
            <wp:extent cx="6400800" cy="3528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99" w:rsidRDefault="00F04882" w:rsidP="00F04882">
      <w:pPr>
        <w:rPr>
          <w:lang w:val="pt-BR"/>
        </w:rPr>
      </w:pPr>
      <w:r w:rsidRPr="00F04882">
        <w:rPr>
          <w:lang w:val="pt-BR"/>
        </w:rPr>
        <w:t>Dois usos práticos se destacam</w:t>
      </w:r>
      <w:r w:rsidR="00D57E99">
        <w:rPr>
          <w:lang w:val="pt-BR"/>
        </w:rPr>
        <w:t>.</w:t>
      </w:r>
    </w:p>
    <w:p w:rsidR="00D57E99" w:rsidRDefault="00F04882" w:rsidP="00F04882">
      <w:pPr>
        <w:rPr>
          <w:lang w:val="pt-BR"/>
        </w:rPr>
      </w:pPr>
      <w:r w:rsidRPr="00F04882">
        <w:rPr>
          <w:lang w:val="pt-BR"/>
        </w:rPr>
        <w:t>Primeiro, o reengajamento como alavanca de resultado: os alunos nos dois grupos de menor engajamento são os que mais têm a ganhar com intervenções direcionadas, elevar o IEG desse grupo tem efeito cascata direto no IDA e no IPV.</w:t>
      </w:r>
    </w:p>
    <w:p w:rsidR="00F04882" w:rsidRPr="00F04882" w:rsidRDefault="00F04882" w:rsidP="00F04882">
      <w:pPr>
        <w:rPr>
          <w:lang w:val="pt-BR"/>
        </w:rPr>
      </w:pPr>
      <w:r w:rsidRPr="00F04882">
        <w:rPr>
          <w:lang w:val="pt-BR"/>
        </w:rPr>
        <w:t>Segundo, o IEG como sinal antecipado: uma queda no engajamento tende a preceder uma queda de desempenho. Monitorar o IEG com regularidade permite antecipar riscos antes que apareçam nas notas, transformando o indicador em ferramenta de prevenção, não apenas de diagnóstico.</w:t>
      </w:r>
    </w:p>
    <w:p w:rsidR="00D57E99" w:rsidRDefault="00F04882" w:rsidP="00F04882">
      <w:pPr>
        <w:rPr>
          <w:lang w:val="pt-BR"/>
        </w:rPr>
      </w:pPr>
      <w:r w:rsidRPr="00F04882">
        <w:rPr>
          <w:lang w:val="pt-BR"/>
        </w:rPr>
        <w:t>A leve queda da associação em 2023, único ano abaixo do nível de referência de r=0,5, pode ser explicada pelo contexto pós-pandemia, quando fatores externos como saúde mental e conectividade podem ter influenciado os resultados de forma independente do engajamento</w:t>
      </w:r>
      <w:r w:rsidR="00D57E99">
        <w:rPr>
          <w:lang w:val="pt-BR"/>
        </w:rPr>
        <w:t>.</w:t>
      </w:r>
    </w:p>
    <w:p w:rsidR="00F04882" w:rsidRPr="00D57E99" w:rsidRDefault="00F04882" w:rsidP="00F04882">
      <w:pPr>
        <w:rPr>
          <w:lang w:val="pt-BR"/>
        </w:rPr>
      </w:pPr>
      <w:r w:rsidRPr="00D57E99">
        <w:rPr>
          <w:lang w:val="pt-BR"/>
        </w:rPr>
        <w:t>A recuperação em 2024 confirma que esse comportamento foi transitório.</w:t>
      </w:r>
    </w:p>
    <w:p w:rsidR="00F04882" w:rsidRPr="00D57E99" w:rsidRDefault="00D57E99" w:rsidP="00D57E99">
      <w:pPr>
        <w:rPr>
          <w:rStyle w:val="Bold"/>
          <w:lang w:val="pt-BR"/>
        </w:rPr>
      </w:pPr>
      <w:r>
        <w:rPr>
          <w:rStyle w:val="Bold"/>
          <w:lang w:val="pt-BR"/>
        </w:rPr>
        <w:lastRenderedPageBreak/>
        <w:t xml:space="preserve">4. </w:t>
      </w:r>
      <w:r w:rsidRPr="00D57E99">
        <w:rPr>
          <w:rStyle w:val="Bold"/>
          <w:lang w:val="pt-BR"/>
        </w:rPr>
        <w:t>Autoavaliação (IAA): As percepções dos alunos sobre si mesmos (IAA) são coerentes com seu desempenho real (IDA) e engajamento (IEG)?</w:t>
      </w:r>
    </w:p>
    <w:p w:rsidR="00D57E99" w:rsidRPr="00D57E99" w:rsidRDefault="00D57E99" w:rsidP="00D57E99">
      <w:pPr>
        <w:rPr>
          <w:lang w:val="pt-BR"/>
        </w:rPr>
      </w:pPr>
      <w:r w:rsidRPr="00D57E99">
        <w:rPr>
          <w:lang w:val="pt-BR"/>
        </w:rPr>
        <w:t>O Índice de Autoavaliação (IAA) registra como o próprio aluno avalia seu desenvolvimento dentro do programa PEDE, em escala de 0 a 10. A pergunta central é: quando um aluno se avalia bem, isso de fato corresponde a um bom desempenho acadêmico (IDA) e alto engajamento (IEG)?</w:t>
      </w:r>
    </w:p>
    <w:p w:rsidR="00FA32CA" w:rsidRDefault="00D57E99" w:rsidP="00FA32CA">
      <w:pPr>
        <w:keepNext/>
        <w:jc w:val="center"/>
      </w:pPr>
      <w:r w:rsidRPr="00D57E99">
        <w:rPr>
          <w:rStyle w:val="Bold"/>
          <w:noProof/>
          <w:lang w:val="pt-BR"/>
        </w:rPr>
        <w:drawing>
          <wp:inline distT="0" distB="0" distL="0" distR="0" wp14:anchorId="7DF0AF1D" wp14:editId="54E9F5D5">
            <wp:extent cx="4344006" cy="294363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DE8" w:rsidRDefault="00FA32CA" w:rsidP="00FA32CA">
      <w:pPr>
        <w:pStyle w:val="Caption"/>
        <w:jc w:val="center"/>
        <w:rPr>
          <w:rStyle w:val="Bold"/>
          <w:lang w:val="pt-BR"/>
        </w:rPr>
      </w:pPr>
      <w:r w:rsidRPr="00FA32CA">
        <w:rPr>
          <w:lang w:val="pt-BR"/>
        </w:rPr>
        <w:t xml:space="preserve">Figura </w:t>
      </w:r>
      <w:r>
        <w:fldChar w:fldCharType="begin"/>
      </w:r>
      <w:r w:rsidRPr="00FA32CA">
        <w:rPr>
          <w:lang w:val="pt-BR"/>
        </w:rPr>
        <w:instrText xml:space="preserve"> SEQ Figura \* ARABIC </w:instrText>
      </w:r>
      <w:r>
        <w:fldChar w:fldCharType="separate"/>
      </w:r>
      <w:r w:rsidR="003269F3">
        <w:rPr>
          <w:noProof/>
          <w:lang w:val="pt-BR"/>
        </w:rPr>
        <w:t>6</w:t>
      </w:r>
      <w:r>
        <w:fldChar w:fldCharType="end"/>
      </w:r>
      <w:r w:rsidRPr="00FA32CA">
        <w:rPr>
          <w:lang w:val="pt-BR"/>
        </w:rPr>
        <w:t xml:space="preserve"> - Métricas de Apoio Avaliação IAA</w:t>
      </w:r>
    </w:p>
    <w:p w:rsidR="00FA32CA" w:rsidRPr="00FA32CA" w:rsidRDefault="00D57E99" w:rsidP="00A27E86">
      <w:pPr>
        <w:pStyle w:val="ListParagraph"/>
        <w:numPr>
          <w:ilvl w:val="0"/>
          <w:numId w:val="10"/>
        </w:numPr>
        <w:rPr>
          <w:lang w:val="pt-BR"/>
        </w:rPr>
      </w:pPr>
      <w:r w:rsidRPr="00FA32CA">
        <w:rPr>
          <w:lang w:val="pt-BR"/>
        </w:rPr>
        <w:t>Em 2022, o IAA médio foi de 8,27 enquanto o IDA médio era apenas 6,09, a relação entre os dois, medida pela correlação de Pearson, foi fraca (r=0,21).</w:t>
      </w:r>
    </w:p>
    <w:p w:rsidR="00FA32CA" w:rsidRPr="00FA32CA" w:rsidRDefault="00D57E99" w:rsidP="00A27E86">
      <w:pPr>
        <w:pStyle w:val="ListParagraph"/>
        <w:numPr>
          <w:ilvl w:val="0"/>
          <w:numId w:val="10"/>
        </w:numPr>
        <w:rPr>
          <w:lang w:val="pt-BR"/>
        </w:rPr>
      </w:pPr>
      <w:r w:rsidRPr="00FA32CA">
        <w:rPr>
          <w:lang w:val="pt-BR"/>
        </w:rPr>
        <w:t>Em 2023, o IAA médio caiu para 6,90 e a relação ficou ainda mais fraca (r=0,11).</w:t>
      </w:r>
    </w:p>
    <w:p w:rsidR="00FA32CA" w:rsidRDefault="00D57E99" w:rsidP="00A27E86">
      <w:pPr>
        <w:pStyle w:val="ListParagraph"/>
        <w:numPr>
          <w:ilvl w:val="0"/>
          <w:numId w:val="10"/>
        </w:numPr>
        <w:rPr>
          <w:lang w:val="pt-BR"/>
        </w:rPr>
      </w:pPr>
      <w:r w:rsidRPr="00FA32CA">
        <w:rPr>
          <w:lang w:val="pt-BR"/>
        </w:rPr>
        <w:t>Em 2024, o IAA médio voltou a subir para</w:t>
      </w:r>
      <w:r w:rsidR="00FA32CA" w:rsidRPr="00FA32CA">
        <w:rPr>
          <w:lang w:val="pt-BR"/>
        </w:rPr>
        <w:t xml:space="preserve"> 8,54, com IDA médio de 6,35 e relação fraca (r=0,22).</w:t>
      </w:r>
    </w:p>
    <w:p w:rsidR="00FA32CA" w:rsidRPr="00FA32CA" w:rsidRDefault="00FA32CA" w:rsidP="00FA32CA">
      <w:pPr>
        <w:rPr>
          <w:lang w:val="pt-BR"/>
        </w:rPr>
      </w:pPr>
      <w:r w:rsidRPr="00FA32CA">
        <w:rPr>
          <w:noProof/>
          <w:lang w:val="pt-BR"/>
        </w:rPr>
        <w:lastRenderedPageBreak/>
        <w:drawing>
          <wp:inline distT="0" distB="0" distL="0" distR="0" wp14:anchorId="4ECCD1AD" wp14:editId="0B921E6E">
            <wp:extent cx="6400800" cy="49682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99" w:rsidRDefault="00FA32CA" w:rsidP="00D57E99">
      <w:pPr>
        <w:rPr>
          <w:lang w:val="pt-BR"/>
        </w:rPr>
      </w:pPr>
      <w:r w:rsidRPr="00FA32CA">
        <w:rPr>
          <w:lang w:val="pt-BR"/>
        </w:rPr>
        <w:t xml:space="preserve">Em nenhum dos três anos o IAA demonstrou relação forte com o desempenho real. A autoavaliação correlaciona-se ligeiramente mais com o engajamento do que com a nota, ou seja, alunos mais participativos tendem a se avaliar melhor, mas isso </w:t>
      </w:r>
      <w:r w:rsidRPr="00FA32CA">
        <w:rPr>
          <w:b/>
          <w:lang w:val="pt-BR"/>
        </w:rPr>
        <w:t>não necessariamente</w:t>
      </w:r>
      <w:r w:rsidRPr="00FA32CA">
        <w:rPr>
          <w:lang w:val="pt-BR"/>
        </w:rPr>
        <w:t xml:space="preserve"> se traduz em </w:t>
      </w:r>
      <w:r w:rsidRPr="00FA32CA">
        <w:rPr>
          <w:b/>
          <w:lang w:val="pt-BR"/>
        </w:rPr>
        <w:t>resultado acadêmico superior</w:t>
      </w:r>
      <w:r w:rsidRPr="00FA32CA">
        <w:rPr>
          <w:lang w:val="pt-BR"/>
        </w:rPr>
        <w:t>.</w:t>
      </w:r>
    </w:p>
    <w:p w:rsidR="00FA32CA" w:rsidRDefault="00FA32CA" w:rsidP="00D57E99">
      <w:pPr>
        <w:rPr>
          <w:lang w:val="pt-BR"/>
        </w:rPr>
      </w:pPr>
    </w:p>
    <w:p w:rsidR="00FA32CA" w:rsidRDefault="00FA32CA" w:rsidP="00D57E99">
      <w:pPr>
        <w:rPr>
          <w:lang w:val="pt-BR"/>
        </w:rPr>
      </w:pPr>
    </w:p>
    <w:p w:rsidR="00FA32CA" w:rsidRDefault="00FA32CA" w:rsidP="00D57E99">
      <w:pPr>
        <w:rPr>
          <w:lang w:val="pt-BR"/>
        </w:rPr>
      </w:pPr>
    </w:p>
    <w:p w:rsidR="00FA32CA" w:rsidRDefault="00FA32CA" w:rsidP="00D57E99">
      <w:pPr>
        <w:rPr>
          <w:lang w:val="pt-BR"/>
        </w:rPr>
      </w:pPr>
    </w:p>
    <w:p w:rsidR="00FA32CA" w:rsidRDefault="00FA32CA" w:rsidP="00D57E99">
      <w:pPr>
        <w:rPr>
          <w:lang w:val="pt-BR"/>
        </w:rPr>
      </w:pPr>
    </w:p>
    <w:p w:rsidR="00FA32CA" w:rsidRDefault="00FA32CA" w:rsidP="00D57E99">
      <w:pPr>
        <w:rPr>
          <w:lang w:val="pt-BR"/>
        </w:rPr>
      </w:pPr>
    </w:p>
    <w:p w:rsidR="00FA32CA" w:rsidRDefault="00FA32CA" w:rsidP="00D57E99">
      <w:pPr>
        <w:rPr>
          <w:lang w:val="pt-BR"/>
        </w:rPr>
      </w:pPr>
    </w:p>
    <w:p w:rsidR="00FA32CA" w:rsidRDefault="00FA32CA" w:rsidP="00FA32CA">
      <w:pPr>
        <w:keepNext/>
        <w:rPr>
          <w:rStyle w:val="Bold"/>
          <w:lang w:val="pt-BR"/>
        </w:rPr>
      </w:pPr>
      <w:r w:rsidRPr="00FA32CA">
        <w:rPr>
          <w:rStyle w:val="Bold"/>
          <w:lang w:val="pt-BR"/>
        </w:rPr>
        <w:lastRenderedPageBreak/>
        <w:t>O viés de otimismo como padrão predominante</w:t>
      </w:r>
    </w:p>
    <w:p w:rsidR="00FA32CA" w:rsidRPr="00FA32CA" w:rsidRDefault="00FA32CA" w:rsidP="00FA32CA">
      <w:pPr>
        <w:keepNext/>
        <w:rPr>
          <w:lang w:val="pt-BR"/>
        </w:rPr>
      </w:pPr>
      <w:r w:rsidRPr="00FA32CA">
        <w:rPr>
          <w:rStyle w:val="Bold"/>
          <w:noProof/>
          <w:lang w:val="pt-BR"/>
        </w:rPr>
        <w:drawing>
          <wp:inline distT="0" distB="0" distL="0" distR="0" wp14:anchorId="6B73C48C" wp14:editId="3E88E394">
            <wp:extent cx="6400800" cy="3814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2CA" w:rsidRPr="00FA32CA" w:rsidRDefault="00FA32CA" w:rsidP="00FA32CA">
      <w:pPr>
        <w:pStyle w:val="Caption"/>
        <w:jc w:val="center"/>
        <w:rPr>
          <w:rStyle w:val="Bold"/>
          <w:lang w:val="pt-BR"/>
        </w:rPr>
      </w:pPr>
      <w:r w:rsidRPr="00FA32CA">
        <w:rPr>
          <w:lang w:val="pt-BR"/>
        </w:rPr>
        <w:t xml:space="preserve">Figura </w:t>
      </w:r>
      <w:r>
        <w:fldChar w:fldCharType="begin"/>
      </w:r>
      <w:r w:rsidRPr="00FA32CA">
        <w:rPr>
          <w:lang w:val="pt-BR"/>
        </w:rPr>
        <w:instrText xml:space="preserve"> SEQ Figura \* ARABIC </w:instrText>
      </w:r>
      <w:r>
        <w:fldChar w:fldCharType="separate"/>
      </w:r>
      <w:r w:rsidR="003269F3">
        <w:rPr>
          <w:noProof/>
          <w:lang w:val="pt-BR"/>
        </w:rPr>
        <w:t>7</w:t>
      </w:r>
      <w:r>
        <w:fldChar w:fldCharType="end"/>
      </w:r>
      <w:r w:rsidRPr="00FA32CA">
        <w:rPr>
          <w:lang w:val="pt-BR"/>
        </w:rPr>
        <w:t xml:space="preserve">- Limiar de Tolerância de +1 para </w:t>
      </w:r>
      <w:r>
        <w:rPr>
          <w:lang w:val="pt-BR"/>
        </w:rPr>
        <w:t>refinar a classificação</w:t>
      </w:r>
    </w:p>
    <w:p w:rsidR="00FA32CA" w:rsidRDefault="00FA32CA" w:rsidP="00FA32CA">
      <w:pPr>
        <w:rPr>
          <w:lang w:val="pt-BR"/>
        </w:rPr>
      </w:pPr>
      <w:r w:rsidRPr="00FA32CA">
        <w:rPr>
          <w:lang w:val="pt-BR"/>
        </w:rPr>
        <w:t>Em 2022, 70,6% dos alunos superestimaram seu desempenho (IAA acima do IDA em mais de 1 ponto), com apenas 22,9% alinhados e 6,5% subestimando, excesso médio de +2,18 pontos.</w:t>
      </w:r>
    </w:p>
    <w:p w:rsidR="00FA32CA" w:rsidRDefault="00FA32CA" w:rsidP="00FA32CA">
      <w:pPr>
        <w:rPr>
          <w:lang w:val="pt-BR"/>
        </w:rPr>
      </w:pPr>
      <w:r w:rsidRPr="00FA32CA">
        <w:rPr>
          <w:lang w:val="pt-BR"/>
        </w:rPr>
        <w:t>Em 2023, o padrão foi diferente: 54,3% superestimaram, 23,1% estavam alinhados e 22,6% subestimaram, com gap reduzido a +0,25 pontos.</w:t>
      </w:r>
    </w:p>
    <w:p w:rsidR="00FA32CA" w:rsidRDefault="00FA32CA" w:rsidP="00FA32CA">
      <w:pPr>
        <w:rPr>
          <w:lang w:val="pt-BR"/>
        </w:rPr>
      </w:pPr>
      <w:r w:rsidRPr="00FA32CA">
        <w:rPr>
          <w:lang w:val="pt-BR"/>
        </w:rPr>
        <w:t>Em 2024, o padrão voltou ao de 2022: 70,9% superestimaram, 23,4% alinhados e apenas 5,7% subestimaram, com excesso médio de +2,19 pontos.</w:t>
      </w:r>
    </w:p>
    <w:p w:rsidR="00FA32CA" w:rsidRPr="00FA32CA" w:rsidRDefault="00FA32CA" w:rsidP="00FA32CA">
      <w:pPr>
        <w:rPr>
          <w:lang w:val="pt-BR"/>
        </w:rPr>
      </w:pPr>
      <w:r w:rsidRPr="00FA32CA">
        <w:rPr>
          <w:lang w:val="pt-BR"/>
        </w:rPr>
        <w:t>Em 2022 e 2024, mais de 70% dos alunos se avaliaram acima de seu desempenho real em pelo menos 1 ponto. O grupo que se alinha à realidade é minoria estável de cerca de 23%.</w:t>
      </w:r>
    </w:p>
    <w:p w:rsidR="00E22922" w:rsidRDefault="00E22922" w:rsidP="00FA32CA">
      <w:pPr>
        <w:rPr>
          <w:rStyle w:val="Bold"/>
          <w:lang w:val="pt-BR"/>
        </w:rPr>
      </w:pPr>
    </w:p>
    <w:p w:rsidR="00E22922" w:rsidRDefault="00E22922" w:rsidP="00FA32CA">
      <w:pPr>
        <w:rPr>
          <w:rStyle w:val="Bold"/>
          <w:lang w:val="pt-BR"/>
        </w:rPr>
      </w:pPr>
    </w:p>
    <w:p w:rsidR="00E22922" w:rsidRDefault="00E22922" w:rsidP="00FA32CA">
      <w:pPr>
        <w:rPr>
          <w:rStyle w:val="Bold"/>
          <w:lang w:val="pt-BR"/>
        </w:rPr>
      </w:pPr>
    </w:p>
    <w:p w:rsidR="00E22922" w:rsidRDefault="00E22922" w:rsidP="00FA32CA">
      <w:pPr>
        <w:rPr>
          <w:rStyle w:val="Bold"/>
          <w:lang w:val="pt-BR"/>
        </w:rPr>
      </w:pPr>
    </w:p>
    <w:p w:rsidR="00E22922" w:rsidRDefault="00E22922" w:rsidP="00FA32CA">
      <w:pPr>
        <w:rPr>
          <w:rStyle w:val="Bold"/>
          <w:lang w:val="pt-BR"/>
        </w:rPr>
      </w:pPr>
    </w:p>
    <w:p w:rsidR="00FA32CA" w:rsidRDefault="00FA32CA" w:rsidP="00FA32CA">
      <w:pPr>
        <w:rPr>
          <w:rStyle w:val="Bold"/>
          <w:lang w:val="pt-BR"/>
        </w:rPr>
      </w:pPr>
      <w:r w:rsidRPr="00FA32CA">
        <w:rPr>
          <w:rStyle w:val="Bold"/>
          <w:lang w:val="pt-BR"/>
        </w:rPr>
        <w:lastRenderedPageBreak/>
        <w:t>O paradoxo do grupo mais otimista.</w:t>
      </w:r>
    </w:p>
    <w:p w:rsidR="00E22922" w:rsidRPr="00FA32CA" w:rsidRDefault="00E22922" w:rsidP="00FA32CA">
      <w:pPr>
        <w:rPr>
          <w:rStyle w:val="Bold"/>
          <w:lang w:val="pt-BR"/>
        </w:rPr>
      </w:pPr>
      <w:r w:rsidRPr="00E22922">
        <w:rPr>
          <w:rStyle w:val="Bold"/>
          <w:noProof/>
          <w:lang w:val="pt-BR"/>
        </w:rPr>
        <w:drawing>
          <wp:inline distT="0" distB="0" distL="0" distR="0" wp14:anchorId="3AE283EA" wp14:editId="2D222F6D">
            <wp:extent cx="6400800" cy="3467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922" w:rsidRDefault="00FA32CA" w:rsidP="00FA32CA">
      <w:pPr>
        <w:rPr>
          <w:lang w:val="pt-BR"/>
        </w:rPr>
      </w:pPr>
      <w:r w:rsidRPr="00FA32CA">
        <w:rPr>
          <w:lang w:val="pt-BR"/>
        </w:rPr>
        <w:t>Analisando os quatro grupos de IAA em 2024, um padrão se destaca: o grupo com a autoavaliação mais alta (G4) tem desempenho real menor do que G3, 6,63 versus 6,81.</w:t>
      </w:r>
    </w:p>
    <w:p w:rsidR="00E22922" w:rsidRDefault="00FA32CA" w:rsidP="00FA32CA">
      <w:pPr>
        <w:rPr>
          <w:lang w:val="pt-BR"/>
        </w:rPr>
      </w:pPr>
      <w:r w:rsidRPr="00FA32CA">
        <w:rPr>
          <w:lang w:val="pt-BR"/>
        </w:rPr>
        <w:t>Ao mesmo tempo, G4 registra a maior superestimação média de todos os grupos: +3,24 pontos.</w:t>
      </w:r>
    </w:p>
    <w:p w:rsidR="00E22922" w:rsidRDefault="00FA32CA" w:rsidP="00FA32CA">
      <w:pPr>
        <w:rPr>
          <w:lang w:val="pt-BR"/>
        </w:rPr>
      </w:pPr>
      <w:r w:rsidRPr="00FA32CA">
        <w:rPr>
          <w:lang w:val="pt-BR"/>
        </w:rPr>
        <w:t xml:space="preserve">Os alunos que se avaliam melhor </w:t>
      </w:r>
      <w:r w:rsidRPr="00E22922">
        <w:rPr>
          <w:b/>
          <w:lang w:val="pt-BR"/>
        </w:rPr>
        <w:t>não são os que mais performam</w:t>
      </w:r>
      <w:r w:rsidRPr="00FA32CA">
        <w:rPr>
          <w:lang w:val="pt-BR"/>
        </w:rPr>
        <w:t>, e são os mais distantes da realidade.</w:t>
      </w:r>
    </w:p>
    <w:p w:rsidR="00FA32CA" w:rsidRPr="00FA32CA" w:rsidRDefault="00FA32CA" w:rsidP="00FA32CA">
      <w:pPr>
        <w:rPr>
          <w:lang w:val="pt-BR"/>
        </w:rPr>
      </w:pPr>
      <w:r w:rsidRPr="00FA32CA">
        <w:rPr>
          <w:lang w:val="pt-BR"/>
        </w:rPr>
        <w:t>O grupo G1 (autoavaliação mais baixa) teve IDA de 5,91 com superestimação de +1,07 pontos; o G2 registrou IDA de 6,09 com +2,45 de superestimação; o G3 teve IDA de 6,81 com +2,42.</w:t>
      </w:r>
    </w:p>
    <w:p w:rsidR="00FA32CA" w:rsidRPr="00FA32CA" w:rsidRDefault="00FA32CA" w:rsidP="00FA32CA">
      <w:pPr>
        <w:rPr>
          <w:rStyle w:val="Bold"/>
          <w:lang w:val="pt-BR"/>
        </w:rPr>
      </w:pPr>
      <w:r>
        <w:rPr>
          <w:rStyle w:val="Bold"/>
          <w:lang w:val="pt-BR"/>
        </w:rPr>
        <w:t>Avaliação</w:t>
      </w:r>
      <w:r w:rsidRPr="00FA32CA">
        <w:rPr>
          <w:rStyle w:val="Bold"/>
          <w:lang w:val="pt-BR"/>
        </w:rPr>
        <w:t xml:space="preserve"> estratégica.</w:t>
      </w:r>
    </w:p>
    <w:p w:rsidR="00E22922" w:rsidRDefault="00FA32CA" w:rsidP="00FA32CA">
      <w:pPr>
        <w:rPr>
          <w:lang w:val="pt-BR"/>
        </w:rPr>
      </w:pPr>
      <w:r w:rsidRPr="00FA32CA">
        <w:rPr>
          <w:lang w:val="pt-BR"/>
        </w:rPr>
        <w:t xml:space="preserve">O IAA, isoladamente, não é um bom indicador de desempenho, a fraca relação com o IDA desaconselha seu uso como </w:t>
      </w:r>
      <w:r w:rsidR="00E22922">
        <w:rPr>
          <w:lang w:val="pt-BR"/>
        </w:rPr>
        <w:t>viés</w:t>
      </w:r>
      <w:r w:rsidRPr="00FA32CA">
        <w:rPr>
          <w:lang w:val="pt-BR"/>
        </w:rPr>
        <w:t xml:space="preserve"> de resultado. No entanto, ele tem valor como ferramenta de autoconhecimento e de diagnóstico de percepção: alunos com alto IAA e baixo IDA são candidatos naturais a programas de feedback personalizado, que ajudem a calibrar a percepção à realidade.</w:t>
      </w:r>
    </w:p>
    <w:p w:rsidR="00FA32CA" w:rsidRPr="00FA32CA" w:rsidRDefault="00FA32CA" w:rsidP="00FA32CA">
      <w:pPr>
        <w:rPr>
          <w:lang w:val="pt-BR"/>
        </w:rPr>
      </w:pPr>
      <w:r w:rsidRPr="00FA32CA">
        <w:rPr>
          <w:lang w:val="pt-BR"/>
        </w:rPr>
        <w:t>O grupo G4, o mais otimista e com resultado abaixo do esperado para seu nível de autoconfiança, é o ponto de atenção central nessa frente.</w:t>
      </w:r>
    </w:p>
    <w:p w:rsidR="00FA32CA" w:rsidRDefault="00E22922" w:rsidP="00E22922">
      <w:pPr>
        <w:rPr>
          <w:rStyle w:val="Bold"/>
          <w:lang w:val="pt-BR"/>
        </w:rPr>
      </w:pPr>
      <w:r>
        <w:rPr>
          <w:rStyle w:val="Bold"/>
          <w:lang w:val="pt-BR"/>
        </w:rPr>
        <w:lastRenderedPageBreak/>
        <w:t xml:space="preserve">5. </w:t>
      </w:r>
      <w:r w:rsidRPr="00E22922">
        <w:rPr>
          <w:rStyle w:val="Bold"/>
          <w:lang w:val="pt-BR"/>
        </w:rPr>
        <w:t>Aspectos psicossociais (IPS): Há padrões psicossociais (IPS) que antecedem quedas de desempenho acadêmico ou de engajamento?</w:t>
      </w:r>
    </w:p>
    <w:p w:rsidR="00E22922" w:rsidRDefault="00E22922" w:rsidP="00E22922">
      <w:pPr>
        <w:rPr>
          <w:lang w:val="pt-BR"/>
        </w:rPr>
      </w:pPr>
      <w:r w:rsidRPr="00E22922">
        <w:rPr>
          <w:lang w:val="pt-BR"/>
        </w:rPr>
        <w:t>O Índice Psicossocial (IPS) avalia aspectos do bem-estar e da condição social dos alunos dentro do programa PEDE, em escala de 0 a 10. A pergunta investiga se alunos com IPS mais baixo tendem a ter quedas de desempenho (IDA) ou engajamento (IEG), e se o IPS funciona como um sinal de alerta antecipado.</w:t>
      </w:r>
    </w:p>
    <w:p w:rsidR="00445E11" w:rsidRDefault="00445E11" w:rsidP="00445E11">
      <w:pPr>
        <w:keepNext/>
        <w:jc w:val="center"/>
      </w:pPr>
      <w:r w:rsidRPr="00445E11">
        <w:rPr>
          <w:noProof/>
          <w:lang w:val="pt-BR"/>
        </w:rPr>
        <w:drawing>
          <wp:inline distT="0" distB="0" distL="0" distR="0" wp14:anchorId="43483DD0" wp14:editId="4B37D4BA">
            <wp:extent cx="2648320" cy="2848373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E11" w:rsidRDefault="00445E11" w:rsidP="00445E11">
      <w:pPr>
        <w:pStyle w:val="Caption"/>
        <w:jc w:val="center"/>
        <w:rPr>
          <w:lang w:val="pt-BR"/>
        </w:rPr>
      </w:pPr>
      <w:r w:rsidRPr="00445E11">
        <w:rPr>
          <w:lang w:val="pt-BR"/>
        </w:rPr>
        <w:t xml:space="preserve">Figura </w:t>
      </w:r>
      <w:r>
        <w:fldChar w:fldCharType="begin"/>
      </w:r>
      <w:r w:rsidRPr="00445E11">
        <w:rPr>
          <w:lang w:val="pt-BR"/>
        </w:rPr>
        <w:instrText xml:space="preserve"> SEQ Figura \* ARABIC </w:instrText>
      </w:r>
      <w:r>
        <w:fldChar w:fldCharType="separate"/>
      </w:r>
      <w:r w:rsidR="003269F3">
        <w:rPr>
          <w:noProof/>
          <w:lang w:val="pt-BR"/>
        </w:rPr>
        <w:t>8</w:t>
      </w:r>
      <w:r>
        <w:fldChar w:fldCharType="end"/>
      </w:r>
      <w:r w:rsidRPr="00445E11">
        <w:rPr>
          <w:lang w:val="pt-BR"/>
        </w:rPr>
        <w:t xml:space="preserve"> - Estatísticas Consolidadas para Melhor Interpretação</w:t>
      </w:r>
    </w:p>
    <w:p w:rsidR="00445E11" w:rsidRDefault="00445E11" w:rsidP="00E22922">
      <w:pPr>
        <w:rPr>
          <w:lang w:val="pt-BR"/>
        </w:rPr>
      </w:pPr>
      <w:r w:rsidRPr="00445E11">
        <w:rPr>
          <w:noProof/>
          <w:lang w:val="pt-BR"/>
        </w:rPr>
        <w:drawing>
          <wp:inline distT="0" distB="0" distL="0" distR="0" wp14:anchorId="24AE7B39" wp14:editId="02860686">
            <wp:extent cx="6400800" cy="31711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E11" w:rsidRDefault="00445E11" w:rsidP="00E22922">
      <w:pPr>
        <w:rPr>
          <w:lang w:val="pt-BR"/>
        </w:rPr>
      </w:pPr>
      <w:r w:rsidRPr="00445E11">
        <w:rPr>
          <w:noProof/>
          <w:lang w:val="pt-BR"/>
        </w:rPr>
        <w:lastRenderedPageBreak/>
        <w:drawing>
          <wp:inline distT="0" distB="0" distL="0" distR="0" wp14:anchorId="1C619DB9" wp14:editId="13DB675B">
            <wp:extent cx="6400800" cy="31680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E11" w:rsidRDefault="00445E11" w:rsidP="00E22922">
      <w:pPr>
        <w:rPr>
          <w:lang w:val="pt-BR"/>
        </w:rPr>
      </w:pPr>
      <w:r w:rsidRPr="00445E11">
        <w:rPr>
          <w:noProof/>
          <w:lang w:val="pt-BR"/>
        </w:rPr>
        <w:drawing>
          <wp:inline distT="0" distB="0" distL="0" distR="0" wp14:anchorId="359B3D87" wp14:editId="73F5CC86">
            <wp:extent cx="6400800" cy="316801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E11" w:rsidRDefault="00445E11" w:rsidP="00445E11">
      <w:pPr>
        <w:rPr>
          <w:lang w:val="pt-BR"/>
        </w:rPr>
      </w:pPr>
      <w:r w:rsidRPr="00445E11">
        <w:rPr>
          <w:lang w:val="pt-BR"/>
        </w:rPr>
        <w:t>Em 2022 (860 alunos), o IPS médio era 6,91 com mediana 7,5, e sua relação com o IDA era fraca (r=0,13) e com o IEG muito fraca (r=0,09).</w:t>
      </w:r>
    </w:p>
    <w:p w:rsidR="00445E11" w:rsidRDefault="00445E11" w:rsidP="00445E11">
      <w:pPr>
        <w:rPr>
          <w:lang w:val="pt-BR"/>
        </w:rPr>
      </w:pPr>
      <w:r w:rsidRPr="00445E11">
        <w:rPr>
          <w:lang w:val="pt-BR"/>
        </w:rPr>
        <w:t>Em 2023 (945 alunos), o IPS médio desabou para 5,12 com mediana 5,0, queda de 26% na média, mantendo relacionamentos fracos com IDA (r=0,13) e IEG (r=0,04).</w:t>
      </w:r>
    </w:p>
    <w:p w:rsidR="00445E11" w:rsidRDefault="00445E11" w:rsidP="00445E11">
      <w:pPr>
        <w:rPr>
          <w:lang w:val="pt-BR"/>
        </w:rPr>
      </w:pPr>
    </w:p>
    <w:p w:rsidR="00445E11" w:rsidRDefault="00445E11" w:rsidP="00445E11">
      <w:pPr>
        <w:rPr>
          <w:lang w:val="pt-BR"/>
        </w:rPr>
      </w:pPr>
    </w:p>
    <w:p w:rsidR="00445E11" w:rsidRDefault="00445E11" w:rsidP="00445E11">
      <w:pPr>
        <w:rPr>
          <w:lang w:val="pt-BR"/>
        </w:rPr>
      </w:pPr>
      <w:r w:rsidRPr="00445E11">
        <w:rPr>
          <w:lang w:val="pt-BR"/>
        </w:rPr>
        <w:lastRenderedPageBreak/>
        <w:t>Em 2024 (1.054 alunos), o indicador se recuperou para média 6,83 e mediana 7,5, com relações praticamente nulas: IDA (r=0,01) e IEG (r=0,06).</w:t>
      </w:r>
    </w:p>
    <w:p w:rsidR="00445E11" w:rsidRPr="00445E11" w:rsidRDefault="00445E11" w:rsidP="00445E11">
      <w:pPr>
        <w:rPr>
          <w:lang w:val="pt-BR"/>
        </w:rPr>
      </w:pPr>
      <w:r w:rsidRPr="00445E11">
        <w:rPr>
          <w:lang w:val="pt-BR"/>
        </w:rPr>
        <w:t>Em nenhum dos três anos o IPS demonstrou relação forte com o desempenho ou o engajamento a nível individual, saber o IPS de um aluno não permite prever sua nota nem seu engajamento.</w:t>
      </w:r>
    </w:p>
    <w:p w:rsidR="00445E11" w:rsidRPr="00445E11" w:rsidRDefault="00445E11" w:rsidP="00445E11">
      <w:pPr>
        <w:rPr>
          <w:b/>
          <w:lang w:val="pt-BR"/>
        </w:rPr>
      </w:pPr>
      <w:r>
        <w:rPr>
          <w:b/>
          <w:lang w:val="pt-BR"/>
        </w:rPr>
        <w:t>Avaliação Coletiva</w:t>
      </w:r>
      <w:r w:rsidRPr="00445E11">
        <w:rPr>
          <w:b/>
          <w:lang w:val="pt-BR"/>
        </w:rPr>
        <w:t>.</w:t>
      </w:r>
    </w:p>
    <w:p w:rsidR="00445E11" w:rsidRDefault="00445E11" w:rsidP="00445E11">
      <w:pPr>
        <w:rPr>
          <w:lang w:val="pt-BR"/>
        </w:rPr>
      </w:pPr>
      <w:r w:rsidRPr="00445E11">
        <w:rPr>
          <w:lang w:val="pt-BR"/>
        </w:rPr>
        <w:t>O fenômeno mais expressivo nos dados de IPS não é a relação com os outros indicadores, é a queda abrupta do próprio IPS em 2023.</w:t>
      </w:r>
    </w:p>
    <w:p w:rsidR="00445E11" w:rsidRDefault="00445E11" w:rsidP="00445E11">
      <w:pPr>
        <w:rPr>
          <w:lang w:val="pt-BR"/>
        </w:rPr>
      </w:pPr>
      <w:r w:rsidRPr="00445E11">
        <w:rPr>
          <w:noProof/>
          <w:lang w:val="pt-BR"/>
        </w:rPr>
        <w:drawing>
          <wp:inline distT="0" distB="0" distL="0" distR="0" wp14:anchorId="7E71D55C" wp14:editId="78CA10D4">
            <wp:extent cx="6400800" cy="424815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E11">
        <w:rPr>
          <w:lang w:val="pt-BR"/>
        </w:rPr>
        <w:t>Esse colapso não se concentrou em um grupo específico de alunos: ao cruzar IPS com faixas de desempenho, todas as faixas registraram quedas simultâneas no IDA e no IEG naquele ano. A piora foi uniforme, não seletiva, o que indica um fator externo ao programa, provavelmente o impacto residual da pandemia sobre as condições de vida e bem-estar das famílias atendidas.</w:t>
      </w:r>
    </w:p>
    <w:p w:rsidR="00445E11" w:rsidRPr="00445E11" w:rsidRDefault="00445E11" w:rsidP="00445E11">
      <w:pPr>
        <w:rPr>
          <w:lang w:val="pt-BR"/>
        </w:rPr>
      </w:pPr>
      <w:r w:rsidRPr="00445E11">
        <w:rPr>
          <w:noProof/>
          <w:lang w:val="pt-BR"/>
        </w:rPr>
        <w:lastRenderedPageBreak/>
        <w:drawing>
          <wp:inline distT="0" distB="0" distL="0" distR="0" wp14:anchorId="30CC9051" wp14:editId="32C94240">
            <wp:extent cx="6400800" cy="2719070"/>
            <wp:effectExtent l="0" t="0" r="0" b="508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E11" w:rsidRPr="00445E11" w:rsidRDefault="00445E11" w:rsidP="00445E11">
      <w:pPr>
        <w:rPr>
          <w:b/>
          <w:lang w:val="pt-BR"/>
        </w:rPr>
      </w:pPr>
      <w:r>
        <w:rPr>
          <w:b/>
          <w:lang w:val="pt-BR"/>
        </w:rPr>
        <w:t>Avaliação</w:t>
      </w:r>
      <w:r w:rsidRPr="00445E11">
        <w:rPr>
          <w:b/>
          <w:lang w:val="pt-BR"/>
        </w:rPr>
        <w:t xml:space="preserve"> estratégica.</w:t>
      </w:r>
    </w:p>
    <w:p w:rsidR="00445E11" w:rsidRDefault="00445E11" w:rsidP="00445E11">
      <w:pPr>
        <w:rPr>
          <w:lang w:val="pt-BR"/>
        </w:rPr>
      </w:pPr>
      <w:r w:rsidRPr="00445E11">
        <w:rPr>
          <w:lang w:val="pt-BR"/>
        </w:rPr>
        <w:t>O IPS, isoladamente, não deve ser tratado como preditor de queda individual de desempenho, a relação linear simplesmente não é forte o suficiente. Seu valor está em outra dimensão: como termômetro coletivo de contexto. Uma queda generalizada do IPS, como a de 2023, funcionou retrospectivamente como sinal de que o ambiente externo ao programa estava pressionando os alunos de forma ampla.</w:t>
      </w:r>
    </w:p>
    <w:p w:rsidR="00445E11" w:rsidRPr="00445E11" w:rsidRDefault="00445E11" w:rsidP="00445E11">
      <w:pPr>
        <w:rPr>
          <w:lang w:val="pt-BR"/>
        </w:rPr>
      </w:pPr>
      <w:r w:rsidRPr="00445E11">
        <w:rPr>
          <w:lang w:val="pt-BR"/>
        </w:rPr>
        <w:t>O monitoramento contínuo do IPS médio por turma ou fase pode servir como alerta precoce de ciclos de vulnerabilidade coletiva, momentos em que investimentos em suporte socioemocional e infraestrutura de apoio têm impacto preventivo antes que os efeitos apareçam no IDA.</w:t>
      </w:r>
    </w:p>
    <w:p w:rsidR="00445E11" w:rsidRDefault="00445E11" w:rsidP="00445E11">
      <w:pPr>
        <w:rPr>
          <w:lang w:val="pt-BR"/>
        </w:rPr>
      </w:pPr>
      <w:r w:rsidRPr="00445E11">
        <w:rPr>
          <w:lang w:val="pt-BR"/>
        </w:rPr>
        <w:t>A ausência de correlação individual forte não significa que o IPS seja irrelevante, pode simplesmente indicar que sua relação com desempenho é não-linear ou mediada por outros fatores (como IAN ou IEG).</w:t>
      </w:r>
    </w:p>
    <w:p w:rsidR="00445E11" w:rsidRDefault="00445E11" w:rsidP="00445E11">
      <w:pPr>
        <w:rPr>
          <w:lang w:val="pt-BR"/>
        </w:rPr>
      </w:pPr>
    </w:p>
    <w:p w:rsidR="00445E11" w:rsidRPr="00445E11" w:rsidRDefault="00445E11" w:rsidP="00445E11">
      <w:pPr>
        <w:rPr>
          <w:rStyle w:val="Bold"/>
          <w:lang w:val="pt-BR"/>
        </w:rPr>
      </w:pPr>
      <w:r w:rsidRPr="001D4FF6">
        <w:rPr>
          <w:rStyle w:val="Bold"/>
          <w:lang w:val="pt-BR"/>
        </w:rPr>
        <w:t xml:space="preserve">6. </w:t>
      </w:r>
      <w:r w:rsidRPr="00445E11">
        <w:rPr>
          <w:rStyle w:val="Bold"/>
          <w:lang w:val="pt-BR"/>
        </w:rPr>
        <w:t>Aspectos psicopedagógicos (IPP): As avaliações psicopedagógicas (IPP) confirmam ou contradizem a defasagem identificada pelo IAN?</w:t>
      </w:r>
    </w:p>
    <w:p w:rsidR="00445E11" w:rsidRDefault="001D4FF6" w:rsidP="00E22922">
      <w:pPr>
        <w:rPr>
          <w:lang w:val="pt-BR"/>
        </w:rPr>
      </w:pPr>
      <w:r w:rsidRPr="001D4FF6">
        <w:rPr>
          <w:lang w:val="pt-BR"/>
        </w:rPr>
        <w:t>A resposta é majoritariamente sim,</w:t>
      </w:r>
      <w:r>
        <w:rPr>
          <w:lang w:val="pt-BR"/>
        </w:rPr>
        <w:t xml:space="preserve"> mas com algumas análises relevantes para serem levadas em consideração.</w:t>
      </w:r>
    </w:p>
    <w:p w:rsidR="008A3682" w:rsidRDefault="008A3682" w:rsidP="00E22922">
      <w:pPr>
        <w:rPr>
          <w:lang w:val="pt-BR"/>
        </w:rPr>
      </w:pPr>
      <w:r w:rsidRPr="008A3682">
        <w:rPr>
          <w:noProof/>
          <w:lang w:val="pt-BR"/>
        </w:rPr>
        <w:lastRenderedPageBreak/>
        <w:drawing>
          <wp:inline distT="0" distB="0" distL="0" distR="0" wp14:anchorId="2895F079" wp14:editId="2DE3B8E8">
            <wp:extent cx="6400800" cy="2201545"/>
            <wp:effectExtent l="0" t="0" r="0" b="825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65" w:rsidRDefault="008A3682" w:rsidP="008A3682">
      <w:pPr>
        <w:rPr>
          <w:lang w:val="pt-BR"/>
        </w:rPr>
      </w:pPr>
      <w:r w:rsidRPr="008A3682">
        <w:rPr>
          <w:lang w:val="pt-BR"/>
        </w:rPr>
        <w:t xml:space="preserve">Em </w:t>
      </w:r>
      <w:r w:rsidR="007B6165">
        <w:rPr>
          <w:lang w:val="pt-BR"/>
        </w:rPr>
        <w:t>média</w:t>
      </w:r>
      <w:r w:rsidRPr="008A3682">
        <w:rPr>
          <w:lang w:val="pt-BR"/>
        </w:rPr>
        <w:t>, cada incremento na categoria de adequação registrada pelo IAN é acompanhado por uma elevação proporcional no IPP.</w:t>
      </w:r>
    </w:p>
    <w:p w:rsidR="007B6165" w:rsidRDefault="008A3682" w:rsidP="008A3682">
      <w:pPr>
        <w:rPr>
          <w:lang w:val="pt-BR"/>
        </w:rPr>
      </w:pPr>
      <w:r w:rsidRPr="008A3682">
        <w:rPr>
          <w:lang w:val="pt-BR"/>
        </w:rPr>
        <w:t>Alunos classificados como "Nível Adequado" registram IPP consistentemente mais alto do que os de "Defasagem Severa", e este padrão se confirma nos dois anos com IPP disponível (2023 e 2024), sendo reforçado pelo IDA como triangulação para 2022.</w:t>
      </w:r>
    </w:p>
    <w:p w:rsidR="008A3682" w:rsidRPr="008A3682" w:rsidRDefault="008A3682" w:rsidP="008A3682">
      <w:pPr>
        <w:rPr>
          <w:lang w:val="pt-BR"/>
        </w:rPr>
      </w:pPr>
      <w:r w:rsidRPr="008A3682">
        <w:rPr>
          <w:lang w:val="pt-BR"/>
        </w:rPr>
        <w:t>Os dois instrumentos medem dimensões complementares do mesmo fenômeno: o IAN captura a defasagem curricular e o IPP traduz o desenvolvimento psicopedagógico subjacente, e ambos tendem a apontar na mesma direção.</w:t>
      </w:r>
    </w:p>
    <w:p w:rsidR="007B6165" w:rsidRDefault="007B6165" w:rsidP="007B6165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</w:p>
    <w:p w:rsidR="007B6165" w:rsidRPr="00940EF1" w:rsidRDefault="007B6165" w:rsidP="007B6165">
      <w:pPr>
        <w:shd w:val="clear" w:color="auto" w:fill="FFFFFF"/>
        <w:spacing w:before="0" w:after="0" w:line="285" w:lineRule="atLeast"/>
        <w:rPr>
          <w:rStyle w:val="Bold"/>
          <w:lang w:val="pt-BR"/>
        </w:rPr>
      </w:pPr>
      <w:r w:rsidRPr="00940EF1">
        <w:rPr>
          <w:rStyle w:val="Bold"/>
          <w:lang w:val="pt-BR"/>
        </w:rPr>
        <w:t>Dispersão entre as categorias</w:t>
      </w:r>
    </w:p>
    <w:p w:rsidR="007B6165" w:rsidRPr="00940EF1" w:rsidRDefault="007B6165" w:rsidP="007B6165">
      <w:pPr>
        <w:shd w:val="clear" w:color="auto" w:fill="FFFFFF"/>
        <w:spacing w:before="0" w:after="0" w:line="285" w:lineRule="atLeast"/>
        <w:rPr>
          <w:rStyle w:val="Bold"/>
          <w:lang w:val="pt-BR"/>
        </w:rPr>
      </w:pPr>
    </w:p>
    <w:p w:rsidR="007B6165" w:rsidRDefault="007B6165" w:rsidP="007B6165">
      <w:pPr>
        <w:rPr>
          <w:lang w:val="pt-BR" w:eastAsia="pt-BR"/>
        </w:rPr>
      </w:pPr>
      <w:r w:rsidRPr="007B6165">
        <w:rPr>
          <w:lang w:val="pt-BR" w:eastAsia="pt-BR"/>
        </w:rPr>
        <w:t>Mesmo dentro de cada faixa do IAN, o IPP apresenta dispersão considerável, especialmente na categoria "Defasagem Moderada", onde os valores se espalham amplamente entre 4 e 9. Isso revela que o IPP capta dimensões além do que o IAN mede: alunos com situação acadêmica similar podem ter condições psicopedagógicas muito diferentes entre si.</w:t>
      </w:r>
    </w:p>
    <w:p w:rsidR="007B6165" w:rsidRPr="007B6165" w:rsidRDefault="007B6165" w:rsidP="007B6165">
      <w:pPr>
        <w:rPr>
          <w:lang w:val="pt-BR" w:eastAsia="pt-BR"/>
        </w:rPr>
      </w:pPr>
      <w:r w:rsidRPr="007B6165">
        <w:rPr>
          <w:lang w:val="pt-BR" w:eastAsia="pt-BR"/>
        </w:rPr>
        <w:t>Na categoria "Nível Adequado", o IPP se concentra nos valores mais altos e com menor variação, reforçando a convergência entre os dois instrumentos nos perfis de melhor desempenho.</w:t>
      </w:r>
    </w:p>
    <w:p w:rsidR="007B6165" w:rsidRPr="007B6165" w:rsidRDefault="007B6165" w:rsidP="007B6165">
      <w:pPr>
        <w:shd w:val="clear" w:color="auto" w:fill="FFFFFF"/>
        <w:spacing w:before="0" w:after="0" w:line="285" w:lineRule="atLeast"/>
        <w:rPr>
          <w:rStyle w:val="Bold"/>
          <w:lang w:val="pt-BR" w:eastAsia="pt-BR"/>
        </w:rPr>
      </w:pPr>
      <w:r w:rsidRPr="007B6165">
        <w:rPr>
          <w:rStyle w:val="Bold"/>
          <w:noProof/>
          <w:lang w:val="pt-BR" w:eastAsia="pt-BR"/>
        </w:rPr>
        <w:lastRenderedPageBreak/>
        <w:drawing>
          <wp:inline distT="0" distB="0" distL="0" distR="0" wp14:anchorId="11DBD8B4" wp14:editId="018A70C8">
            <wp:extent cx="6400800" cy="335661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65" w:rsidRDefault="007B6165" w:rsidP="007B6165">
      <w:pPr>
        <w:rPr>
          <w:b/>
          <w:bCs/>
          <w:lang w:val="pt-BR"/>
        </w:rPr>
      </w:pPr>
    </w:p>
    <w:p w:rsidR="007B6165" w:rsidRDefault="007B6165" w:rsidP="007B6165">
      <w:pPr>
        <w:rPr>
          <w:b/>
          <w:bCs/>
          <w:lang w:val="pt-BR"/>
        </w:rPr>
      </w:pPr>
      <w:r>
        <w:rPr>
          <w:b/>
          <w:bCs/>
          <w:lang w:val="pt-BR"/>
        </w:rPr>
        <w:t>Discordância das Métricas</w:t>
      </w:r>
    </w:p>
    <w:p w:rsidR="007B6165" w:rsidRPr="007B6165" w:rsidRDefault="007B6165" w:rsidP="007B6165">
      <w:pPr>
        <w:rPr>
          <w:lang w:val="pt-BR"/>
        </w:rPr>
      </w:pPr>
      <w:r w:rsidRPr="007B6165">
        <w:rPr>
          <w:lang w:val="pt-BR"/>
        </w:rPr>
        <w:t>Uma parcela relevante dos registros apresenta algum grau de discordância. O perfil mais frequente entre os casos discordantes é o de alunos com IAN baixo (defasagem moderada ou severa) que apresentam IPP razoável. Essa combinação, dificuldade acadêmica evidente mas capacidade psicopedagógica preservada, representa um sinal precoce de potencial: são estudantes que possuem a base cognitiva e afetiva necessária para progredir, mas ainda não converteram esse potencial em desempenho.</w:t>
      </w:r>
    </w:p>
    <w:p w:rsidR="007B6165" w:rsidRPr="007B6165" w:rsidRDefault="007B6165" w:rsidP="007B6165">
      <w:pPr>
        <w:rPr>
          <w:lang w:val="pt-BR"/>
        </w:rPr>
      </w:pPr>
      <w:r w:rsidRPr="007B6165">
        <w:rPr>
          <w:noProof/>
          <w:lang w:val="pt-BR"/>
        </w:rPr>
        <w:lastRenderedPageBreak/>
        <w:drawing>
          <wp:inline distT="0" distB="0" distL="0" distR="0" wp14:anchorId="74E145D4" wp14:editId="51774A93">
            <wp:extent cx="6400800" cy="4444365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65" w:rsidRDefault="007B6165" w:rsidP="007B6165">
      <w:pPr>
        <w:rPr>
          <w:lang w:val="pt-BR"/>
        </w:rPr>
      </w:pPr>
      <w:r w:rsidRPr="007B6165">
        <w:rPr>
          <w:lang w:val="pt-BR"/>
        </w:rPr>
        <w:t>O perfil inverso, IAN adequado com IPP baixo, é menos frequente, mas igualmente relevante: indica alunos que aparentam bom nível curricular, mas cujo vínculo com a aprendizagem merece atenção, pois a fragilidade psicopedagógica pode comprometer a sustentação dos resultados ao longo do tempo.</w:t>
      </w:r>
    </w:p>
    <w:p w:rsidR="007B6165" w:rsidRPr="007B6165" w:rsidRDefault="007B6165" w:rsidP="007B6165">
      <w:pPr>
        <w:rPr>
          <w:b/>
          <w:lang w:val="pt-BR"/>
        </w:rPr>
      </w:pPr>
      <w:r>
        <w:rPr>
          <w:b/>
          <w:lang w:val="pt-BR"/>
        </w:rPr>
        <w:t>Avaliação</w:t>
      </w:r>
      <w:r w:rsidRPr="00445E11">
        <w:rPr>
          <w:b/>
          <w:lang w:val="pt-BR"/>
        </w:rPr>
        <w:t xml:space="preserve"> estratégica.</w:t>
      </w:r>
    </w:p>
    <w:p w:rsidR="00AB63C7" w:rsidRDefault="007B6165" w:rsidP="007B6165">
      <w:pPr>
        <w:rPr>
          <w:lang w:val="pt-BR"/>
        </w:rPr>
      </w:pPr>
      <w:r w:rsidRPr="007B6165">
        <w:rPr>
          <w:lang w:val="pt-BR"/>
        </w:rPr>
        <w:t>A combinação IAN + IPP deve ser utilizada como critério de triagem prioritária</w:t>
      </w:r>
      <w:r w:rsidR="00AB63C7">
        <w:rPr>
          <w:lang w:val="pt-BR"/>
        </w:rPr>
        <w:t>.</w:t>
      </w:r>
    </w:p>
    <w:p w:rsidR="00AB63C7" w:rsidRDefault="007B6165" w:rsidP="007B6165">
      <w:pPr>
        <w:rPr>
          <w:lang w:val="pt-BR"/>
        </w:rPr>
      </w:pPr>
      <w:r w:rsidRPr="007B6165">
        <w:rPr>
          <w:lang w:val="pt-BR"/>
        </w:rPr>
        <w:t>Alunos com IAN baixo e IPP baixo demandam intervenção integral (acadêmica e psicopedagógica).</w:t>
      </w:r>
    </w:p>
    <w:p w:rsidR="007B6165" w:rsidRPr="007B6165" w:rsidRDefault="007B6165" w:rsidP="007B6165">
      <w:pPr>
        <w:rPr>
          <w:lang w:val="pt-BR"/>
        </w:rPr>
      </w:pPr>
      <w:r w:rsidRPr="007B6165">
        <w:rPr>
          <w:lang w:val="pt-BR"/>
        </w:rPr>
        <w:t>Alunos com IAN baixo e IPP alto são candidatos prioritários a programas de aceleração e nivelamento, pois possuem potencial latente a ser desenvolvido. Já alunos com IAN adequado e IPP baixo requerem monitoramento preventivo para sustentação dos resultados ao longo do tempo.</w:t>
      </w:r>
    </w:p>
    <w:p w:rsidR="007B6165" w:rsidRPr="007B6165" w:rsidRDefault="007B6165" w:rsidP="007B6165">
      <w:pPr>
        <w:rPr>
          <w:lang w:val="pt-BR"/>
        </w:rPr>
      </w:pPr>
    </w:p>
    <w:p w:rsidR="007B6165" w:rsidRPr="007B6165" w:rsidRDefault="007B6165" w:rsidP="007B6165">
      <w:pPr>
        <w:rPr>
          <w:lang w:val="pt-BR"/>
        </w:rPr>
      </w:pPr>
    </w:p>
    <w:p w:rsidR="001D4FF6" w:rsidRDefault="001D4FF6" w:rsidP="00E22922">
      <w:pPr>
        <w:rPr>
          <w:lang w:val="pt-BR"/>
        </w:rPr>
      </w:pPr>
    </w:p>
    <w:p w:rsidR="008A3682" w:rsidRDefault="008A3682" w:rsidP="00E22922">
      <w:pPr>
        <w:rPr>
          <w:lang w:val="pt-BR"/>
        </w:rPr>
      </w:pPr>
    </w:p>
    <w:p w:rsidR="001D4FF6" w:rsidRDefault="001D4FF6" w:rsidP="00E22922">
      <w:pPr>
        <w:rPr>
          <w:lang w:val="pt-BR"/>
        </w:rPr>
      </w:pPr>
    </w:p>
    <w:p w:rsidR="001D4FF6" w:rsidRDefault="001D4FF6" w:rsidP="00E22922">
      <w:pPr>
        <w:rPr>
          <w:rStyle w:val="Bold"/>
          <w:lang w:val="pt-BR"/>
        </w:rPr>
      </w:pPr>
      <w:r w:rsidRPr="001D4FF6">
        <w:rPr>
          <w:rStyle w:val="Bold"/>
          <w:lang w:val="pt-BR"/>
        </w:rPr>
        <w:t>7.</w:t>
      </w:r>
      <w:r>
        <w:rPr>
          <w:rStyle w:val="Bold"/>
          <w:lang w:val="pt-BR"/>
        </w:rPr>
        <w:t xml:space="preserve"> </w:t>
      </w:r>
      <w:r w:rsidRPr="001D4FF6">
        <w:rPr>
          <w:rStyle w:val="Bold"/>
          <w:lang w:val="pt-BR"/>
        </w:rPr>
        <w:t>Ponto de virada (IPV): Quais comportamentos - acadêmicos, emocionais ou de engajamento - mais influenciam o IPV ao longo do tempo?</w:t>
      </w:r>
    </w:p>
    <w:p w:rsidR="001D4FF6" w:rsidRPr="001D4FF6" w:rsidRDefault="001D4FF6" w:rsidP="001D4FF6">
      <w:pPr>
        <w:rPr>
          <w:lang w:val="pt-BR"/>
        </w:rPr>
      </w:pPr>
      <w:r w:rsidRPr="001D4FF6">
        <w:rPr>
          <w:lang w:val="pt-BR"/>
        </w:rPr>
        <w:t>O ponto de virada, representado pelo IPV, não é produto de um único fator, mas sim de uma combinação hierárquica de condições, com pesos distintos para cada dimensão.</w:t>
      </w:r>
    </w:p>
    <w:p w:rsidR="001D4FF6" w:rsidRPr="001D4FF6" w:rsidRDefault="001D4FF6" w:rsidP="001D4FF6">
      <w:pPr>
        <w:rPr>
          <w:b/>
          <w:lang w:val="pt-BR"/>
        </w:rPr>
      </w:pPr>
      <w:r w:rsidRPr="001D4FF6">
        <w:rPr>
          <w:b/>
          <w:lang w:val="pt-BR"/>
        </w:rPr>
        <w:t>Avaliação Acadêmica.</w:t>
      </w:r>
    </w:p>
    <w:p w:rsidR="001D4FF6" w:rsidRDefault="001D4FF6" w:rsidP="001D4FF6">
      <w:pPr>
        <w:rPr>
          <w:lang w:val="pt-BR"/>
        </w:rPr>
      </w:pPr>
      <w:r w:rsidRPr="001D4FF6">
        <w:rPr>
          <w:lang w:val="pt-BR"/>
        </w:rPr>
        <w:t>IDA e IEG são os indicadores com associação mais forte ao IPV nos três anos analisados. A trajetória transformacional de um aluno começa, de forma quase invariável, por ganhos concretos de desempenho e engajamento, não por mudanças subjetivas ou psicossociais isoladas.</w:t>
      </w:r>
    </w:p>
    <w:p w:rsidR="001D4FF6" w:rsidRDefault="001D4FF6" w:rsidP="001D4FF6">
      <w:pPr>
        <w:rPr>
          <w:lang w:val="pt-BR"/>
        </w:rPr>
      </w:pPr>
      <w:r w:rsidRPr="001D4FF6">
        <w:rPr>
          <w:lang w:val="pt-BR"/>
        </w:rPr>
        <w:t>Um aluno que passa a tirar notas melhores e a participar com mais consistência da vida escolar está, por definição, aproximando-se do ponto de virada.</w:t>
      </w:r>
    </w:p>
    <w:p w:rsidR="001D4FF6" w:rsidRDefault="001D4FF6" w:rsidP="001D4FF6">
      <w:pPr>
        <w:rPr>
          <w:lang w:val="pt-BR"/>
        </w:rPr>
      </w:pPr>
      <w:r w:rsidRPr="001D4FF6">
        <w:rPr>
          <w:lang w:val="pt-BR"/>
        </w:rPr>
        <w:t>A diferença entre os grupos de Alto IPV e Baixo IPV é consistente e expressiva nos três anos, com IDA e IEG significativamente maiores no grupo de alto IPV.</w:t>
      </w:r>
    </w:p>
    <w:p w:rsidR="00780305" w:rsidRPr="001D4FF6" w:rsidRDefault="00780305" w:rsidP="001D4FF6">
      <w:pPr>
        <w:rPr>
          <w:lang w:val="pt-BR"/>
        </w:rPr>
      </w:pPr>
      <w:r w:rsidRPr="00780305">
        <w:rPr>
          <w:noProof/>
          <w:lang w:val="pt-BR"/>
        </w:rPr>
        <w:drawing>
          <wp:inline distT="0" distB="0" distL="0" distR="0" wp14:anchorId="7AAAF64A" wp14:editId="14A2DA35">
            <wp:extent cx="6400800" cy="376047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6F" w:rsidRDefault="000D426F" w:rsidP="001D4FF6">
      <w:pPr>
        <w:rPr>
          <w:b/>
          <w:lang w:val="pt-BR"/>
        </w:rPr>
      </w:pPr>
    </w:p>
    <w:p w:rsidR="001D4FF6" w:rsidRDefault="001D4FF6" w:rsidP="001D4FF6">
      <w:pPr>
        <w:rPr>
          <w:b/>
          <w:lang w:val="pt-BR"/>
        </w:rPr>
      </w:pPr>
      <w:r w:rsidRPr="001D4FF6">
        <w:rPr>
          <w:b/>
          <w:lang w:val="pt-BR"/>
        </w:rPr>
        <w:lastRenderedPageBreak/>
        <w:t>O nível de adequação como alavanca.</w:t>
      </w:r>
    </w:p>
    <w:p w:rsidR="000D426F" w:rsidRPr="001D4FF6" w:rsidRDefault="000D426F" w:rsidP="001D4FF6">
      <w:pPr>
        <w:rPr>
          <w:b/>
          <w:lang w:val="pt-BR"/>
        </w:rPr>
      </w:pPr>
      <w:r w:rsidRPr="000D426F">
        <w:rPr>
          <w:b/>
          <w:noProof/>
          <w:lang w:val="pt-BR"/>
        </w:rPr>
        <w:drawing>
          <wp:inline distT="0" distB="0" distL="0" distR="0" wp14:anchorId="60B3F5E2" wp14:editId="0EC2F398">
            <wp:extent cx="6400800" cy="3632200"/>
            <wp:effectExtent l="0" t="0" r="0" b="635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F6" w:rsidRDefault="001D4FF6" w:rsidP="001D4FF6">
      <w:pPr>
        <w:rPr>
          <w:lang w:val="pt-BR"/>
        </w:rPr>
      </w:pPr>
      <w:r w:rsidRPr="001D4FF6">
        <w:rPr>
          <w:lang w:val="pt-BR"/>
        </w:rPr>
        <w:t>O IAN, que mede o quanto o aluno está alinhado com o nível esperado para sua fase, também se destaca como diferenciador relevante.</w:t>
      </w:r>
    </w:p>
    <w:p w:rsidR="001D4FF6" w:rsidRPr="001D4FF6" w:rsidRDefault="001D4FF6" w:rsidP="001D4FF6">
      <w:pPr>
        <w:rPr>
          <w:lang w:val="pt-BR"/>
        </w:rPr>
      </w:pPr>
      <w:r w:rsidRPr="001D4FF6">
        <w:rPr>
          <w:lang w:val="pt-BR"/>
        </w:rPr>
        <w:t>A superação de uma defasagem curricular parece funcionar como um catalisador: uma vez que o aluno deixa de lutar contra o déficit acumulado, os demais indicadores tendem a se mover juntos na direção positiva.Isso coloca o nivelamento curricular no centro das estratégias de intervenção.</w:t>
      </w: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1D4FF6" w:rsidRDefault="001D4FF6" w:rsidP="001D4FF6">
      <w:pPr>
        <w:rPr>
          <w:b/>
          <w:lang w:val="pt-BR"/>
        </w:rPr>
      </w:pPr>
      <w:r w:rsidRPr="001D4FF6">
        <w:rPr>
          <w:b/>
          <w:lang w:val="pt-BR"/>
        </w:rPr>
        <w:lastRenderedPageBreak/>
        <w:t>IPP e IPS como condições de base.</w:t>
      </w:r>
    </w:p>
    <w:p w:rsidR="000D426F" w:rsidRPr="001D4FF6" w:rsidRDefault="000D426F" w:rsidP="001D4FF6">
      <w:pPr>
        <w:rPr>
          <w:b/>
          <w:lang w:val="pt-BR"/>
        </w:rPr>
      </w:pPr>
      <w:r w:rsidRPr="000D426F">
        <w:rPr>
          <w:b/>
          <w:noProof/>
          <w:lang w:val="pt-BR"/>
        </w:rPr>
        <w:drawing>
          <wp:inline distT="0" distB="0" distL="0" distR="0" wp14:anchorId="31F52E44" wp14:editId="7F6ADB6E">
            <wp:extent cx="6400800" cy="2347595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F6" w:rsidRDefault="001D4FF6" w:rsidP="001D4FF6">
      <w:pPr>
        <w:rPr>
          <w:lang w:val="pt-BR"/>
        </w:rPr>
      </w:pPr>
      <w:r w:rsidRPr="001D4FF6">
        <w:rPr>
          <w:lang w:val="pt-BR"/>
        </w:rPr>
        <w:t>As dimensões psicopedagógica e psicossocial contribuem para o IPV, mas de forma mais moderada. Elas funcionam como pré-condições facilitadoras: um ambiente emocional estável (IPS) e um vínculo saudável com a aprendizagem (IPP) criam o solo fértil para que a virada aconteça.</w:t>
      </w:r>
    </w:p>
    <w:p w:rsidR="001D4FF6" w:rsidRPr="001D4FF6" w:rsidRDefault="001D4FF6" w:rsidP="001D4FF6">
      <w:pPr>
        <w:rPr>
          <w:lang w:val="pt-BR"/>
        </w:rPr>
      </w:pPr>
      <w:r w:rsidRPr="001D4FF6">
        <w:rPr>
          <w:lang w:val="pt-BR"/>
        </w:rPr>
        <w:t>Mas, sem o componente acadêmico (IDA e IEG), essas condições sozinhas não são suficientes para gerar transformação.</w:t>
      </w:r>
    </w:p>
    <w:p w:rsidR="001D4FF6" w:rsidRPr="001D4FF6" w:rsidRDefault="001D4FF6" w:rsidP="001D4FF6">
      <w:pPr>
        <w:rPr>
          <w:b/>
          <w:lang w:val="pt-BR"/>
        </w:rPr>
      </w:pPr>
      <w:r w:rsidRPr="001D4FF6">
        <w:rPr>
          <w:b/>
          <w:lang w:val="pt-BR"/>
        </w:rPr>
        <w:t>IAA como indicador periférico.</w:t>
      </w:r>
    </w:p>
    <w:p w:rsidR="001D4FF6" w:rsidRDefault="001D4FF6" w:rsidP="001D4FF6">
      <w:pPr>
        <w:rPr>
          <w:lang w:val="pt-BR"/>
        </w:rPr>
      </w:pPr>
      <w:r w:rsidRPr="001D4FF6">
        <w:rPr>
          <w:lang w:val="pt-BR"/>
        </w:rPr>
        <w:t>A autoavaliação mostra a menor associação com o IPV.</w:t>
      </w:r>
    </w:p>
    <w:p w:rsidR="001D4FF6" w:rsidRPr="001D4FF6" w:rsidRDefault="001D4FF6" w:rsidP="001D4FF6">
      <w:pPr>
        <w:rPr>
          <w:lang w:val="pt-BR"/>
        </w:rPr>
      </w:pPr>
      <w:r w:rsidRPr="001D4FF6">
        <w:rPr>
          <w:lang w:val="pt-BR"/>
        </w:rPr>
        <w:t>Isso é coerente com o que foi observado na análise da Pergunta 4: a maioria dos alunos superestima seu desempenho, e essa percepção distorcida não impede, nem garante, que o ponto de virada ocorra. O IPV é determinado por comportamentos observáveis, não por percepções subjetivas.</w:t>
      </w:r>
    </w:p>
    <w:p w:rsidR="001D4FF6" w:rsidRPr="001D4FF6" w:rsidRDefault="001D4FF6" w:rsidP="001D4FF6">
      <w:pPr>
        <w:rPr>
          <w:b/>
          <w:lang w:val="pt-BR"/>
        </w:rPr>
      </w:pPr>
      <w:r>
        <w:rPr>
          <w:b/>
          <w:lang w:val="pt-BR"/>
        </w:rPr>
        <w:t>Avaliação</w:t>
      </w:r>
      <w:r w:rsidRPr="001D4FF6">
        <w:rPr>
          <w:b/>
          <w:lang w:val="pt-BR"/>
        </w:rPr>
        <w:t xml:space="preserve"> estratégica.</w:t>
      </w:r>
    </w:p>
    <w:p w:rsidR="000D426F" w:rsidRDefault="001D4FF6" w:rsidP="001D4FF6">
      <w:pPr>
        <w:rPr>
          <w:lang w:val="pt-BR"/>
        </w:rPr>
      </w:pPr>
      <w:r w:rsidRPr="001D4FF6">
        <w:rPr>
          <w:lang w:val="pt-BR"/>
        </w:rPr>
        <w:t>A sequência de intervenção mais eficaz para elevar o IPV deve ser: primeiro, estabilizar as condições psicossociais (IPS), criando base segura para que o aluno possa se engajar; segundo, atacar a defasagem curricular (IAN), removendo a principal barreira estrutural; terceiro, ampliar o engajamento (IEG), fortalecendo a presença, a participação e a conexão com a escola; e quarto, solidificar o desempenho (IDA), convertendo engajamento em resultado acadêmico mensurável.</w:t>
      </w:r>
    </w:p>
    <w:p w:rsidR="001D4FF6" w:rsidRDefault="001D4FF6" w:rsidP="001D4FF6">
      <w:pPr>
        <w:rPr>
          <w:lang w:val="pt-BR"/>
        </w:rPr>
      </w:pPr>
      <w:r w:rsidRPr="001D4FF6">
        <w:rPr>
          <w:lang w:val="pt-BR"/>
        </w:rPr>
        <w:t>Essa cadeia, do bem-estar ao nivelamento, do nivelamento ao engajamento, do engajamento ao desempenho, é o mapa do ponto de virada.</w:t>
      </w:r>
    </w:p>
    <w:p w:rsidR="001D4FF6" w:rsidRDefault="001D4FF6" w:rsidP="001D4FF6">
      <w:pPr>
        <w:rPr>
          <w:lang w:val="pt-BR"/>
        </w:rPr>
      </w:pPr>
    </w:p>
    <w:p w:rsidR="001D4FF6" w:rsidRDefault="001D4FF6" w:rsidP="001D4FF6">
      <w:pPr>
        <w:rPr>
          <w:rStyle w:val="Bold"/>
          <w:lang w:val="pt-BR"/>
        </w:rPr>
      </w:pPr>
      <w:r w:rsidRPr="001D4FF6">
        <w:rPr>
          <w:rStyle w:val="Bold"/>
          <w:lang w:val="pt-BR"/>
        </w:rPr>
        <w:lastRenderedPageBreak/>
        <w:t>8</w:t>
      </w:r>
      <w:r>
        <w:rPr>
          <w:rStyle w:val="Bold"/>
          <w:lang w:val="pt-BR"/>
        </w:rPr>
        <w:t xml:space="preserve">. </w:t>
      </w:r>
      <w:r w:rsidRPr="001D4FF6">
        <w:rPr>
          <w:rStyle w:val="Bold"/>
          <w:lang w:val="pt-BR"/>
        </w:rPr>
        <w:t>Multidimensionalidade dos indicadores: Quais combinações de indicadores (IDA + IEG + IPS + IPP) elevam mais a nota global do aluno (INDE)?</w:t>
      </w:r>
    </w:p>
    <w:p w:rsidR="001D4FF6" w:rsidRPr="001D4FF6" w:rsidRDefault="001D4FF6" w:rsidP="001D4FF6">
      <w:pPr>
        <w:rPr>
          <w:lang w:val="pt-BR"/>
        </w:rPr>
      </w:pPr>
      <w:r w:rsidRPr="001D4FF6">
        <w:rPr>
          <w:lang w:val="pt-BR"/>
        </w:rPr>
        <w:t>A análise da relação entre os indicadores compostos (IDA, IEG, IPS e IPP) e o INDE revela uma hierarquia clara de influência e confirma que a nota global do programa não é determinada por um fator isolado, mas por combinações específicas de dimensões.</w:t>
      </w:r>
    </w:p>
    <w:p w:rsidR="001D4FF6" w:rsidRDefault="001D4FF6" w:rsidP="001D4FF6">
      <w:pPr>
        <w:rPr>
          <w:b/>
          <w:lang w:val="pt-BR"/>
        </w:rPr>
      </w:pPr>
      <w:r w:rsidRPr="001D4FF6">
        <w:rPr>
          <w:b/>
          <w:lang w:val="pt-BR"/>
        </w:rPr>
        <w:t>Hierarquia dos indicadores (2024, n=1.054)</w:t>
      </w:r>
    </w:p>
    <w:p w:rsidR="000D426F" w:rsidRPr="001D4FF6" w:rsidRDefault="000D426F" w:rsidP="001D4FF6">
      <w:pPr>
        <w:rPr>
          <w:b/>
          <w:lang w:val="pt-BR"/>
        </w:rPr>
      </w:pPr>
      <w:r w:rsidRPr="000D426F">
        <w:rPr>
          <w:b/>
          <w:noProof/>
          <w:lang w:val="pt-BR"/>
        </w:rPr>
        <w:drawing>
          <wp:inline distT="0" distB="0" distL="0" distR="0" wp14:anchorId="7EB689E3" wp14:editId="21C74E9E">
            <wp:extent cx="6400800" cy="3096260"/>
            <wp:effectExtent l="0" t="0" r="0" b="889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82" w:rsidRDefault="001D4FF6" w:rsidP="001D4FF6">
      <w:pPr>
        <w:rPr>
          <w:lang w:val="pt-BR"/>
        </w:rPr>
      </w:pPr>
      <w:r w:rsidRPr="001D4FF6">
        <w:rPr>
          <w:lang w:val="pt-BR"/>
        </w:rPr>
        <w:t>O IDA, Desenvolvimento Acadêmico, lidera com relação muito forte ao INDE (r=0,80), seguido de perto pelo IEG, Engajamento, com r=0,79.</w:t>
      </w:r>
    </w:p>
    <w:p w:rsidR="008A3682" w:rsidRDefault="001D4FF6" w:rsidP="001D4FF6">
      <w:pPr>
        <w:rPr>
          <w:lang w:val="pt-BR"/>
        </w:rPr>
      </w:pPr>
      <w:r w:rsidRPr="001D4FF6">
        <w:rPr>
          <w:lang w:val="pt-BR"/>
        </w:rPr>
        <w:t>O IPP, Avaliação Psicopedagógica, contribui com relação forte (r=0,64). O IPS, Suporte Socioeconômico, apresenta relação fraca (r=0,23), funcionando como pré-condição, não como motor de desempenho.</w:t>
      </w:r>
    </w:p>
    <w:p w:rsidR="001D4FF6" w:rsidRPr="001D4FF6" w:rsidRDefault="001D4FF6" w:rsidP="001D4FF6">
      <w:pPr>
        <w:rPr>
          <w:lang w:val="pt-BR"/>
        </w:rPr>
      </w:pPr>
      <w:r w:rsidRPr="001D4FF6">
        <w:rPr>
          <w:lang w:val="pt-BR"/>
        </w:rPr>
        <w:t>IDA e IEG dominam com folga, estando no mesmo patamar e bem à frente dos demais.</w:t>
      </w:r>
    </w:p>
    <w:p w:rsidR="001D4FF6" w:rsidRDefault="001D4FF6" w:rsidP="001D4FF6">
      <w:pPr>
        <w:rPr>
          <w:b/>
          <w:lang w:val="pt-BR"/>
        </w:rPr>
      </w:pPr>
      <w:r w:rsidRPr="001D4FF6">
        <w:rPr>
          <w:b/>
          <w:lang w:val="pt-BR"/>
        </w:rPr>
        <w:t>O efeito cumulativo dos indicadores.</w:t>
      </w:r>
    </w:p>
    <w:p w:rsidR="000D426F" w:rsidRPr="001D4FF6" w:rsidRDefault="000D426F" w:rsidP="001D4FF6">
      <w:pPr>
        <w:rPr>
          <w:b/>
          <w:lang w:val="pt-BR"/>
        </w:rPr>
      </w:pPr>
      <w:r w:rsidRPr="000D426F">
        <w:rPr>
          <w:b/>
          <w:noProof/>
          <w:lang w:val="pt-BR"/>
        </w:rPr>
        <w:lastRenderedPageBreak/>
        <w:drawing>
          <wp:inline distT="0" distB="0" distL="0" distR="0" wp14:anchorId="47BDCF1E" wp14:editId="57352106">
            <wp:extent cx="6400800" cy="3322955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82" w:rsidRDefault="001D4FF6" w:rsidP="001D4FF6">
      <w:pPr>
        <w:rPr>
          <w:lang w:val="pt-BR"/>
        </w:rPr>
      </w:pPr>
      <w:r w:rsidRPr="001D4FF6">
        <w:rPr>
          <w:lang w:val="pt-BR"/>
        </w:rPr>
        <w:t>O INDE sobe progressivamente à medida que mais indicadores ficam acima da mediana. Alunos sem nenhum indicador acima da mediana registraram INDE médio de 5,95 (zona de alerta).</w:t>
      </w:r>
    </w:p>
    <w:p w:rsidR="008A3682" w:rsidRPr="008A3682" w:rsidRDefault="001D4FF6" w:rsidP="00A27E86">
      <w:pPr>
        <w:pStyle w:val="ListParagraph"/>
        <w:numPr>
          <w:ilvl w:val="0"/>
          <w:numId w:val="11"/>
        </w:numPr>
        <w:rPr>
          <w:lang w:val="pt-BR"/>
        </w:rPr>
      </w:pPr>
      <w:r w:rsidRPr="008A3682">
        <w:rPr>
          <w:lang w:val="pt-BR"/>
        </w:rPr>
        <w:t>Com 1 de 4 indicadores acima, o INDE subiu para 6,53. Com 2 de 4, chegou a 7,16.</w:t>
      </w:r>
    </w:p>
    <w:p w:rsidR="008A3682" w:rsidRPr="008A3682" w:rsidRDefault="001D4FF6" w:rsidP="00A27E86">
      <w:pPr>
        <w:pStyle w:val="ListParagraph"/>
        <w:numPr>
          <w:ilvl w:val="0"/>
          <w:numId w:val="11"/>
        </w:numPr>
        <w:rPr>
          <w:lang w:val="pt-BR"/>
        </w:rPr>
      </w:pPr>
      <w:r w:rsidRPr="008A3682">
        <w:rPr>
          <w:lang w:val="pt-BR"/>
        </w:rPr>
        <w:t>Com 3 de 4, atingiu 8,01, o momento em que o aluno cruza da faixa intermediária para a de alto desempenho.</w:t>
      </w:r>
    </w:p>
    <w:p w:rsidR="008A3682" w:rsidRPr="008A3682" w:rsidRDefault="001D4FF6" w:rsidP="00A27E86">
      <w:pPr>
        <w:pStyle w:val="ListParagraph"/>
        <w:numPr>
          <w:ilvl w:val="0"/>
          <w:numId w:val="11"/>
        </w:numPr>
        <w:rPr>
          <w:lang w:val="pt-BR"/>
        </w:rPr>
      </w:pPr>
      <w:r w:rsidRPr="008A3682">
        <w:rPr>
          <w:lang w:val="pt-BR"/>
        </w:rPr>
        <w:t>Com todos os 4 indicadores acima da mediana, o INDE médio chegou a 8,40.</w:t>
      </w:r>
    </w:p>
    <w:p w:rsidR="001D4FF6" w:rsidRPr="001D4FF6" w:rsidRDefault="001D4FF6" w:rsidP="001D4FF6">
      <w:pPr>
        <w:rPr>
          <w:lang w:val="pt-BR"/>
        </w:rPr>
      </w:pPr>
      <w:r w:rsidRPr="001D4FF6">
        <w:rPr>
          <w:lang w:val="pt-BR"/>
        </w:rPr>
        <w:t>A diferença total de 2,45 pontos entre o perfil mais fraco e o mais forte mostra que a combinação de indicadores importa tanto quanto cada um individualmente.</w:t>
      </w: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0D426F" w:rsidRDefault="000D426F" w:rsidP="001D4FF6">
      <w:pPr>
        <w:rPr>
          <w:b/>
          <w:lang w:val="pt-BR"/>
        </w:rPr>
      </w:pPr>
    </w:p>
    <w:p w:rsidR="001D4FF6" w:rsidRDefault="001D4FF6" w:rsidP="001D4FF6">
      <w:pPr>
        <w:rPr>
          <w:b/>
          <w:lang w:val="pt-BR"/>
        </w:rPr>
      </w:pPr>
      <w:r w:rsidRPr="001D4FF6">
        <w:rPr>
          <w:b/>
          <w:lang w:val="pt-BR"/>
        </w:rPr>
        <w:lastRenderedPageBreak/>
        <w:t>Perfis críticos.</w:t>
      </w:r>
    </w:p>
    <w:p w:rsidR="000D426F" w:rsidRPr="001D4FF6" w:rsidRDefault="000D426F" w:rsidP="001D4FF6">
      <w:pPr>
        <w:rPr>
          <w:b/>
          <w:lang w:val="pt-BR"/>
        </w:rPr>
      </w:pPr>
      <w:r w:rsidRPr="000D426F">
        <w:rPr>
          <w:b/>
          <w:noProof/>
          <w:lang w:val="pt-BR"/>
        </w:rPr>
        <w:drawing>
          <wp:inline distT="0" distB="0" distL="0" distR="0" wp14:anchorId="70A29F34" wp14:editId="1EDD09DC">
            <wp:extent cx="6400800" cy="3039110"/>
            <wp:effectExtent l="0" t="0" r="0" b="889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82" w:rsidRDefault="001D4FF6" w:rsidP="001D4FF6">
      <w:pPr>
        <w:rPr>
          <w:lang w:val="pt-BR"/>
        </w:rPr>
      </w:pPr>
      <w:r w:rsidRPr="001D4FF6">
        <w:rPr>
          <w:lang w:val="pt-BR"/>
        </w:rPr>
        <w:t>Os 5 melhores perfis têm IDA e IEG quase sempre acima da mediana; nos 5 piores, estão sem exceção abaixo.</w:t>
      </w:r>
    </w:p>
    <w:p w:rsidR="000D426F" w:rsidRDefault="001D4FF6" w:rsidP="001D4FF6">
      <w:pPr>
        <w:rPr>
          <w:lang w:val="pt-BR"/>
        </w:rPr>
      </w:pPr>
      <w:r w:rsidRPr="001D4FF6">
        <w:rPr>
          <w:lang w:val="pt-BR"/>
        </w:rPr>
        <w:t>Um resultado revelador: alunos com IDA e IEG acima da mediana, mas com IPS abaixo, atingiram INDE de 8,32, quase igual ao perfil completo (8,40).</w:t>
      </w:r>
    </w:p>
    <w:p w:rsidR="000D426F" w:rsidRDefault="001D4FF6" w:rsidP="001D4FF6">
      <w:pPr>
        <w:rPr>
          <w:lang w:val="pt-BR"/>
        </w:rPr>
      </w:pPr>
      <w:r w:rsidRPr="001D4FF6">
        <w:rPr>
          <w:lang w:val="pt-BR"/>
        </w:rPr>
        <w:t>Em contrapartida, 100 alunos com IPS e IPP acima da mediana mas IDA e IEG abaixo registraram INDE médio de apenas 6,79, abaixo da mediana geral.</w:t>
      </w:r>
    </w:p>
    <w:p w:rsidR="001D4FF6" w:rsidRPr="001D4FF6" w:rsidRDefault="000D426F" w:rsidP="001D4FF6">
      <w:pPr>
        <w:rPr>
          <w:lang w:val="pt-BR"/>
        </w:rPr>
      </w:pPr>
      <w:r>
        <w:rPr>
          <w:lang w:val="pt-BR"/>
        </w:rPr>
        <w:t>Com isso, concluímos que o</w:t>
      </w:r>
      <w:r w:rsidR="001D4FF6" w:rsidRPr="001D4FF6">
        <w:rPr>
          <w:lang w:val="pt-BR"/>
        </w:rPr>
        <w:t xml:space="preserve"> IPS e IPP não compensam a ausência de IDA e IEG.</w:t>
      </w:r>
    </w:p>
    <w:p w:rsidR="001D4FF6" w:rsidRPr="001D4FF6" w:rsidRDefault="001D4FF6" w:rsidP="001D4FF6">
      <w:pPr>
        <w:rPr>
          <w:b/>
          <w:lang w:val="pt-BR"/>
        </w:rPr>
      </w:pPr>
      <w:r>
        <w:rPr>
          <w:b/>
          <w:lang w:val="pt-BR"/>
        </w:rPr>
        <w:t>Avaliação</w:t>
      </w:r>
      <w:r w:rsidRPr="001D4FF6">
        <w:rPr>
          <w:b/>
          <w:lang w:val="pt-BR"/>
        </w:rPr>
        <w:t xml:space="preserve"> estratégica.</w:t>
      </w:r>
    </w:p>
    <w:p w:rsidR="000D426F" w:rsidRDefault="001D4FF6" w:rsidP="001D4FF6">
      <w:pPr>
        <w:rPr>
          <w:lang w:val="pt-BR"/>
        </w:rPr>
      </w:pPr>
      <w:r w:rsidRPr="001D4FF6">
        <w:rPr>
          <w:lang w:val="pt-BR"/>
        </w:rPr>
        <w:t>O INDE sobe +2,45 pontos ao passar do perfil mais fraco para o mais forte. O efeito é cumulativo, com o maior salto ocorrendo ao ativar o 3º indicador (+0,85 ponto).</w:t>
      </w:r>
    </w:p>
    <w:p w:rsidR="001D4FF6" w:rsidRDefault="001D4FF6" w:rsidP="001D4FF6">
      <w:pPr>
        <w:rPr>
          <w:lang w:val="pt-BR"/>
        </w:rPr>
      </w:pPr>
      <w:r w:rsidRPr="001D4FF6">
        <w:rPr>
          <w:lang w:val="pt-BR"/>
        </w:rPr>
        <w:t>A combinação que mais alavanca o INDE é IDA + IEG + IPP, alcançar esses três eixos é suficiente para colocar o aluno no grupo de alto desempenho. O IPS é a única dimensão que não move o INDE de forma direta: ele precisa estar presente, mas sua ausência não impede o aluno de atingir nota alta quando os demais pilares estão sólidos.</w:t>
      </w:r>
    </w:p>
    <w:p w:rsidR="000D426F" w:rsidRPr="001D4FF6" w:rsidRDefault="000D426F" w:rsidP="001D4FF6">
      <w:pPr>
        <w:rPr>
          <w:lang w:val="pt-BR"/>
        </w:rPr>
      </w:pPr>
    </w:p>
    <w:p w:rsidR="001D4FF6" w:rsidRDefault="006409FA" w:rsidP="001D4FF6">
      <w:pPr>
        <w:rPr>
          <w:rStyle w:val="Bold"/>
          <w:lang w:val="pt-BR"/>
        </w:rPr>
      </w:pPr>
      <w:r w:rsidRPr="006409FA">
        <w:rPr>
          <w:rStyle w:val="Bold"/>
          <w:lang w:val="pt-BR"/>
        </w:rPr>
        <w:t>9. Previsão de risco com Machine Learning: Quais padrões nos indicadores permitem identificar alunos em risco antes de queda no desempenho ou aumento da defasagem?</w:t>
      </w:r>
    </w:p>
    <w:p w:rsidR="006409FA" w:rsidRPr="006409FA" w:rsidRDefault="006409FA" w:rsidP="001D4FF6">
      <w:pPr>
        <w:rPr>
          <w:rStyle w:val="Bold"/>
          <w:lang w:val="pt-BR"/>
        </w:rPr>
      </w:pPr>
    </w:p>
    <w:p w:rsidR="003269F3" w:rsidRDefault="003269F3" w:rsidP="003269F3">
      <w:pPr>
        <w:rPr>
          <w:rStyle w:val="Bold"/>
          <w:b w:val="0"/>
          <w:lang w:val="pt-BR" w:eastAsia="pt-BR"/>
        </w:rPr>
      </w:pPr>
      <w:r w:rsidRPr="003269F3">
        <w:rPr>
          <w:rStyle w:val="Bold"/>
          <w:b w:val="0"/>
          <w:lang w:val="pt-BR" w:eastAsia="pt-BR"/>
        </w:rPr>
        <w:lastRenderedPageBreak/>
        <w:t>Um modelo de Gradient Boosting foi desenvolvido para identificar alunos com maior probabilidade de defasagem antes que a queda ocorra. Treinado com dados longitudinais de 1.156 alunos (2020–2024), o sistema combina indicadores históricos e atuais para emitir alertas preventivos por aluno, e está disponível no painel Streamlit do programa.</w:t>
      </w:r>
    </w:p>
    <w:p w:rsidR="003269F3" w:rsidRDefault="003269F3" w:rsidP="003269F3">
      <w:pPr>
        <w:keepNext/>
      </w:pPr>
      <w:r w:rsidRPr="003269F3">
        <w:rPr>
          <w:rStyle w:val="Bold"/>
          <w:b w:val="0"/>
          <w:noProof/>
          <w:lang w:val="pt-BR" w:eastAsia="pt-BR"/>
        </w:rPr>
        <w:drawing>
          <wp:inline distT="0" distB="0" distL="0" distR="0" wp14:anchorId="6D81554E" wp14:editId="3462063D">
            <wp:extent cx="6400800" cy="2466304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47301" cy="24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9F3" w:rsidRPr="003269F3" w:rsidRDefault="003269F3" w:rsidP="003269F3">
      <w:pPr>
        <w:pStyle w:val="Caption"/>
        <w:jc w:val="center"/>
        <w:rPr>
          <w:rStyle w:val="Bold"/>
          <w:b w:val="0"/>
          <w:lang w:val="pt-BR" w:eastAsia="pt-BR"/>
        </w:rPr>
      </w:pPr>
      <w:r w:rsidRPr="003269F3">
        <w:rPr>
          <w:lang w:val="pt-BR"/>
        </w:rPr>
        <w:t xml:space="preserve">Figura </w:t>
      </w:r>
      <w:r>
        <w:fldChar w:fldCharType="begin"/>
      </w:r>
      <w:r w:rsidRPr="003269F3">
        <w:rPr>
          <w:lang w:val="pt-BR"/>
        </w:rPr>
        <w:instrText xml:space="preserve"> SEQ Figura \* ARABIC </w:instrText>
      </w:r>
      <w:r>
        <w:fldChar w:fldCharType="separate"/>
      </w:r>
      <w:r w:rsidRPr="003269F3">
        <w:rPr>
          <w:noProof/>
          <w:lang w:val="pt-BR"/>
        </w:rPr>
        <w:t>9</w:t>
      </w:r>
      <w:r>
        <w:fldChar w:fldCharType="end"/>
      </w:r>
      <w:r w:rsidRPr="003269F3">
        <w:rPr>
          <w:lang w:val="pt-BR"/>
        </w:rPr>
        <w:t xml:space="preserve"> - Análise de Importância de Features no Modelo</w:t>
      </w:r>
    </w:p>
    <w:p w:rsid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>A variável mais preditiva é o IDA histórico do ano anterior (IDA_2023), seguido pelas notas de Matemática (NOTA_MAT) e pela média das notas das três disciplinas (MEDIA_NOTAS).</w:t>
      </w:r>
    </w:p>
    <w:p w:rsid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>Esse resultado revela um padrão: o desempenho acadêmico recente é o melhor preditor de risco no ciclo seguinte. O modelo captura trajetórias, não apenas estados pontuais</w:t>
      </w:r>
      <w:r>
        <w:rPr>
          <w:lang w:val="pt-BR" w:eastAsia="pt-BR"/>
        </w:rPr>
        <w:t>,</w:t>
      </w:r>
      <w:r w:rsidRPr="003269F3">
        <w:rPr>
          <w:lang w:val="pt-BR" w:eastAsia="pt-BR"/>
        </w:rPr>
        <w:t xml:space="preserve"> o histórico de classificação pedagógica (Pedras de 2022 e 2023) também contribui de forma relevante, mostrando que o movimento entre fases do programa carrega informação preditiva sobre o futuro do aluno.</w:t>
      </w: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</w:p>
    <w:p w:rsidR="003269F3" w:rsidRDefault="003269F3" w:rsidP="003269F3">
      <w:pPr>
        <w:rPr>
          <w:b/>
          <w:lang w:val="pt-BR" w:eastAsia="pt-BR"/>
        </w:rPr>
      </w:pPr>
      <w:r w:rsidRPr="003269F3">
        <w:rPr>
          <w:b/>
          <w:lang w:val="pt-BR" w:eastAsia="pt-BR"/>
        </w:rPr>
        <w:lastRenderedPageBreak/>
        <w:t>O perfil do aluno em risco.</w:t>
      </w:r>
    </w:p>
    <w:p w:rsidR="003269F3" w:rsidRPr="003269F3" w:rsidRDefault="003269F3" w:rsidP="003269F3">
      <w:pPr>
        <w:rPr>
          <w:b/>
          <w:lang w:val="pt-BR" w:eastAsia="pt-BR"/>
        </w:rPr>
      </w:pPr>
      <w:r w:rsidRPr="003269F3">
        <w:rPr>
          <w:b/>
          <w:noProof/>
          <w:lang w:val="pt-BR" w:eastAsia="pt-BR"/>
        </w:rPr>
        <w:drawing>
          <wp:inline distT="0" distB="0" distL="0" distR="0" wp14:anchorId="1C9E7483" wp14:editId="3D9AA1C8">
            <wp:extent cx="6400800" cy="3268980"/>
            <wp:effectExtent l="0" t="0" r="0" b="762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>Os testes estatísticos confirmam diferenças significativas entre os dois grupos em todas as variáveis-chave (p &lt; 0,001). O maior contraste está no IAN_2023: alunos em risco têm IAN médio de 6,3, contra 8,1 dos alunos sem risco</w:t>
      </w:r>
      <w:r>
        <w:rPr>
          <w:lang w:val="pt-BR" w:eastAsia="pt-BR"/>
        </w:rPr>
        <w:t>,</w:t>
      </w:r>
      <w:r w:rsidRPr="003269F3">
        <w:rPr>
          <w:lang w:val="pt-BR" w:eastAsia="pt-BR"/>
        </w:rPr>
        <w:t xml:space="preserve"> uma diferença de 1,8 ponto, a maior de toda a análise.</w:t>
      </w:r>
    </w:p>
    <w:p w:rsid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>O IPP_2023 separa os grupos em 0,9 ponto (7,1 versus 8,0), sinalizando que a dimensão psicopedagógica é o segundo maior marcador de risco. O tempo no programa também diverge: alunos em risco têm em média 1,1 ano de programa contra 1,8 dos alunos sem risco, indicando que estudantes mais recentes apresentam vulnerabilidade maior.</w:t>
      </w:r>
    </w:p>
    <w:p w:rsid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>Um dado contraintuitivo: alunos em risco registraram mais avaliações (3,2 versus 2,8), o que pode refletir maior variabilidade de trajetória ou acompanhamento intensificado após primeiros sinais.</w:t>
      </w:r>
    </w:p>
    <w:p w:rsidR="003269F3" w:rsidRPr="003269F3" w:rsidRDefault="003269F3" w:rsidP="003269F3">
      <w:pPr>
        <w:rPr>
          <w:b/>
          <w:lang w:val="pt-BR" w:eastAsia="pt-BR"/>
        </w:rPr>
      </w:pPr>
      <w:r w:rsidRPr="003269F3">
        <w:rPr>
          <w:b/>
          <w:lang w:val="pt-BR" w:eastAsia="pt-BR"/>
        </w:rPr>
        <w:t>Avaliação das Pedras</w:t>
      </w:r>
    </w:p>
    <w:p w:rsid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 xml:space="preserve">Mesmo entre alunos classificados como Topázio em 2023, a taxa de risco de defasagem chega a 31,6% (n=187). Entre os da Ametista, sobe para 35,4% (n=308). </w:t>
      </w:r>
    </w:p>
    <w:p w:rsidR="003269F3" w:rsidRP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>Esse dado desmonta a ideia de que o nível atual é garantia de segurança futura: a queda pode ocorrer em qualquer faixa do programa, o que impõe monitoramento contínuo independentemente da classificação vigente. A fase do programa é um ponto de partida para intervir, não um ponto de chegada que dispensa atenção.</w:t>
      </w:r>
    </w:p>
    <w:p w:rsidR="003269F3" w:rsidRPr="003269F3" w:rsidRDefault="003269F3" w:rsidP="003269F3">
      <w:pPr>
        <w:rPr>
          <w:lang w:val="pt-BR" w:eastAsia="pt-BR"/>
        </w:rPr>
      </w:pPr>
    </w:p>
    <w:p w:rsidR="003269F3" w:rsidRPr="003269F3" w:rsidRDefault="003269F3" w:rsidP="003269F3">
      <w:pPr>
        <w:rPr>
          <w:b/>
          <w:lang w:val="pt-BR" w:eastAsia="pt-BR"/>
        </w:rPr>
      </w:pPr>
      <w:r w:rsidRPr="003269F3">
        <w:rPr>
          <w:b/>
          <w:lang w:val="pt-BR" w:eastAsia="pt-BR"/>
        </w:rPr>
        <w:lastRenderedPageBreak/>
        <w:t>Avaliação estratégica.</w:t>
      </w:r>
    </w:p>
    <w:p w:rsid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>O modelo converte um diagnóstico estático em um sistema de alerta prospectivo: identifica risco antes da queda se manifestar no INDE.</w:t>
      </w:r>
    </w:p>
    <w:p w:rsidR="003269F3" w:rsidRPr="003269F3" w:rsidRDefault="003269F3" w:rsidP="003269F3">
      <w:pPr>
        <w:rPr>
          <w:lang w:val="pt-BR" w:eastAsia="pt-BR"/>
        </w:rPr>
      </w:pPr>
      <w:r w:rsidRPr="003269F3">
        <w:rPr>
          <w:lang w:val="pt-BR" w:eastAsia="pt-BR"/>
        </w:rPr>
        <w:t>A sequência de ação sugerida combina os padrões identificados pelos dados: usar o painel Streamlit para classificar os alunos com maior probabilidade de risco a cada ciclo de avaliação; cruzar o resultado com IAN e IPP para definir o tipo de intervenção necessária</w:t>
      </w:r>
      <w:r>
        <w:rPr>
          <w:lang w:val="pt-BR" w:eastAsia="pt-BR"/>
        </w:rPr>
        <w:t xml:space="preserve"> </w:t>
      </w:r>
      <w:r w:rsidRPr="003269F3">
        <w:rPr>
          <w:lang w:val="pt-BR" w:eastAsia="pt-BR"/>
        </w:rPr>
        <w:t>acadêmica, psicopedagógica, ou ambas; e monitorar IDA e IEG continuamente como sinais antecipados, pois uma queda no engajamento precede, na maioria dos casos, uma queda no desempenho.</w:t>
      </w:r>
    </w:p>
    <w:p w:rsidR="003269F3" w:rsidRDefault="003269F3" w:rsidP="003269F3">
      <w:pPr>
        <w:rPr>
          <w:lang w:val="pt-BR" w:eastAsia="pt-BR"/>
        </w:rPr>
      </w:pPr>
    </w:p>
    <w:p w:rsidR="003F556C" w:rsidRDefault="003F556C" w:rsidP="003269F3">
      <w:pPr>
        <w:rPr>
          <w:rStyle w:val="Bold"/>
          <w:lang w:val="pt-BR"/>
        </w:rPr>
      </w:pPr>
      <w:r w:rsidRPr="003F556C">
        <w:rPr>
          <w:rStyle w:val="Bold"/>
          <w:lang w:val="pt-BR"/>
        </w:rPr>
        <w:t>10. Efetividade do programa: Os indicadores mostram melhora consistente ao longo do ciclo nas diferentes fases (Quartzo, Ágata, Ametista e Topázio), confirmando o impacto real do programa?</w:t>
      </w:r>
    </w:p>
    <w:p w:rsidR="003F556C" w:rsidRDefault="003F556C" w:rsidP="003F556C">
      <w:pPr>
        <w:rPr>
          <w:lang w:val="pt-BR"/>
        </w:rPr>
      </w:pPr>
      <w:r w:rsidRPr="003F556C">
        <w:rPr>
          <w:lang w:val="pt-BR"/>
        </w:rPr>
        <w:t>Os indicadores mostram melhora consistente ao longo do ciclo nas diferentes fases, confirmando o impacto real do programa em três dimensões complementares.</w:t>
      </w:r>
    </w:p>
    <w:p w:rsidR="003F556C" w:rsidRDefault="003F556C" w:rsidP="003F556C">
      <w:pPr>
        <w:rPr>
          <w:lang w:val="pt-BR"/>
        </w:rPr>
      </w:pPr>
      <w:r w:rsidRPr="003F556C">
        <w:rPr>
          <w:noProof/>
          <w:lang w:val="pt-BR"/>
        </w:rPr>
        <w:drawing>
          <wp:inline distT="0" distB="0" distL="0" distR="0" wp14:anchorId="15BA15B9" wp14:editId="44AC13A6">
            <wp:extent cx="6400800" cy="2527300"/>
            <wp:effectExtent l="0" t="0" r="0" b="635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6C" w:rsidRDefault="003F556C" w:rsidP="003F556C">
      <w:pPr>
        <w:rPr>
          <w:lang w:val="pt-BR"/>
        </w:rPr>
      </w:pPr>
      <w:r w:rsidRPr="003F556C">
        <w:rPr>
          <w:lang w:val="pt-BR"/>
        </w:rPr>
        <w:t>Todos os 5 indicadores avaliados (IDA, IEG, IPP, IAA e IPS) crescem de forma consistente do Quartzo ao Topázio em 2024, sem exceção.</w:t>
      </w:r>
    </w:p>
    <w:p w:rsidR="003F556C" w:rsidRDefault="003F556C" w:rsidP="003F556C">
      <w:pPr>
        <w:rPr>
          <w:lang w:val="pt-BR"/>
        </w:rPr>
      </w:pPr>
      <w:r w:rsidRPr="003F556C">
        <w:rPr>
          <w:lang w:val="pt-BR"/>
        </w:rPr>
        <w:t>O IDA mostra o maior contraste, 3,1 no Quartzo versus 8,2 no Topázio, seguido pelo IEG com 5,0 versus 9,4.</w:t>
      </w:r>
    </w:p>
    <w:p w:rsidR="003F556C" w:rsidRDefault="003F556C" w:rsidP="003F556C">
      <w:pPr>
        <w:rPr>
          <w:lang w:val="pt-BR"/>
        </w:rPr>
      </w:pPr>
      <w:r w:rsidRPr="003F556C">
        <w:rPr>
          <w:lang w:val="pt-BR"/>
        </w:rPr>
        <w:t>O IPS apresenta menor variação entre fases (6,0 versus 7,1), confirmando que suporte socioeconômico é uma linha de base relativamente uniforme.</w:t>
      </w:r>
    </w:p>
    <w:p w:rsidR="003F556C" w:rsidRPr="003F556C" w:rsidRDefault="003F556C" w:rsidP="003F556C">
      <w:pPr>
        <w:rPr>
          <w:lang w:val="pt-BR"/>
        </w:rPr>
      </w:pPr>
      <w:r w:rsidRPr="003F556C">
        <w:rPr>
          <w:lang w:val="pt-BR"/>
        </w:rPr>
        <w:t>A autoavaliação (IAA) é notavelmente alta mesmo no Quartzo (7,2), sugerindo que alunos em fases iniciais têm autoestima preservada, o que é um fator protetor importante.</w:t>
      </w:r>
    </w:p>
    <w:p w:rsidR="003F556C" w:rsidRDefault="003F556C" w:rsidP="003F556C">
      <w:pPr>
        <w:rPr>
          <w:b/>
          <w:lang w:val="pt-BR"/>
        </w:rPr>
      </w:pPr>
      <w:r w:rsidRPr="003F556C">
        <w:rPr>
          <w:b/>
          <w:lang w:val="pt-BR"/>
        </w:rPr>
        <w:lastRenderedPageBreak/>
        <w:t>Migração de Fases</w:t>
      </w:r>
    </w:p>
    <w:p w:rsidR="003F556C" w:rsidRPr="003F556C" w:rsidRDefault="003F556C" w:rsidP="003F556C">
      <w:pPr>
        <w:rPr>
          <w:b/>
          <w:lang w:val="pt-BR"/>
        </w:rPr>
      </w:pPr>
      <w:r w:rsidRPr="003F556C">
        <w:rPr>
          <w:b/>
          <w:noProof/>
          <w:lang w:val="pt-BR"/>
        </w:rPr>
        <w:drawing>
          <wp:inline distT="0" distB="0" distL="0" distR="0" wp14:anchorId="0A3EB3E9" wp14:editId="362E6453">
            <wp:extent cx="6400800" cy="2127885"/>
            <wp:effectExtent l="0" t="0" r="0" b="5715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6C" w:rsidRDefault="003F556C" w:rsidP="003F556C">
      <w:pPr>
        <w:rPr>
          <w:lang w:val="pt-BR"/>
        </w:rPr>
      </w:pPr>
      <w:r w:rsidRPr="003F556C">
        <w:rPr>
          <w:lang w:val="pt-BR"/>
        </w:rPr>
        <w:t>A fase Topázio, a mais alta de aprendizado, cresceu de 15% para 31% dos alunos entre 2022 e 2024, dobrando sua participação em apenas 2 anos. No mesmo período, as fases mais baixas perderam espaço: o Quartzo caiu de 15% para 11%, e a Ágata de 29% para 21%.</w:t>
      </w:r>
    </w:p>
    <w:p w:rsidR="003F556C" w:rsidRDefault="003F556C" w:rsidP="003F556C">
      <w:pPr>
        <w:rPr>
          <w:lang w:val="pt-BR"/>
        </w:rPr>
      </w:pPr>
      <w:r w:rsidRPr="003F556C">
        <w:rPr>
          <w:lang w:val="pt-BR"/>
        </w:rPr>
        <w:t>A Ametista ocupa cerca de 37–41% da turma nos três anos, representando o núcleo consolidado do programa, alunos que avançaram da base e ainda não chegaram ao topo, indicando uma "fila" natural de progressão.</w:t>
      </w:r>
    </w:p>
    <w:p w:rsidR="003F556C" w:rsidRDefault="003F556C" w:rsidP="003F556C">
      <w:pPr>
        <w:rPr>
          <w:b/>
          <w:lang w:val="pt-BR"/>
        </w:rPr>
      </w:pPr>
      <w:r w:rsidRPr="003F556C">
        <w:rPr>
          <w:b/>
          <w:lang w:val="pt-BR"/>
        </w:rPr>
        <w:t>Avaliação de Desempenho Individual</w:t>
      </w:r>
    </w:p>
    <w:p w:rsidR="003F556C" w:rsidRDefault="003F556C" w:rsidP="003F556C">
      <w:pPr>
        <w:rPr>
          <w:b/>
          <w:lang w:val="pt-BR"/>
        </w:rPr>
      </w:pPr>
      <w:r w:rsidRPr="003F556C">
        <w:rPr>
          <w:b/>
          <w:noProof/>
          <w:lang w:val="pt-BR"/>
        </w:rPr>
        <w:drawing>
          <wp:inline distT="0" distB="0" distL="0" distR="0" wp14:anchorId="292CB4BE" wp14:editId="158C99BF">
            <wp:extent cx="6400800" cy="275082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6C" w:rsidRDefault="003F556C" w:rsidP="003F556C">
      <w:pPr>
        <w:rPr>
          <w:lang w:val="pt-BR"/>
        </w:rPr>
      </w:pPr>
      <w:r w:rsidRPr="003F556C">
        <w:rPr>
          <w:lang w:val="pt-BR"/>
        </w:rPr>
        <w:t>Os estudantes que chegaram ao Topázio em 2024 melhoraram em média +0,53 pontos no INDE desde 2022, e 88% deles evoluíram individualmente (INDE subiu de 7,97 para 8,50 em média).</w:t>
      </w:r>
    </w:p>
    <w:p w:rsidR="003F556C" w:rsidRDefault="003F556C" w:rsidP="003F556C">
      <w:pPr>
        <w:rPr>
          <w:lang w:val="pt-BR"/>
        </w:rPr>
      </w:pPr>
      <w:r w:rsidRPr="003F556C">
        <w:rPr>
          <w:lang w:val="pt-BR"/>
        </w:rPr>
        <w:lastRenderedPageBreak/>
        <w:t>Os que alcançaram a Ametista também avançaram (+0,15 pontos, 53% com melhora, INDE de 7,34 para 7,49).</w:t>
      </w:r>
    </w:p>
    <w:p w:rsidR="003F556C" w:rsidRPr="003F556C" w:rsidRDefault="003F556C" w:rsidP="003F556C">
      <w:pPr>
        <w:rPr>
          <w:lang w:val="pt-BR"/>
        </w:rPr>
      </w:pPr>
      <w:r w:rsidRPr="003F556C">
        <w:rPr>
          <w:lang w:val="pt-BR"/>
        </w:rPr>
        <w:t>Em contrapartida, os que ficaram na Ágata ou no Quartzo em 2024 tiveram INDE menor do que em 2022: esses alunos partiram de um nível relativamente alto e recuaram (Quartzo: de 6,74 para 5,37), indicando que houve ruptura no percurso, não estagnação, mas queda ativa.</w:t>
      </w:r>
    </w:p>
    <w:p w:rsidR="00962C9E" w:rsidRPr="00962C9E" w:rsidRDefault="00962C9E" w:rsidP="00962C9E">
      <w:pPr>
        <w:rPr>
          <w:b/>
          <w:lang w:val="pt-BR"/>
        </w:rPr>
      </w:pPr>
      <w:r w:rsidRPr="00962C9E">
        <w:rPr>
          <w:b/>
          <w:lang w:val="pt-BR"/>
        </w:rPr>
        <w:t>Avaliação estratégica.</w:t>
      </w:r>
    </w:p>
    <w:p w:rsidR="00962C9E" w:rsidRDefault="00962C9E" w:rsidP="00962C9E">
      <w:pPr>
        <w:rPr>
          <w:lang w:val="pt-BR"/>
        </w:rPr>
      </w:pPr>
      <w:r w:rsidRPr="00962C9E">
        <w:rPr>
          <w:lang w:val="pt-BR"/>
        </w:rPr>
        <w:t>O impacto do programa é real e mensurável.</w:t>
      </w:r>
    </w:p>
    <w:p w:rsidR="00962C9E" w:rsidRDefault="00962C9E" w:rsidP="00962C9E">
      <w:pPr>
        <w:rPr>
          <w:lang w:val="pt-BR"/>
        </w:rPr>
      </w:pPr>
      <w:r w:rsidRPr="00962C9E">
        <w:rPr>
          <w:lang w:val="pt-BR"/>
        </w:rPr>
        <w:t>A progressão não é automática, exige engajamento continuado, com IEG e IDA funcionando como os motores da mudança. Para os alunos que regridem, os dados apontam que o problema não é a entrada no programa, mas a permanência ativa no ciclo.</w:t>
      </w:r>
    </w:p>
    <w:p w:rsidR="00962C9E" w:rsidRPr="00962C9E" w:rsidRDefault="00962C9E" w:rsidP="00962C9E">
      <w:pPr>
        <w:rPr>
          <w:lang w:val="pt-BR"/>
        </w:rPr>
      </w:pPr>
      <w:r w:rsidRPr="00962C9E">
        <w:rPr>
          <w:lang w:val="pt-BR"/>
        </w:rPr>
        <w:t>Os alunos em Ágata e Quartzo em 2024 que partiram de patamares mais altos em 2022 são o grupo prioritário de reintervenção, o programa demonstra efetividade clara na maioria, e os dados indicam com precisão onde e quem precisa de mais suporte.</w:t>
      </w:r>
    </w:p>
    <w:p w:rsidR="003F556C" w:rsidRDefault="00962C9E" w:rsidP="003269F3">
      <w:pPr>
        <w:rPr>
          <w:rStyle w:val="Bold"/>
          <w:lang w:val="pt-BR"/>
        </w:rPr>
      </w:pPr>
      <w:r w:rsidRPr="00940EF1">
        <w:rPr>
          <w:rStyle w:val="Bold"/>
          <w:lang w:val="pt-BR"/>
        </w:rPr>
        <w:t xml:space="preserve">11. </w:t>
      </w:r>
      <w:r w:rsidRPr="00962C9E">
        <w:rPr>
          <w:rStyle w:val="Bold"/>
          <w:lang w:val="pt-BR"/>
        </w:rPr>
        <w:t>Insights e criatividade: Você pode adicionar mais insights e pontos de vista não abordados nas perguntas, utilize a criatividade e a análise dos dados para trazer sugestões para a Passos Mágicos.</w:t>
      </w:r>
    </w:p>
    <w:p w:rsidR="00A84D72" w:rsidRDefault="00A84D72" w:rsidP="00A84D72">
      <w:pPr>
        <w:rPr>
          <w:lang w:val="pt-BR"/>
        </w:rPr>
      </w:pPr>
      <w:r w:rsidRPr="00A84D72">
        <w:rPr>
          <w:b/>
          <w:lang w:val="pt-BR"/>
        </w:rPr>
        <w:t>Insight 1</w:t>
      </w:r>
      <w:r>
        <w:rPr>
          <w:lang w:val="pt-BR"/>
        </w:rPr>
        <w:t xml:space="preserve">: </w:t>
      </w:r>
      <w:r w:rsidRPr="00A84D72">
        <w:rPr>
          <w:lang w:val="pt-BR"/>
        </w:rPr>
        <w:t>O primeiro degrau é o maior gargalo do programa.</w:t>
      </w:r>
    </w:p>
    <w:p w:rsidR="00A84D72" w:rsidRPr="00A84D72" w:rsidRDefault="00A84D72" w:rsidP="00A84D72">
      <w:pPr>
        <w:rPr>
          <w:lang w:val="pt-BR"/>
        </w:rPr>
      </w:pPr>
      <w:r w:rsidRPr="00A84D72">
        <w:rPr>
          <w:noProof/>
          <w:lang w:val="pt-BR"/>
        </w:rPr>
        <w:lastRenderedPageBreak/>
        <w:drawing>
          <wp:inline distT="0" distB="0" distL="0" distR="0" wp14:anchorId="1407CA7B" wp14:editId="4AEFA777">
            <wp:extent cx="6400800" cy="415417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D72" w:rsidRDefault="00A84D72" w:rsidP="00A84D72">
      <w:pPr>
        <w:rPr>
          <w:lang w:val="pt-BR"/>
        </w:rPr>
      </w:pPr>
      <w:r w:rsidRPr="00A84D72">
        <w:rPr>
          <w:lang w:val="pt-BR"/>
        </w:rPr>
        <w:t>A transição Quartzo</w:t>
      </w:r>
      <w:r>
        <w:rPr>
          <w:lang w:val="pt-BR"/>
        </w:rPr>
        <w:t xml:space="preserve"> -&gt;</w:t>
      </w:r>
      <w:r w:rsidRPr="00A84D72">
        <w:rPr>
          <w:lang w:val="pt-BR"/>
        </w:rPr>
        <w:t xml:space="preserve"> Ágata exige um salto de +1,20 pontos no INDE, 29% maior do que qualquer outra transição no ciclo.</w:t>
      </w:r>
    </w:p>
    <w:p w:rsidR="00A84D72" w:rsidRDefault="00A84D72" w:rsidP="00A84D72">
      <w:pPr>
        <w:rPr>
          <w:lang w:val="pt-BR"/>
        </w:rPr>
      </w:pPr>
      <w:r w:rsidRPr="00A84D72">
        <w:rPr>
          <w:lang w:val="pt-BR"/>
        </w:rPr>
        <w:t>As fases seguintes (Ágata→Ametista e Ametista→Topázio) custam exatamente +0,93 pontos cada.</w:t>
      </w:r>
    </w:p>
    <w:p w:rsidR="00A84D72" w:rsidRDefault="00A84D72" w:rsidP="00A84D72">
      <w:pPr>
        <w:rPr>
          <w:lang w:val="pt-BR"/>
        </w:rPr>
      </w:pPr>
      <w:r w:rsidRPr="00A84D72">
        <w:rPr>
          <w:lang w:val="pt-BR"/>
        </w:rPr>
        <w:t>Isso revela que a maior dificuldade não está no topo da pirâmide, mas na base: alunos no Quartzo (n=112 em 2024) são os que mais precisam de atenção intensiva para conseguir sua primeira grande evolução.</w:t>
      </w:r>
    </w:p>
    <w:p w:rsidR="00A84D72" w:rsidRDefault="00A84D72" w:rsidP="00A84D72">
      <w:pPr>
        <w:rPr>
          <w:lang w:val="pt-BR"/>
        </w:rPr>
      </w:pPr>
      <w:r w:rsidRPr="00A84D72">
        <w:rPr>
          <w:lang w:val="pt-BR"/>
        </w:rPr>
        <w:t>Uma vez cruzado esse degrau, o ritmo de progressão se estabiliza. A ação sugerida é criar um programa de acompanhamento reforçado exclusivo para alunos em fase Quartzo, com maior frequência de mentoria, suporte pedagógico focalizado em IDA e IEG, e meta clara de progressão dentro de 12 meses.</w:t>
      </w:r>
    </w:p>
    <w:p w:rsidR="00A84D72" w:rsidRDefault="00A84D72" w:rsidP="00A84D72">
      <w:pPr>
        <w:rPr>
          <w:lang w:val="pt-BR"/>
        </w:rPr>
      </w:pPr>
      <w:r w:rsidRPr="00A84D72">
        <w:rPr>
          <w:b/>
          <w:lang w:val="pt-BR"/>
        </w:rPr>
        <w:t>Insight 2</w:t>
      </w:r>
      <w:r>
        <w:rPr>
          <w:lang w:val="pt-BR"/>
        </w:rPr>
        <w:t xml:space="preserve">: </w:t>
      </w:r>
      <w:r w:rsidRPr="00A84D72">
        <w:rPr>
          <w:lang w:val="pt-BR"/>
        </w:rPr>
        <w:t>45% dos alunos recuaram, e 1 em cada 8 recuou de forma expressiva.</w:t>
      </w:r>
    </w:p>
    <w:p w:rsidR="00A84D72" w:rsidRPr="00A84D72" w:rsidRDefault="00A84D72" w:rsidP="00A84D72">
      <w:pPr>
        <w:rPr>
          <w:lang w:val="pt-BR"/>
        </w:rPr>
      </w:pPr>
      <w:r w:rsidRPr="00A84D72">
        <w:rPr>
          <w:noProof/>
          <w:lang w:val="pt-BR"/>
        </w:rPr>
        <w:lastRenderedPageBreak/>
        <w:drawing>
          <wp:inline distT="0" distB="0" distL="0" distR="0" wp14:anchorId="181672B9" wp14:editId="16E420AA">
            <wp:extent cx="6400800" cy="3734435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D72" w:rsidRDefault="00A84D72" w:rsidP="00A84D72">
      <w:pPr>
        <w:rPr>
          <w:lang w:val="pt-BR"/>
        </w:rPr>
      </w:pPr>
      <w:r w:rsidRPr="00A84D72">
        <w:rPr>
          <w:lang w:val="pt-BR"/>
        </w:rPr>
        <w:t>De 445 alunos rastreados em 2022 e 2024, 55% melhoraram e 45% recuaram. O grupo mais crítico, queda acima de 1 ponto inteiro, representa 13% do total (58 alunos).</w:t>
      </w:r>
    </w:p>
    <w:p w:rsidR="00A84D72" w:rsidRDefault="00A84D72" w:rsidP="00A84D72">
      <w:pPr>
        <w:rPr>
          <w:lang w:val="pt-BR"/>
        </w:rPr>
      </w:pPr>
      <w:r w:rsidRPr="00A84D72">
        <w:rPr>
          <w:lang w:val="pt-BR"/>
        </w:rPr>
        <w:t>Esses alunos perderam em 2 anos mais do que a maioria do programa ganha em uma fase inteira de progressão.</w:t>
      </w:r>
    </w:p>
    <w:p w:rsidR="00A84D72" w:rsidRDefault="00A84D72" w:rsidP="00A84D72">
      <w:pPr>
        <w:rPr>
          <w:lang w:val="pt-BR"/>
        </w:rPr>
      </w:pPr>
      <w:r w:rsidRPr="00A84D72">
        <w:rPr>
          <w:lang w:val="pt-BR"/>
        </w:rPr>
        <w:t>A regressão não é ausência de crescimento: é perda de terreno já conquistado. A ação sugerida é implantar um mecanismo de alerta precoce em que qualquer aluno com queda ≥ 0,5 pontos no INDE ano a ano acione automaticamente um protocolo de atenção individualizada antes que a queda se consolide.</w:t>
      </w:r>
    </w:p>
    <w:p w:rsidR="00A84D72" w:rsidRDefault="00A84D72" w:rsidP="00A84D72">
      <w:pPr>
        <w:rPr>
          <w:b/>
          <w:lang w:val="pt-BR"/>
        </w:rPr>
      </w:pPr>
    </w:p>
    <w:p w:rsidR="00A84D72" w:rsidRDefault="00A84D72" w:rsidP="00A84D72">
      <w:pPr>
        <w:rPr>
          <w:b/>
          <w:lang w:val="pt-BR"/>
        </w:rPr>
      </w:pPr>
    </w:p>
    <w:p w:rsidR="00A84D72" w:rsidRDefault="00A84D72" w:rsidP="00A84D72">
      <w:pPr>
        <w:rPr>
          <w:b/>
          <w:lang w:val="pt-BR"/>
        </w:rPr>
      </w:pPr>
    </w:p>
    <w:p w:rsidR="00A84D72" w:rsidRDefault="00A84D72" w:rsidP="00A84D72">
      <w:pPr>
        <w:rPr>
          <w:b/>
          <w:lang w:val="pt-BR"/>
        </w:rPr>
      </w:pPr>
    </w:p>
    <w:p w:rsidR="00A84D72" w:rsidRDefault="00A84D72" w:rsidP="00A84D72">
      <w:pPr>
        <w:rPr>
          <w:b/>
          <w:lang w:val="pt-BR"/>
        </w:rPr>
      </w:pPr>
    </w:p>
    <w:p w:rsidR="00A84D72" w:rsidRDefault="00A84D72" w:rsidP="00A84D72">
      <w:pPr>
        <w:rPr>
          <w:b/>
          <w:lang w:val="pt-BR"/>
        </w:rPr>
      </w:pPr>
    </w:p>
    <w:p w:rsidR="00A84D72" w:rsidRDefault="00A84D72" w:rsidP="00A84D72">
      <w:pPr>
        <w:rPr>
          <w:b/>
          <w:lang w:val="pt-BR"/>
        </w:rPr>
      </w:pPr>
    </w:p>
    <w:p w:rsidR="00A84D72" w:rsidRDefault="00A84D72" w:rsidP="00A84D72">
      <w:pPr>
        <w:rPr>
          <w:b/>
          <w:lang w:val="pt-BR"/>
        </w:rPr>
      </w:pPr>
    </w:p>
    <w:p w:rsidR="00A84D72" w:rsidRDefault="00A84D72" w:rsidP="00A84D72">
      <w:pPr>
        <w:rPr>
          <w:lang w:val="pt-BR"/>
        </w:rPr>
      </w:pPr>
      <w:r w:rsidRPr="00A84D72">
        <w:rPr>
          <w:b/>
          <w:lang w:val="pt-BR"/>
        </w:rPr>
        <w:lastRenderedPageBreak/>
        <w:t>Insight 3:</w:t>
      </w:r>
      <w:r w:rsidRPr="00A84D72">
        <w:rPr>
          <w:lang w:val="pt-BR"/>
        </w:rPr>
        <w:t xml:space="preserve"> O ponto de partida não determina o destino</w:t>
      </w:r>
    </w:p>
    <w:p w:rsidR="00A84D72" w:rsidRPr="00A84D72" w:rsidRDefault="00A84D72" w:rsidP="00A84D72">
      <w:pPr>
        <w:rPr>
          <w:lang w:val="pt-BR"/>
        </w:rPr>
      </w:pPr>
      <w:r w:rsidRPr="00A84D72">
        <w:rPr>
          <w:noProof/>
          <w:lang w:val="pt-BR"/>
        </w:rPr>
        <w:drawing>
          <wp:inline distT="0" distB="0" distL="0" distR="0" wp14:anchorId="6C07C1CB" wp14:editId="2DB674EC">
            <wp:extent cx="6400800" cy="339598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D72" w:rsidRDefault="00A84D72" w:rsidP="00A84D72">
      <w:pPr>
        <w:rPr>
          <w:lang w:val="pt-BR"/>
        </w:rPr>
      </w:pPr>
      <w:r w:rsidRPr="00A84D72">
        <w:rPr>
          <w:lang w:val="pt-BR"/>
        </w:rPr>
        <w:t>O achado mais contraintuitivo da análise é que alunos com queda expressiva e alunos com melhora leve começaram em 2022 com o mesmo INDE: 7,46.</w:t>
      </w:r>
    </w:p>
    <w:p w:rsidR="00653087" w:rsidRDefault="00A84D72" w:rsidP="00A84D72">
      <w:pPr>
        <w:rPr>
          <w:lang w:val="pt-BR"/>
        </w:rPr>
      </w:pPr>
      <w:r w:rsidRPr="00A84D72">
        <w:rPr>
          <w:lang w:val="pt-BR"/>
        </w:rPr>
        <w:t>Dois anos depois, suas trajetórias divergiram em 2,10 pontos (5,81 versus 7,91). Ainda mais revelador: os 43 alunos com melhora mais expressiva começaram com INDE 6,44, abaixo dos demais, e chegaram a 7,90, empatados com quem partiu de 7,46.</w:t>
      </w:r>
    </w:p>
    <w:p w:rsidR="00653087" w:rsidRDefault="00A84D72" w:rsidP="00A84D72">
      <w:pPr>
        <w:rPr>
          <w:lang w:val="pt-BR"/>
        </w:rPr>
      </w:pPr>
      <w:r w:rsidRPr="00A84D72">
        <w:rPr>
          <w:lang w:val="pt-BR"/>
        </w:rPr>
        <w:t>O que separa quem cresce de quem cai não é onde o aluno está, mas o que acontece com ele ao longo do percurso. A ação sugerida é não concentrar recursos apenas nos alunos de desempenho médio-alto. Os dados mostram que alunos que começam abaixo da mediana têm potencial de crescimento igual ou superior, desde que recebam suporte contínuo.</w:t>
      </w:r>
    </w:p>
    <w:p w:rsidR="00A84D72" w:rsidRPr="00A84D72" w:rsidRDefault="00A84D72" w:rsidP="00A84D72">
      <w:pPr>
        <w:rPr>
          <w:lang w:val="pt-BR"/>
        </w:rPr>
      </w:pPr>
      <w:r w:rsidRPr="00A84D72">
        <w:rPr>
          <w:lang w:val="pt-BR"/>
        </w:rPr>
        <w:t>Paralelamente, devem ser desenvolvidas estratégias de retenção de engajamento para os alunos que já estão bem, pois eles são os mais vulneráveis à regressão silenciosa.</w:t>
      </w:r>
    </w:p>
    <w:p w:rsidR="00A84D72" w:rsidRPr="00653087" w:rsidRDefault="00A84D72" w:rsidP="00A84D72">
      <w:pPr>
        <w:rPr>
          <w:b/>
          <w:lang w:val="pt-BR"/>
        </w:rPr>
      </w:pPr>
      <w:r w:rsidRPr="00653087">
        <w:rPr>
          <w:b/>
          <w:lang w:val="pt-BR"/>
        </w:rPr>
        <w:t>Resumo das sugestões estratégicas.</w:t>
      </w:r>
    </w:p>
    <w:p w:rsidR="00653087" w:rsidRDefault="00A84D72" w:rsidP="00A84D72">
      <w:pPr>
        <w:rPr>
          <w:lang w:val="pt-BR"/>
        </w:rPr>
      </w:pPr>
      <w:r w:rsidRPr="00A84D72">
        <w:rPr>
          <w:lang w:val="pt-BR"/>
        </w:rPr>
        <w:t>Em prioridade alta: criar programa intensivo para alunos em fase Quartzo (n=112 em 2024), visando reduzir o maior gargalo de progressão do ciclo; e implementar alerta automático para quedas ≥ 0,5 pts/ano, capturando e intervindo antes da queda expressiva.</w:t>
      </w:r>
    </w:p>
    <w:p w:rsidR="00653087" w:rsidRDefault="00A84D72" w:rsidP="00A84D72">
      <w:pPr>
        <w:rPr>
          <w:lang w:val="pt-BR"/>
        </w:rPr>
      </w:pPr>
      <w:r w:rsidRPr="00A84D72">
        <w:rPr>
          <w:lang w:val="pt-BR"/>
        </w:rPr>
        <w:t>Em prioridade média: estratégias de retenção de engajamento para alunos com INDE acima de 7,0, prevenindo regressão em quem mais tem a perder.</w:t>
      </w:r>
    </w:p>
    <w:p w:rsidR="00A84D72" w:rsidRPr="00A84D72" w:rsidRDefault="00A84D72" w:rsidP="00A84D72">
      <w:pPr>
        <w:rPr>
          <w:lang w:val="pt-BR"/>
        </w:rPr>
      </w:pPr>
      <w:r w:rsidRPr="00A84D72">
        <w:rPr>
          <w:lang w:val="pt-BR"/>
        </w:rPr>
        <w:lastRenderedPageBreak/>
        <w:t>De forma contínua: monitorar IDA + IEG como sinais antecipados de risco, antecipando quedas antes que apareçam no INDE.</w:t>
      </w:r>
    </w:p>
    <w:p w:rsidR="00A84D72" w:rsidRPr="00A84D72" w:rsidRDefault="00A84D72" w:rsidP="00A84D72">
      <w:pPr>
        <w:rPr>
          <w:lang w:val="pt-BR"/>
        </w:rPr>
      </w:pPr>
    </w:p>
    <w:p w:rsidR="00A84D72" w:rsidRPr="00A84D72" w:rsidRDefault="00A84D72" w:rsidP="00A84D72">
      <w:pPr>
        <w:rPr>
          <w:lang w:val="pt-BR"/>
        </w:rPr>
      </w:pPr>
    </w:p>
    <w:p w:rsidR="00A84D72" w:rsidRDefault="00A84D72" w:rsidP="003269F3">
      <w:pPr>
        <w:rPr>
          <w:rStyle w:val="Bold"/>
          <w:lang w:val="pt-BR"/>
        </w:rPr>
      </w:pPr>
    </w:p>
    <w:p w:rsidR="003F556C" w:rsidRPr="003F556C" w:rsidRDefault="003F556C" w:rsidP="003269F3">
      <w:pPr>
        <w:rPr>
          <w:rStyle w:val="Bold"/>
          <w:lang w:val="pt-BR"/>
        </w:rPr>
      </w:pPr>
    </w:p>
    <w:p w:rsidR="001D4FF6" w:rsidRPr="001D4FF6" w:rsidRDefault="001D4FF6" w:rsidP="003269F3">
      <w:pPr>
        <w:tabs>
          <w:tab w:val="left" w:pos="1631"/>
        </w:tabs>
        <w:rPr>
          <w:rStyle w:val="Bold"/>
          <w:lang w:val="pt-BR"/>
        </w:rPr>
      </w:pPr>
    </w:p>
    <w:p w:rsidR="0008694D" w:rsidRPr="00445E11" w:rsidRDefault="0008694D" w:rsidP="0008694D">
      <w:pPr>
        <w:keepNext/>
        <w:jc w:val="center"/>
        <w:rPr>
          <w:lang w:val="pt-BR"/>
        </w:rPr>
      </w:pPr>
    </w:p>
    <w:sectPr w:rsidR="0008694D" w:rsidRPr="00445E11" w:rsidSect="006703AC">
      <w:headerReference w:type="default" r:id="rId50"/>
      <w:footerReference w:type="default" r:id="rId51"/>
      <w:headerReference w:type="first" r:id="rId52"/>
      <w:footerReference w:type="first" r:id="rId53"/>
      <w:pgSz w:w="12240" w:h="15840" w:code="1"/>
      <w:pgMar w:top="720" w:right="1080" w:bottom="720" w:left="1080" w:header="648" w:footer="43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1FE4" w:rsidRDefault="00A31FE4" w:rsidP="005A20E2">
      <w:pPr>
        <w:spacing w:after="0"/>
      </w:pPr>
      <w:r>
        <w:separator/>
      </w:r>
    </w:p>
    <w:p w:rsidR="00A31FE4" w:rsidRDefault="00A31FE4"/>
    <w:p w:rsidR="00A31FE4" w:rsidRDefault="00A31FE4" w:rsidP="009B4773"/>
    <w:p w:rsidR="00A31FE4" w:rsidRDefault="00A31FE4" w:rsidP="00513832"/>
  </w:endnote>
  <w:endnote w:type="continuationSeparator" w:id="0">
    <w:p w:rsidR="00A31FE4" w:rsidRDefault="00A31FE4" w:rsidP="005A20E2">
      <w:pPr>
        <w:spacing w:after="0"/>
      </w:pPr>
      <w:r>
        <w:continuationSeparator/>
      </w:r>
    </w:p>
    <w:p w:rsidR="00A31FE4" w:rsidRDefault="00A31FE4"/>
    <w:p w:rsidR="00A31FE4" w:rsidRDefault="00A31FE4" w:rsidP="009B4773"/>
    <w:p w:rsidR="00A31FE4" w:rsidRDefault="00A31FE4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7756" w:rsidRPr="00F8411A" w:rsidRDefault="00B57756" w:rsidP="00F8411A">
    <w:pPr>
      <w:pStyle w:val="Footer"/>
    </w:pPr>
    <w:r w:rsidRPr="00F8411A">
      <w:tab/>
    </w:r>
    <w:r w:rsidRPr="00F8411A">
      <w:fldChar w:fldCharType="begin"/>
    </w:r>
    <w:r w:rsidRPr="00F8411A">
      <w:instrText xml:space="preserve"> PAGE   \* MERGEFORMAT </w:instrText>
    </w:r>
    <w:r w:rsidRPr="00F8411A">
      <w:fldChar w:fldCharType="separate"/>
    </w:r>
    <w:r w:rsidRPr="00F8411A">
      <w:t>1</w:t>
    </w:r>
    <w:r w:rsidRPr="00F8411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54DB" w:rsidRPr="00F8411A" w:rsidRDefault="005854DB" w:rsidP="005854DB">
    <w:pPr>
      <w:pStyle w:val="Footer"/>
    </w:pPr>
    <w:r w:rsidRPr="00F8411A">
      <w:tab/>
    </w:r>
    <w:r w:rsidRPr="00F8411A">
      <w:fldChar w:fldCharType="begin"/>
    </w:r>
    <w:r w:rsidRPr="00F8411A">
      <w:instrText xml:space="preserve"> PAGE   \* MERGEFORMAT </w:instrText>
    </w:r>
    <w:r w:rsidRPr="00F8411A">
      <w:fldChar w:fldCharType="separate"/>
    </w:r>
    <w:r>
      <w:t>2</w:t>
    </w:r>
    <w:r w:rsidRPr="00F8411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1FE4" w:rsidRDefault="00A31FE4" w:rsidP="005A20E2">
      <w:pPr>
        <w:spacing w:after="0"/>
      </w:pPr>
      <w:r>
        <w:separator/>
      </w:r>
    </w:p>
    <w:p w:rsidR="00A31FE4" w:rsidRDefault="00A31FE4"/>
    <w:p w:rsidR="00A31FE4" w:rsidRDefault="00A31FE4" w:rsidP="009B4773"/>
    <w:p w:rsidR="00A31FE4" w:rsidRDefault="00A31FE4" w:rsidP="00513832"/>
  </w:footnote>
  <w:footnote w:type="continuationSeparator" w:id="0">
    <w:p w:rsidR="00A31FE4" w:rsidRDefault="00A31FE4" w:rsidP="005A20E2">
      <w:pPr>
        <w:spacing w:after="0"/>
      </w:pPr>
      <w:r>
        <w:continuationSeparator/>
      </w:r>
    </w:p>
    <w:p w:rsidR="00A31FE4" w:rsidRDefault="00A31FE4"/>
    <w:p w:rsidR="00A31FE4" w:rsidRDefault="00A31FE4" w:rsidP="009B4773"/>
    <w:p w:rsidR="00A31FE4" w:rsidRDefault="00A31FE4" w:rsidP="00513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6D69" w:rsidRPr="002B017D" w:rsidRDefault="00A31FE4" w:rsidP="002E6D69">
    <w:pPr>
      <w:pStyle w:val="Header"/>
      <w:rPr>
        <w:lang w:val="pt-BR"/>
      </w:rPr>
    </w:pPr>
    <w:sdt>
      <w:sdtPr>
        <w:rPr>
          <w:lang w:val="pt-BR"/>
        </w:rPr>
        <w:alias w:val="Title"/>
        <w:tag w:val=""/>
        <w:id w:val="591438223"/>
        <w:placeholder>
          <w:docPart w:val="7222BFD607434144B00E60A6499B25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EndPr/>
      <w:sdtContent>
        <w:r w:rsidR="006703AC">
          <w:rPr>
            <w:lang w:val="pt-BR"/>
          </w:rPr>
          <w:t>DATATHON – Case Passos Mágicos</w:t>
        </w:r>
      </w:sdtContent>
    </w:sdt>
  </w:p>
  <w:p w:rsidR="005854DB" w:rsidRPr="002B017D" w:rsidRDefault="00A31FE4" w:rsidP="002E6D69">
    <w:pPr>
      <w:pStyle w:val="Header1"/>
      <w:rPr>
        <w:lang w:val="pt-BR"/>
      </w:rPr>
    </w:pPr>
    <w:sdt>
      <w:sdtPr>
        <w:rPr>
          <w:lang w:val="pt-BR"/>
        </w:rPr>
        <w:alias w:val="Subtitle"/>
        <w:tag w:val=""/>
        <w:id w:val="1326939518"/>
        <w:placeholder>
          <w:docPart w:val="49A2BF495AB64A78B19250167978C7A1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EndPr/>
      <w:sdtContent>
        <w:r w:rsidR="006703AC">
          <w:rPr>
            <w:lang w:val="pt-BR"/>
          </w:rPr>
          <w:t>Mudandoa vida de crianças e jovens por meio da educação</w:t>
        </w:r>
      </w:sdtContent>
    </w:sdt>
    <w:r w:rsidR="005854DB" w:rsidRPr="002E6D69">
      <w:rPr>
        <w:noProof/>
      </w:rPr>
      <mc:AlternateContent>
        <mc:Choice Requires="wps">
          <w:drawing>
            <wp:anchor distT="45720" distB="45720" distL="114300" distR="114300" simplePos="0" relativeHeight="251696128" behindDoc="1" locked="0" layoutInCell="1" allowOverlap="1" wp14:anchorId="2F0C5650" wp14:editId="32E96BBB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Text Box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5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854DB" w:rsidRDefault="005854DB" w:rsidP="0003123C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0C56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0;margin-top:0;width:11in;height:90pt;z-index:-2516203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" fillcolor="#f0cda1 [3204]" stroked="f">
              <v:fill opacity="32896f"/>
              <v:textbox inset="20mm,8mm">
                <w:txbxContent>
                  <w:p w:rsidR="005854DB" w:rsidRDefault="005854DB" w:rsidP="0003123C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54DB" w:rsidRDefault="005854DB" w:rsidP="00A67285">
    <w:pPr>
      <w:pStyle w:val="Header"/>
    </w:pPr>
    <w:r>
      <w:rPr>
        <w:noProof/>
      </w:rPr>
      <w:drawing>
        <wp:anchor distT="0" distB="0" distL="114300" distR="114300" simplePos="0" relativeHeight="251698176" behindDoc="1" locked="0" layoutInCell="1" allowOverlap="1" wp14:anchorId="568BD198" wp14:editId="4CF48A9C">
          <wp:simplePos x="0" y="0"/>
          <wp:positionH relativeFrom="column">
            <wp:posOffset>-797560</wp:posOffset>
          </wp:positionH>
          <wp:positionV relativeFrom="paragraph">
            <wp:posOffset>-410210</wp:posOffset>
          </wp:positionV>
          <wp:extent cx="7996799" cy="2282808"/>
          <wp:effectExtent l="0" t="0" r="4445" b="3810"/>
          <wp:wrapNone/>
          <wp:docPr id="9" name="Picture 9" descr="People's hands and documen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ttyImages-696273168_sup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58" t="15387" r="1918" b="21961"/>
                  <a:stretch/>
                </pic:blipFill>
                <pic:spPr bwMode="auto">
                  <a:xfrm>
                    <a:off x="0" y="0"/>
                    <a:ext cx="7996799" cy="2282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1" w15:restartNumberingAfterBreak="0">
    <w:nsid w:val="010675B0"/>
    <w:multiLevelType w:val="hybridMultilevel"/>
    <w:tmpl w:val="442A5648"/>
    <w:lvl w:ilvl="0" w:tplc="A4946864">
      <w:start w:val="1"/>
      <w:numFmt w:val="bullet"/>
      <w:pStyle w:val="Graphbullet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B0354"/>
    <w:multiLevelType w:val="hybridMultilevel"/>
    <w:tmpl w:val="0464C5E2"/>
    <w:lvl w:ilvl="0" w:tplc="13A87BB0">
      <w:start w:val="1"/>
      <w:numFmt w:val="bullet"/>
      <w:pStyle w:val="Graphbullet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77AFC"/>
    <w:multiLevelType w:val="hybridMultilevel"/>
    <w:tmpl w:val="251E707C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448EF"/>
    <w:multiLevelType w:val="hybridMultilevel"/>
    <w:tmpl w:val="A92A2166"/>
    <w:lvl w:ilvl="0" w:tplc="A4583C36">
      <w:start w:val="1"/>
      <w:numFmt w:val="bullet"/>
      <w:pStyle w:val="Graphbullet2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AA7"/>
    <w:multiLevelType w:val="multilevel"/>
    <w:tmpl w:val="109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C1828"/>
    <w:multiLevelType w:val="multilevel"/>
    <w:tmpl w:val="00E80A2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color w:val="107082" w:themeColor="accent2"/>
        <w:u w:color="F0CDA1" w:themeColor="accent1"/>
      </w:rPr>
    </w:lvl>
    <w:lvl w:ilvl="1">
      <w:start w:val="1"/>
      <w:numFmt w:val="lowerLetter"/>
      <w:pStyle w:val="ListNumber2"/>
      <w:lvlText w:val="%2."/>
      <w:lvlJc w:val="left"/>
      <w:pPr>
        <w:ind w:left="360" w:hanging="360"/>
      </w:pPr>
      <w:rPr>
        <w:rFonts w:hint="default"/>
        <w:color w:val="107082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413E43"/>
    <w:multiLevelType w:val="hybridMultilevel"/>
    <w:tmpl w:val="C68A50B8"/>
    <w:lvl w:ilvl="0" w:tplc="0416000F">
      <w:start w:val="1"/>
      <w:numFmt w:val="decimal"/>
      <w:lvlText w:val="%1."/>
      <w:lvlJc w:val="left"/>
      <w:pPr>
        <w:ind w:left="778" w:hanging="360"/>
      </w:pPr>
    </w:lvl>
    <w:lvl w:ilvl="1" w:tplc="04160019" w:tentative="1">
      <w:start w:val="1"/>
      <w:numFmt w:val="lowerLetter"/>
      <w:lvlText w:val="%2."/>
      <w:lvlJc w:val="left"/>
      <w:pPr>
        <w:ind w:left="1498" w:hanging="360"/>
      </w:pPr>
    </w:lvl>
    <w:lvl w:ilvl="2" w:tplc="0416001B" w:tentative="1">
      <w:start w:val="1"/>
      <w:numFmt w:val="lowerRoman"/>
      <w:lvlText w:val="%3."/>
      <w:lvlJc w:val="right"/>
      <w:pPr>
        <w:ind w:left="2218" w:hanging="180"/>
      </w:pPr>
    </w:lvl>
    <w:lvl w:ilvl="3" w:tplc="0416000F" w:tentative="1">
      <w:start w:val="1"/>
      <w:numFmt w:val="decimal"/>
      <w:lvlText w:val="%4."/>
      <w:lvlJc w:val="left"/>
      <w:pPr>
        <w:ind w:left="2938" w:hanging="360"/>
      </w:pPr>
    </w:lvl>
    <w:lvl w:ilvl="4" w:tplc="04160019" w:tentative="1">
      <w:start w:val="1"/>
      <w:numFmt w:val="lowerLetter"/>
      <w:lvlText w:val="%5."/>
      <w:lvlJc w:val="left"/>
      <w:pPr>
        <w:ind w:left="3658" w:hanging="360"/>
      </w:pPr>
    </w:lvl>
    <w:lvl w:ilvl="5" w:tplc="0416001B" w:tentative="1">
      <w:start w:val="1"/>
      <w:numFmt w:val="lowerRoman"/>
      <w:lvlText w:val="%6."/>
      <w:lvlJc w:val="right"/>
      <w:pPr>
        <w:ind w:left="4378" w:hanging="180"/>
      </w:pPr>
    </w:lvl>
    <w:lvl w:ilvl="6" w:tplc="0416000F" w:tentative="1">
      <w:start w:val="1"/>
      <w:numFmt w:val="decimal"/>
      <w:lvlText w:val="%7."/>
      <w:lvlJc w:val="left"/>
      <w:pPr>
        <w:ind w:left="5098" w:hanging="360"/>
      </w:pPr>
    </w:lvl>
    <w:lvl w:ilvl="7" w:tplc="04160019" w:tentative="1">
      <w:start w:val="1"/>
      <w:numFmt w:val="lowerLetter"/>
      <w:lvlText w:val="%8."/>
      <w:lvlJc w:val="left"/>
      <w:pPr>
        <w:ind w:left="5818" w:hanging="360"/>
      </w:pPr>
    </w:lvl>
    <w:lvl w:ilvl="8" w:tplc="0416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9" w15:restartNumberingAfterBreak="0">
    <w:nsid w:val="53B20FED"/>
    <w:multiLevelType w:val="hybridMultilevel"/>
    <w:tmpl w:val="6C464C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55DFB"/>
    <w:multiLevelType w:val="hybridMultilevel"/>
    <w:tmpl w:val="5FF0DC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6"/>
  </w:num>
  <w:num w:numId="9">
    <w:abstractNumId w:val="8"/>
  </w:num>
  <w:num w:numId="10">
    <w:abstractNumId w:val="10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7D"/>
    <w:rsid w:val="0000092E"/>
    <w:rsid w:val="00012A83"/>
    <w:rsid w:val="00017C3C"/>
    <w:rsid w:val="00021F2E"/>
    <w:rsid w:val="00023DF5"/>
    <w:rsid w:val="00026EAE"/>
    <w:rsid w:val="0003123C"/>
    <w:rsid w:val="00032A10"/>
    <w:rsid w:val="00043FFE"/>
    <w:rsid w:val="00044074"/>
    <w:rsid w:val="0004430C"/>
    <w:rsid w:val="00066DE2"/>
    <w:rsid w:val="00077931"/>
    <w:rsid w:val="0008028B"/>
    <w:rsid w:val="00084E91"/>
    <w:rsid w:val="0008694D"/>
    <w:rsid w:val="000900B6"/>
    <w:rsid w:val="000940DC"/>
    <w:rsid w:val="000A649E"/>
    <w:rsid w:val="000A7626"/>
    <w:rsid w:val="000B5DA2"/>
    <w:rsid w:val="000C1C28"/>
    <w:rsid w:val="000C5872"/>
    <w:rsid w:val="000D426F"/>
    <w:rsid w:val="000E0979"/>
    <w:rsid w:val="000E1544"/>
    <w:rsid w:val="000E26AD"/>
    <w:rsid w:val="001155CE"/>
    <w:rsid w:val="001225D9"/>
    <w:rsid w:val="00124370"/>
    <w:rsid w:val="00160392"/>
    <w:rsid w:val="0016365E"/>
    <w:rsid w:val="001A5429"/>
    <w:rsid w:val="001C7777"/>
    <w:rsid w:val="001D1C22"/>
    <w:rsid w:val="001D4FF6"/>
    <w:rsid w:val="001E11F1"/>
    <w:rsid w:val="001E1E58"/>
    <w:rsid w:val="00206719"/>
    <w:rsid w:val="002309F4"/>
    <w:rsid w:val="00240312"/>
    <w:rsid w:val="00247B17"/>
    <w:rsid w:val="00252E4A"/>
    <w:rsid w:val="002642A8"/>
    <w:rsid w:val="002955AB"/>
    <w:rsid w:val="002A137B"/>
    <w:rsid w:val="002A3099"/>
    <w:rsid w:val="002B017D"/>
    <w:rsid w:val="002D3D74"/>
    <w:rsid w:val="002E6D69"/>
    <w:rsid w:val="0031130D"/>
    <w:rsid w:val="00314A6F"/>
    <w:rsid w:val="003269F3"/>
    <w:rsid w:val="00334394"/>
    <w:rsid w:val="00347AF5"/>
    <w:rsid w:val="00360F98"/>
    <w:rsid w:val="00362478"/>
    <w:rsid w:val="00374421"/>
    <w:rsid w:val="003A1203"/>
    <w:rsid w:val="003B5758"/>
    <w:rsid w:val="003D59A7"/>
    <w:rsid w:val="003E78A7"/>
    <w:rsid w:val="003F0714"/>
    <w:rsid w:val="003F13B0"/>
    <w:rsid w:val="003F556C"/>
    <w:rsid w:val="003F5F4A"/>
    <w:rsid w:val="00403423"/>
    <w:rsid w:val="004262DD"/>
    <w:rsid w:val="0042646F"/>
    <w:rsid w:val="00435096"/>
    <w:rsid w:val="004411FB"/>
    <w:rsid w:val="00443212"/>
    <w:rsid w:val="00445E11"/>
    <w:rsid w:val="00493EC0"/>
    <w:rsid w:val="00495909"/>
    <w:rsid w:val="004B5251"/>
    <w:rsid w:val="004C0453"/>
    <w:rsid w:val="004C7B3E"/>
    <w:rsid w:val="00513832"/>
    <w:rsid w:val="00526C37"/>
    <w:rsid w:val="00533047"/>
    <w:rsid w:val="0056301D"/>
    <w:rsid w:val="00577B45"/>
    <w:rsid w:val="005854DB"/>
    <w:rsid w:val="005901CF"/>
    <w:rsid w:val="005919AF"/>
    <w:rsid w:val="005A20E2"/>
    <w:rsid w:val="005B3210"/>
    <w:rsid w:val="005B6A1A"/>
    <w:rsid w:val="005C63EF"/>
    <w:rsid w:val="005D2146"/>
    <w:rsid w:val="005D2475"/>
    <w:rsid w:val="005E7FF4"/>
    <w:rsid w:val="005F6388"/>
    <w:rsid w:val="006329E1"/>
    <w:rsid w:val="00633E73"/>
    <w:rsid w:val="006409FA"/>
    <w:rsid w:val="00653087"/>
    <w:rsid w:val="0065359E"/>
    <w:rsid w:val="00655308"/>
    <w:rsid w:val="00664450"/>
    <w:rsid w:val="006703AC"/>
    <w:rsid w:val="006770C7"/>
    <w:rsid w:val="00685B4E"/>
    <w:rsid w:val="006936EB"/>
    <w:rsid w:val="006B2383"/>
    <w:rsid w:val="006D0144"/>
    <w:rsid w:val="006D40ED"/>
    <w:rsid w:val="006E3FC8"/>
    <w:rsid w:val="006F01BB"/>
    <w:rsid w:val="006F38DB"/>
    <w:rsid w:val="007157EF"/>
    <w:rsid w:val="0073670F"/>
    <w:rsid w:val="00740FCE"/>
    <w:rsid w:val="00753E67"/>
    <w:rsid w:val="00780305"/>
    <w:rsid w:val="00784AB5"/>
    <w:rsid w:val="007B17C4"/>
    <w:rsid w:val="007B1F5A"/>
    <w:rsid w:val="007B3AB6"/>
    <w:rsid w:val="007B5AFF"/>
    <w:rsid w:val="007B6165"/>
    <w:rsid w:val="007C136F"/>
    <w:rsid w:val="007C5AF4"/>
    <w:rsid w:val="007D40E3"/>
    <w:rsid w:val="007D5767"/>
    <w:rsid w:val="007F793B"/>
    <w:rsid w:val="00811551"/>
    <w:rsid w:val="00813EC8"/>
    <w:rsid w:val="00817F8C"/>
    <w:rsid w:val="00833126"/>
    <w:rsid w:val="0083428B"/>
    <w:rsid w:val="00876F99"/>
    <w:rsid w:val="008820B3"/>
    <w:rsid w:val="00886169"/>
    <w:rsid w:val="0089410F"/>
    <w:rsid w:val="00895BA9"/>
    <w:rsid w:val="008965F6"/>
    <w:rsid w:val="008A2B5E"/>
    <w:rsid w:val="008A3682"/>
    <w:rsid w:val="008D3386"/>
    <w:rsid w:val="008D33EF"/>
    <w:rsid w:val="008F704C"/>
    <w:rsid w:val="0090206C"/>
    <w:rsid w:val="00902998"/>
    <w:rsid w:val="00912C1B"/>
    <w:rsid w:val="0092125E"/>
    <w:rsid w:val="00924319"/>
    <w:rsid w:val="009355C2"/>
    <w:rsid w:val="00940EF1"/>
    <w:rsid w:val="00952A7A"/>
    <w:rsid w:val="00962C9E"/>
    <w:rsid w:val="009634CB"/>
    <w:rsid w:val="00974BF8"/>
    <w:rsid w:val="0097663B"/>
    <w:rsid w:val="009A2472"/>
    <w:rsid w:val="009A3B33"/>
    <w:rsid w:val="009A45A0"/>
    <w:rsid w:val="009B35B5"/>
    <w:rsid w:val="009B4773"/>
    <w:rsid w:val="009D2556"/>
    <w:rsid w:val="009E62D8"/>
    <w:rsid w:val="00A27E86"/>
    <w:rsid w:val="00A31FE4"/>
    <w:rsid w:val="00A630FD"/>
    <w:rsid w:val="00A67285"/>
    <w:rsid w:val="00A74908"/>
    <w:rsid w:val="00A84D72"/>
    <w:rsid w:val="00A91213"/>
    <w:rsid w:val="00A960DC"/>
    <w:rsid w:val="00AA29B1"/>
    <w:rsid w:val="00AA387F"/>
    <w:rsid w:val="00AA66D7"/>
    <w:rsid w:val="00AB63C7"/>
    <w:rsid w:val="00AC3653"/>
    <w:rsid w:val="00AE0241"/>
    <w:rsid w:val="00AE5008"/>
    <w:rsid w:val="00AF3405"/>
    <w:rsid w:val="00B26302"/>
    <w:rsid w:val="00B37B3B"/>
    <w:rsid w:val="00B4074D"/>
    <w:rsid w:val="00B44C47"/>
    <w:rsid w:val="00B57756"/>
    <w:rsid w:val="00B57F4F"/>
    <w:rsid w:val="00B62F8B"/>
    <w:rsid w:val="00B7636D"/>
    <w:rsid w:val="00B80CF1"/>
    <w:rsid w:val="00B85818"/>
    <w:rsid w:val="00B968D2"/>
    <w:rsid w:val="00BA2A38"/>
    <w:rsid w:val="00BA31C4"/>
    <w:rsid w:val="00BB02E6"/>
    <w:rsid w:val="00BD0C60"/>
    <w:rsid w:val="00C0494A"/>
    <w:rsid w:val="00C17BCF"/>
    <w:rsid w:val="00C20A20"/>
    <w:rsid w:val="00C3246A"/>
    <w:rsid w:val="00C65564"/>
    <w:rsid w:val="00CA61D8"/>
    <w:rsid w:val="00CD1D98"/>
    <w:rsid w:val="00CF1267"/>
    <w:rsid w:val="00D03C59"/>
    <w:rsid w:val="00D13200"/>
    <w:rsid w:val="00D16340"/>
    <w:rsid w:val="00D26769"/>
    <w:rsid w:val="00D27AF8"/>
    <w:rsid w:val="00D5791A"/>
    <w:rsid w:val="00D57E99"/>
    <w:rsid w:val="00D6543F"/>
    <w:rsid w:val="00D74E0C"/>
    <w:rsid w:val="00D94688"/>
    <w:rsid w:val="00D9515C"/>
    <w:rsid w:val="00DA1EED"/>
    <w:rsid w:val="00DB5A2E"/>
    <w:rsid w:val="00DC0528"/>
    <w:rsid w:val="00DC1104"/>
    <w:rsid w:val="00DC4886"/>
    <w:rsid w:val="00DC7466"/>
    <w:rsid w:val="00DC7E1C"/>
    <w:rsid w:val="00DE65A2"/>
    <w:rsid w:val="00DF2DCC"/>
    <w:rsid w:val="00E01D0E"/>
    <w:rsid w:val="00E16215"/>
    <w:rsid w:val="00E22922"/>
    <w:rsid w:val="00E31650"/>
    <w:rsid w:val="00E35169"/>
    <w:rsid w:val="00E35EEC"/>
    <w:rsid w:val="00E53724"/>
    <w:rsid w:val="00E552C8"/>
    <w:rsid w:val="00E6126E"/>
    <w:rsid w:val="00E75006"/>
    <w:rsid w:val="00E75F06"/>
    <w:rsid w:val="00E84350"/>
    <w:rsid w:val="00E85863"/>
    <w:rsid w:val="00E91AE4"/>
    <w:rsid w:val="00EA431D"/>
    <w:rsid w:val="00EC4BCD"/>
    <w:rsid w:val="00F02DE8"/>
    <w:rsid w:val="00F04882"/>
    <w:rsid w:val="00F217D3"/>
    <w:rsid w:val="00F33F5E"/>
    <w:rsid w:val="00F42EF3"/>
    <w:rsid w:val="00F60840"/>
    <w:rsid w:val="00F63B66"/>
    <w:rsid w:val="00F63BD1"/>
    <w:rsid w:val="00F75B86"/>
    <w:rsid w:val="00F77933"/>
    <w:rsid w:val="00F8411A"/>
    <w:rsid w:val="00FA32CA"/>
    <w:rsid w:val="00FC1405"/>
    <w:rsid w:val="00FE2D9D"/>
    <w:rsid w:val="00FF0913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788B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4"/>
        <w:szCs w:val="24"/>
        <w:lang w:val="en-US" w:eastAsia="en-US" w:bidi="ar-SA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</w:latentStyles>
  <w:style w:type="paragraph" w:default="1" w:styleId="Normal">
    <w:name w:val="Normal"/>
    <w:qFormat/>
    <w:rsid w:val="007B6165"/>
  </w:style>
  <w:style w:type="paragraph" w:styleId="Heading1">
    <w:name w:val="heading 1"/>
    <w:basedOn w:val="Normal"/>
    <w:next w:val="Normal"/>
    <w:link w:val="Heading1Char"/>
    <w:uiPriority w:val="9"/>
    <w:qFormat/>
    <w:rsid w:val="00F63BD1"/>
    <w:pPr>
      <w:keepNext/>
      <w:keepLines/>
      <w:pBdr>
        <w:bottom w:val="single" w:sz="24" w:space="4" w:color="F0CDA1" w:themeColor="accent1"/>
      </w:pBdr>
      <w:spacing w:before="360"/>
      <w:outlineLvl w:val="0"/>
    </w:pPr>
    <w:rPr>
      <w:rFonts w:asciiTheme="majorHAnsi" w:eastAsiaTheme="majorEastAsia" w:hAnsiTheme="majorHAnsi" w:cstheme="majorBidi"/>
      <w:b/>
      <w:caps/>
      <w:color w:val="107082" w:themeColor="accent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64450"/>
    <w:pPr>
      <w:spacing w:line="240" w:lineRule="auto"/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C6C1B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rsid w:val="002E6D69"/>
    <w:pPr>
      <w:tabs>
        <w:tab w:val="center" w:pos="4844"/>
        <w:tab w:val="right" w:pos="9689"/>
      </w:tabs>
      <w:spacing w:before="0" w:after="0"/>
    </w:pPr>
    <w:rPr>
      <w:rFonts w:asciiTheme="majorHAnsi" w:hAnsiTheme="majorHAnsi" w:cstheme="minorHAnsi"/>
      <w:b/>
      <w:caps/>
      <w:color w:val="107082" w:themeColor="accent2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2E6D69"/>
    <w:rPr>
      <w:rFonts w:asciiTheme="majorHAnsi" w:hAnsiTheme="majorHAnsi" w:cstheme="minorHAnsi"/>
      <w:b/>
      <w:caps/>
      <w:color w:val="107082" w:themeColor="accent2"/>
      <w:sz w:val="28"/>
    </w:rPr>
  </w:style>
  <w:style w:type="paragraph" w:styleId="Footer">
    <w:name w:val="footer"/>
    <w:basedOn w:val="Normal"/>
    <w:link w:val="FooterChar"/>
    <w:uiPriority w:val="99"/>
    <w:rsid w:val="00F8411A"/>
    <w:pPr>
      <w:pBdr>
        <w:top w:val="single" w:sz="8" w:space="1" w:color="F0CDA1" w:themeColor="accent1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47AF5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5A20E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54DB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SubtitleChar">
    <w:name w:val="Subtitle Char"/>
    <w:basedOn w:val="DefaultParagraphFont"/>
    <w:link w:val="Subtitle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Heading1Char">
    <w:name w:val="Heading 1 Char"/>
    <w:basedOn w:val="DefaultParagraphFont"/>
    <w:link w:val="Heading1"/>
    <w:uiPriority w:val="9"/>
    <w:rsid w:val="00F63BD1"/>
    <w:rPr>
      <w:rFonts w:asciiTheme="majorHAnsi" w:eastAsiaTheme="majorEastAsia" w:hAnsiTheme="majorHAnsi" w:cstheme="majorBidi"/>
      <w:b/>
      <w:caps/>
      <w:color w:val="107082" w:themeColor="accent2"/>
      <w:sz w:val="36"/>
      <w:szCs w:val="32"/>
    </w:rPr>
  </w:style>
  <w:style w:type="paragraph" w:customStyle="1" w:styleId="Default">
    <w:name w:val="Default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ListParagraph">
    <w:name w:val="List Paragraph"/>
    <w:basedOn w:val="Normal"/>
    <w:uiPriority w:val="34"/>
    <w:semiHidden/>
    <w:qFormat/>
    <w:rsid w:val="005D2146"/>
    <w:pPr>
      <w:ind w:left="720"/>
      <w:contextualSpacing/>
    </w:pPr>
  </w:style>
  <w:style w:type="character" w:styleId="SubtleEmphasis">
    <w:name w:val="Subtle Emphasis"/>
    <w:uiPriority w:val="19"/>
    <w:semiHidden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Emphasis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IntenseEmphasis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TableGrid">
    <w:name w:val="Table Grid"/>
    <w:basedOn w:val="TableNormal"/>
    <w:uiPriority w:val="39"/>
    <w:rsid w:val="0007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TOCHeading">
    <w:name w:val="TOC Heading"/>
    <w:basedOn w:val="Normal"/>
    <w:next w:val="Normal"/>
    <w:uiPriority w:val="39"/>
    <w:semiHidden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TOC1">
    <w:name w:val="toc 1"/>
    <w:basedOn w:val="Normal"/>
    <w:next w:val="Normal"/>
    <w:autoRedefine/>
    <w:uiPriority w:val="39"/>
    <w:semiHidden/>
    <w:rsid w:val="001E1E58"/>
    <w:pPr>
      <w:spacing w:after="100"/>
    </w:pPr>
  </w:style>
  <w:style w:type="character" w:styleId="Hyperlink">
    <w:name w:val="Hyperlink"/>
    <w:basedOn w:val="DefaultParagraphFont"/>
    <w:uiPriority w:val="99"/>
    <w:semiHidden/>
    <w:rsid w:val="001E1E58"/>
    <w:rPr>
      <w:color w:val="0000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7C136F"/>
    <w:rPr>
      <w:sz w:val="16"/>
      <w:szCs w:val="16"/>
    </w:rPr>
  </w:style>
  <w:style w:type="paragraph" w:styleId="NoSpacing">
    <w:name w:val="No Spacing"/>
    <w:link w:val="NoSpacingChar"/>
    <w:uiPriority w:val="1"/>
    <w:qFormat/>
    <w:rsid w:val="009B35B5"/>
    <w:pPr>
      <w:spacing w:after="0" w:line="240" w:lineRule="auto"/>
    </w:pPr>
    <w:rPr>
      <w:i/>
    </w:rPr>
  </w:style>
  <w:style w:type="paragraph" w:styleId="ListBullet">
    <w:name w:val="List Bullet"/>
    <w:basedOn w:val="Normal"/>
    <w:uiPriority w:val="99"/>
    <w:qFormat/>
    <w:rsid w:val="0003123C"/>
    <w:pPr>
      <w:numPr>
        <w:numId w:val="1"/>
      </w:numPr>
      <w:spacing w:before="0" w:after="200" w:line="276" w:lineRule="auto"/>
      <w:ind w:left="340" w:hanging="340"/>
    </w:pPr>
  </w:style>
  <w:style w:type="paragraph" w:styleId="ListNumber">
    <w:name w:val="List Number"/>
    <w:basedOn w:val="Normal"/>
    <w:uiPriority w:val="99"/>
    <w:semiHidden/>
    <w:rsid w:val="00685B4E"/>
    <w:pPr>
      <w:numPr>
        <w:numId w:val="6"/>
      </w:numPr>
      <w:spacing w:before="0" w:line="276" w:lineRule="auto"/>
    </w:pPr>
  </w:style>
  <w:style w:type="character" w:styleId="Strong">
    <w:name w:val="Strong"/>
    <w:basedOn w:val="DefaultParagraphFont"/>
    <w:uiPriority w:val="22"/>
    <w:semiHidden/>
    <w:qFormat/>
    <w:rsid w:val="00BA31C4"/>
    <w:rPr>
      <w:b/>
      <w:bCs/>
    </w:rPr>
  </w:style>
  <w:style w:type="character" w:customStyle="1" w:styleId="Bold">
    <w:name w:val="Bold"/>
    <w:uiPriority w:val="1"/>
    <w:qFormat/>
    <w:rsid w:val="00BA31C4"/>
    <w:rPr>
      <w:b/>
      <w:bCs/>
    </w:rPr>
  </w:style>
  <w:style w:type="paragraph" w:styleId="ListBullet2">
    <w:name w:val="List Bullet 2"/>
    <w:basedOn w:val="Normal"/>
    <w:uiPriority w:val="99"/>
    <w:semiHidden/>
    <w:rsid w:val="00D27AF8"/>
    <w:pPr>
      <w:numPr>
        <w:numId w:val="7"/>
      </w:numPr>
      <w:spacing w:before="0"/>
    </w:pPr>
  </w:style>
  <w:style w:type="paragraph" w:customStyle="1" w:styleId="Graphheading1">
    <w:name w:val="Graph heading 1"/>
    <w:basedOn w:val="Normal"/>
    <w:rsid w:val="008965F6"/>
    <w:pPr>
      <w:spacing w:after="60" w:line="240" w:lineRule="auto"/>
    </w:pPr>
    <w:rPr>
      <w:b/>
      <w:color w:val="054854" w:themeColor="accent3"/>
    </w:rPr>
  </w:style>
  <w:style w:type="paragraph" w:customStyle="1" w:styleId="Graphheading2">
    <w:name w:val="Graph heading 2"/>
    <w:basedOn w:val="Normal"/>
    <w:rsid w:val="00664450"/>
    <w:pPr>
      <w:spacing w:after="60" w:line="240" w:lineRule="auto"/>
    </w:pPr>
    <w:rPr>
      <w:b/>
      <w:color w:val="F99927" w:themeColor="accent5"/>
    </w:rPr>
  </w:style>
  <w:style w:type="paragraph" w:customStyle="1" w:styleId="Graphheading3">
    <w:name w:val="Graph heading 3"/>
    <w:basedOn w:val="Normal"/>
    <w:rsid w:val="00664450"/>
    <w:pPr>
      <w:spacing w:after="60" w:line="240" w:lineRule="auto"/>
    </w:pPr>
    <w:rPr>
      <w:b/>
      <w:color w:val="EC7216" w:themeColor="accent6"/>
    </w:rPr>
  </w:style>
  <w:style w:type="paragraph" w:customStyle="1" w:styleId="Graphheading4">
    <w:name w:val="Graph heading 4"/>
    <w:basedOn w:val="Normal"/>
    <w:rsid w:val="008965F6"/>
    <w:pPr>
      <w:spacing w:after="60" w:line="240" w:lineRule="auto"/>
    </w:pPr>
    <w:rPr>
      <w:b/>
      <w:color w:val="107082" w:themeColor="accent2"/>
    </w:rPr>
  </w:style>
  <w:style w:type="paragraph" w:customStyle="1" w:styleId="Graphbullet">
    <w:name w:val="Graph bullet"/>
    <w:basedOn w:val="Normal"/>
    <w:rsid w:val="008965F6"/>
    <w:pPr>
      <w:numPr>
        <w:numId w:val="2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2">
    <w:name w:val="Graph bullet 2"/>
    <w:basedOn w:val="Normal"/>
    <w:rsid w:val="008965F6"/>
    <w:pPr>
      <w:numPr>
        <w:numId w:val="4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3">
    <w:name w:val="Graph bullet 3"/>
    <w:basedOn w:val="Normal"/>
    <w:rsid w:val="008965F6"/>
    <w:pPr>
      <w:numPr>
        <w:numId w:val="3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4">
    <w:name w:val="Graph bullet 4"/>
    <w:basedOn w:val="Normal"/>
    <w:rsid w:val="008965F6"/>
    <w:pPr>
      <w:numPr>
        <w:numId w:val="5"/>
      </w:numPr>
      <w:spacing w:before="0" w:after="0" w:line="240" w:lineRule="auto"/>
      <w:ind w:left="284" w:hanging="284"/>
    </w:pPr>
    <w:rPr>
      <w:sz w:val="20"/>
    </w:rPr>
  </w:style>
  <w:style w:type="paragraph" w:customStyle="1" w:styleId="TableTextLarge">
    <w:name w:val="Table Text Large"/>
    <w:basedOn w:val="Normal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ListNumber2">
    <w:name w:val="List Number 2"/>
    <w:basedOn w:val="Normal"/>
    <w:uiPriority w:val="99"/>
    <w:semiHidden/>
    <w:rsid w:val="00685B4E"/>
    <w:pPr>
      <w:numPr>
        <w:ilvl w:val="1"/>
        <w:numId w:val="6"/>
      </w:numPr>
      <w:spacing w:before="0" w:line="271" w:lineRule="auto"/>
    </w:pPr>
  </w:style>
  <w:style w:type="paragraph" w:customStyle="1" w:styleId="ChartText">
    <w:name w:val="Chart Text"/>
    <w:basedOn w:val="Normal"/>
    <w:rsid w:val="005B3210"/>
    <w:pPr>
      <w:spacing w:line="240" w:lineRule="auto"/>
      <w:jc w:val="center"/>
    </w:pPr>
    <w:rPr>
      <w:b/>
      <w:color w:val="FFFFFF" w:themeColor="background1"/>
      <w:sz w:val="20"/>
      <w:szCs w:val="20"/>
    </w:rPr>
  </w:style>
  <w:style w:type="paragraph" w:customStyle="1" w:styleId="Header1">
    <w:name w:val="Header 1"/>
    <w:basedOn w:val="Normal"/>
    <w:next w:val="Normal"/>
    <w:link w:val="Header1Char"/>
    <w:uiPriority w:val="99"/>
    <w:qFormat/>
    <w:rsid w:val="002E6D69"/>
    <w:pPr>
      <w:spacing w:before="0" w:after="840"/>
    </w:pPr>
    <w:rPr>
      <w:i/>
    </w:rPr>
  </w:style>
  <w:style w:type="character" w:customStyle="1" w:styleId="Header1Char">
    <w:name w:val="Header 1 Char"/>
    <w:basedOn w:val="DefaultParagraphFont"/>
    <w:link w:val="Header1"/>
    <w:uiPriority w:val="99"/>
    <w:rsid w:val="000E26AD"/>
    <w:rPr>
      <w:i/>
    </w:rPr>
  </w:style>
  <w:style w:type="paragraph" w:styleId="Caption">
    <w:name w:val="caption"/>
    <w:basedOn w:val="Normal"/>
    <w:next w:val="Normal"/>
    <w:uiPriority w:val="35"/>
    <w:unhideWhenUsed/>
    <w:qFormat/>
    <w:rsid w:val="009E62D8"/>
    <w:pPr>
      <w:spacing w:before="0" w:after="200" w:line="240" w:lineRule="auto"/>
    </w:pPr>
    <w:rPr>
      <w:i/>
      <w:iCs/>
      <w:color w:val="00292E" w:themeColor="text2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6703AC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8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header" Target="header1.xml"/><Relationship Id="rId55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footer" Target="footer1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dro\AppData\Roaming\Microsoft\Templates\Home%20business%20market%20analysis%20and%20SWO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222BFD607434144B00E60A6499B2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77B72-8726-4108-B6EA-645C1BA6B78F}"/>
      </w:docPartPr>
      <w:docPartBody>
        <w:p w:rsidR="0003007A" w:rsidRDefault="00BE156A">
          <w:pPr>
            <w:pStyle w:val="7222BFD607434144B00E60A6499B252F"/>
          </w:pPr>
          <w:r w:rsidRPr="00F63BD1">
            <w:t>Industry Overview</w:t>
          </w:r>
        </w:p>
      </w:docPartBody>
    </w:docPart>
    <w:docPart>
      <w:docPartPr>
        <w:name w:val="49A2BF495AB64A78B19250167978C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B6A43-4741-4CB3-B481-743262B0F254}"/>
      </w:docPartPr>
      <w:docPartBody>
        <w:p w:rsidR="00842D0A" w:rsidRPr="00F63BD1" w:rsidRDefault="00BE156A" w:rsidP="00F63BD1">
          <w:r w:rsidRPr="00F63BD1">
            <w:t>When gathering details on the industry, consider the type of business. This will guide selecting information to include in the market analysis. For example, assess how and where the home-based business will fit into the existing market by defining its competitive advantage and the unique value the business will offer.</w:t>
          </w:r>
        </w:p>
        <w:p w:rsidR="0003007A" w:rsidRDefault="00BE156A">
          <w:pPr>
            <w:pStyle w:val="49A2BF495AB64A78B19250167978C7A1"/>
          </w:pPr>
          <w:r w:rsidRPr="00F63BD1">
            <w:t>Some of the sections highlighted below may or may not apply to the intended business, so only use what is essential.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675B0"/>
    <w:multiLevelType w:val="hybridMultilevel"/>
    <w:tmpl w:val="442A5648"/>
    <w:lvl w:ilvl="0" w:tplc="A4946864">
      <w:start w:val="1"/>
      <w:numFmt w:val="bullet"/>
      <w:pStyle w:val="Graphbullet4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  <w:u w:color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B0354"/>
    <w:multiLevelType w:val="hybridMultilevel"/>
    <w:tmpl w:val="0464C5E2"/>
    <w:lvl w:ilvl="0" w:tplc="13A87BB0">
      <w:start w:val="1"/>
      <w:numFmt w:val="bullet"/>
      <w:pStyle w:val="Graphbullet3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  <w:u w:color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  <w:u w:color="4472C4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77AFC"/>
    <w:multiLevelType w:val="hybridMultilevel"/>
    <w:tmpl w:val="251E707C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ascii="Symbol" w:hAnsi="Symbol" w:hint="default"/>
        <w:color w:val="A5A5A5" w:themeColor="accent3"/>
        <w:u w:color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448EF"/>
    <w:multiLevelType w:val="hybridMultilevel"/>
    <w:tmpl w:val="A92A2166"/>
    <w:lvl w:ilvl="0" w:tplc="A4583C36">
      <w:start w:val="1"/>
      <w:numFmt w:val="bullet"/>
      <w:pStyle w:val="Graphbullet2"/>
      <w:lvlText w:val=""/>
      <w:lvlJc w:val="left"/>
      <w:pPr>
        <w:ind w:left="720" w:hanging="360"/>
      </w:pPr>
      <w:rPr>
        <w:rFonts w:ascii="Symbol" w:hAnsi="Symbol" w:hint="default"/>
        <w:color w:val="5B9BD5" w:themeColor="accent5"/>
        <w:u w:color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6A"/>
    <w:rsid w:val="0003007A"/>
    <w:rsid w:val="00156895"/>
    <w:rsid w:val="00535E97"/>
    <w:rsid w:val="007A4BF0"/>
    <w:rsid w:val="00BD4802"/>
    <w:rsid w:val="00BE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48B2861FEA46FD9C450C368248920C">
    <w:name w:val="3748B2861FEA46FD9C450C368248920C"/>
  </w:style>
  <w:style w:type="paragraph" w:customStyle="1" w:styleId="29DAD6694330495CA2A00ADBD294AB69">
    <w:name w:val="29DAD6694330495CA2A00ADBD294AB69"/>
  </w:style>
  <w:style w:type="paragraph" w:customStyle="1" w:styleId="7222BFD607434144B00E60A6499B252F">
    <w:name w:val="7222BFD607434144B00E60A6499B252F"/>
  </w:style>
  <w:style w:type="paragraph" w:customStyle="1" w:styleId="49A2BF495AB64A78B19250167978C7A1">
    <w:name w:val="49A2BF495AB64A78B19250167978C7A1"/>
  </w:style>
  <w:style w:type="character" w:customStyle="1" w:styleId="Bold">
    <w:name w:val="Bold"/>
    <w:uiPriority w:val="1"/>
    <w:qFormat/>
    <w:rPr>
      <w:b/>
      <w:bCs/>
    </w:rPr>
  </w:style>
  <w:style w:type="paragraph" w:customStyle="1" w:styleId="BCF4C01319744F67B896E41D6A07296A">
    <w:name w:val="BCF4C01319744F67B896E41D6A07296A"/>
  </w:style>
  <w:style w:type="paragraph" w:customStyle="1" w:styleId="80D0E6523332429D8BB860999382E0A8">
    <w:name w:val="80D0E6523332429D8BB860999382E0A8"/>
  </w:style>
  <w:style w:type="paragraph" w:customStyle="1" w:styleId="9E2FE116E944428384B6B060FDF47E4D">
    <w:name w:val="9E2FE116E944428384B6B060FDF47E4D"/>
  </w:style>
  <w:style w:type="paragraph" w:customStyle="1" w:styleId="5C3F5FA739054F66B8BC9A5962B48220">
    <w:name w:val="5C3F5FA739054F66B8BC9A5962B48220"/>
  </w:style>
  <w:style w:type="paragraph" w:customStyle="1" w:styleId="68CE69A747194680AD7493911CEAD90E">
    <w:name w:val="68CE69A747194680AD7493911CEAD90E"/>
  </w:style>
  <w:style w:type="paragraph" w:customStyle="1" w:styleId="0D23A4A638B64FDB92B05B83E491CEBA">
    <w:name w:val="0D23A4A638B64FDB92B05B83E491CEBA"/>
  </w:style>
  <w:style w:type="paragraph" w:customStyle="1" w:styleId="E3E732DEB6054A3BB0CCAE5CDF8A5E70">
    <w:name w:val="E3E732DEB6054A3BB0CCAE5CDF8A5E70"/>
  </w:style>
  <w:style w:type="paragraph" w:customStyle="1" w:styleId="9ECC909A27B6452B9DBA61EA050FDC3C">
    <w:name w:val="9ECC909A27B6452B9DBA61EA050FDC3C"/>
  </w:style>
  <w:style w:type="paragraph" w:customStyle="1" w:styleId="A82D28277A454F07B4CED79E7DE725C3">
    <w:name w:val="A82D28277A454F07B4CED79E7DE725C3"/>
  </w:style>
  <w:style w:type="paragraph" w:customStyle="1" w:styleId="5431C01EAA7C4362B8D849796F47DBEE">
    <w:name w:val="5431C01EAA7C4362B8D849796F47DBEE"/>
  </w:style>
  <w:style w:type="paragraph" w:customStyle="1" w:styleId="D34A9CB2E38B41F290142F0BAC9A55C7">
    <w:name w:val="D34A9CB2E38B41F290142F0BAC9A55C7"/>
  </w:style>
  <w:style w:type="paragraph" w:customStyle="1" w:styleId="46E1D88302AD48CCB2B8BB5434BE85D9">
    <w:name w:val="46E1D88302AD48CCB2B8BB5434BE85D9"/>
  </w:style>
  <w:style w:type="paragraph" w:customStyle="1" w:styleId="59D5D6D060E6408EAA40E9BA4950F233">
    <w:name w:val="59D5D6D060E6408EAA40E9BA4950F233"/>
  </w:style>
  <w:style w:type="paragraph" w:styleId="ListBullet">
    <w:name w:val="List Bullet"/>
    <w:basedOn w:val="Normal"/>
    <w:uiPriority w:val="99"/>
    <w:pPr>
      <w:numPr>
        <w:numId w:val="1"/>
      </w:numPr>
      <w:spacing w:after="200" w:line="276" w:lineRule="auto"/>
      <w:ind w:left="340" w:hanging="340"/>
    </w:pPr>
    <w:rPr>
      <w:rFonts w:eastAsiaTheme="minorHAnsi"/>
      <w:color w:val="595959" w:themeColor="text1" w:themeTint="A6"/>
      <w:sz w:val="24"/>
      <w:szCs w:val="24"/>
      <w:lang w:val="en-US" w:eastAsia="en-US"/>
    </w:rPr>
  </w:style>
  <w:style w:type="paragraph" w:customStyle="1" w:styleId="2B81C50CF522418E89F0441A33D43820">
    <w:name w:val="2B81C50CF522418E89F0441A33D43820"/>
  </w:style>
  <w:style w:type="paragraph" w:customStyle="1" w:styleId="A08C64DF4C924F54B02E166D9CAA53CD">
    <w:name w:val="A08C64DF4C924F54B02E166D9CAA53CD"/>
  </w:style>
  <w:style w:type="paragraph" w:customStyle="1" w:styleId="203CDD0A6BBB44F082CE014B7F648A4C">
    <w:name w:val="203CDD0A6BBB44F082CE014B7F648A4C"/>
  </w:style>
  <w:style w:type="paragraph" w:customStyle="1" w:styleId="5540E5567B7849C98DAA131D8DA86CBD">
    <w:name w:val="5540E5567B7849C98DAA131D8DA86CBD"/>
  </w:style>
  <w:style w:type="paragraph" w:customStyle="1" w:styleId="865C04E24E504B40AFE44A6793696E99">
    <w:name w:val="865C04E24E504B40AFE44A6793696E99"/>
  </w:style>
  <w:style w:type="paragraph" w:customStyle="1" w:styleId="A535F240308B4F9C9CB32C687E03B413">
    <w:name w:val="A535F240308B4F9C9CB32C687E03B413"/>
  </w:style>
  <w:style w:type="paragraph" w:customStyle="1" w:styleId="D4F3AFA0CE184650B2D60141D732C163">
    <w:name w:val="D4F3AFA0CE184650B2D60141D732C163"/>
  </w:style>
  <w:style w:type="paragraph" w:customStyle="1" w:styleId="AEBA9FED48454CBFA4219FACCB165EED">
    <w:name w:val="AEBA9FED48454CBFA4219FACCB165EED"/>
  </w:style>
  <w:style w:type="paragraph" w:customStyle="1" w:styleId="989FEE3BE75C448393C906D5A5803FD9">
    <w:name w:val="989FEE3BE75C448393C906D5A5803FD9"/>
  </w:style>
  <w:style w:type="paragraph" w:customStyle="1" w:styleId="8100AE54387D45AEB5AB7AB5E9C576AE">
    <w:name w:val="8100AE54387D45AEB5AB7AB5E9C576AE"/>
  </w:style>
  <w:style w:type="paragraph" w:customStyle="1" w:styleId="0161B3381D924E808100807A2E90B88C">
    <w:name w:val="0161B3381D924E808100807A2E90B88C"/>
  </w:style>
  <w:style w:type="paragraph" w:customStyle="1" w:styleId="9C9877A509C141F3A30E193A7938B863">
    <w:name w:val="9C9877A509C141F3A30E193A7938B863"/>
  </w:style>
  <w:style w:type="paragraph" w:customStyle="1" w:styleId="B0B32613AE594527BC0B7A9BB2ADBF62">
    <w:name w:val="B0B32613AE594527BC0B7A9BB2ADBF62"/>
  </w:style>
  <w:style w:type="paragraph" w:customStyle="1" w:styleId="4B3E81F924D94797B1B2A8A49C3C9E54">
    <w:name w:val="4B3E81F924D94797B1B2A8A49C3C9E54"/>
  </w:style>
  <w:style w:type="paragraph" w:customStyle="1" w:styleId="C3C42D20984A4C11BF3E99D9BEF5D028">
    <w:name w:val="C3C42D20984A4C11BF3E99D9BEF5D028"/>
  </w:style>
  <w:style w:type="paragraph" w:customStyle="1" w:styleId="529A36B055DF4C8FA4B426E0393154DD">
    <w:name w:val="529A36B055DF4C8FA4B426E0393154DD"/>
  </w:style>
  <w:style w:type="paragraph" w:customStyle="1" w:styleId="68B2D15FF096426AA16FADDE011BCB39">
    <w:name w:val="68B2D15FF096426AA16FADDE011BCB39"/>
  </w:style>
  <w:style w:type="paragraph" w:customStyle="1" w:styleId="5149D8032A924F318B2E9858BD8255F0">
    <w:name w:val="5149D8032A924F318B2E9858BD8255F0"/>
  </w:style>
  <w:style w:type="paragraph" w:customStyle="1" w:styleId="84CEDA1690AA442690D21696F3D93A23">
    <w:name w:val="84CEDA1690AA442690D21696F3D93A23"/>
  </w:style>
  <w:style w:type="paragraph" w:customStyle="1" w:styleId="7A241B24CFCA45119F12DF1F6C333DE6">
    <w:name w:val="7A241B24CFCA45119F12DF1F6C333DE6"/>
  </w:style>
  <w:style w:type="paragraph" w:customStyle="1" w:styleId="658DD12AB30D456DA0E2ECD3E4856F2B">
    <w:name w:val="658DD12AB30D456DA0E2ECD3E4856F2B"/>
  </w:style>
  <w:style w:type="paragraph" w:customStyle="1" w:styleId="A96780F7223048EAAEBE1EC5F43BA296">
    <w:name w:val="A96780F7223048EAAEBE1EC5F43BA296"/>
  </w:style>
  <w:style w:type="paragraph" w:customStyle="1" w:styleId="FBDF1C35D9C7482DAF3250BED60D606A">
    <w:name w:val="FBDF1C35D9C7482DAF3250BED60D606A"/>
  </w:style>
  <w:style w:type="paragraph" w:customStyle="1" w:styleId="074E4F587AE243CBAF7E41B263EC4716">
    <w:name w:val="074E4F587AE243CBAF7E41B263EC4716"/>
  </w:style>
  <w:style w:type="paragraph" w:customStyle="1" w:styleId="4AF6E83136924A6382FCB8EC68D2743C">
    <w:name w:val="4AF6E83136924A6382FCB8EC68D2743C"/>
  </w:style>
  <w:style w:type="paragraph" w:customStyle="1" w:styleId="739D2CA49B8F41C8BFA3FCB6F36A9A8D">
    <w:name w:val="739D2CA49B8F41C8BFA3FCB6F36A9A8D"/>
  </w:style>
  <w:style w:type="paragraph" w:customStyle="1" w:styleId="83A4D39F23F449E88A309024374C8C87">
    <w:name w:val="83A4D39F23F449E88A309024374C8C87"/>
  </w:style>
  <w:style w:type="paragraph" w:customStyle="1" w:styleId="2AEC0E64891B4622A6E87F80F464C2D6">
    <w:name w:val="2AEC0E64891B4622A6E87F80F464C2D6"/>
  </w:style>
  <w:style w:type="paragraph" w:customStyle="1" w:styleId="5D3AADE68DCD4AB5BF56EFB038163C1A">
    <w:name w:val="5D3AADE68DCD4AB5BF56EFB038163C1A"/>
  </w:style>
  <w:style w:type="paragraph" w:customStyle="1" w:styleId="F3F2B4B0B6904E05BF26C7F43E8F1199">
    <w:name w:val="F3F2B4B0B6904E05BF26C7F43E8F1199"/>
  </w:style>
  <w:style w:type="paragraph" w:customStyle="1" w:styleId="41B5D8F6D565441588CED258A5A41135">
    <w:name w:val="41B5D8F6D565441588CED258A5A41135"/>
  </w:style>
  <w:style w:type="paragraph" w:customStyle="1" w:styleId="3C01A0FB5F6E41CA8344A8078F0DF97A">
    <w:name w:val="3C01A0FB5F6E41CA8344A8078F0DF97A"/>
  </w:style>
  <w:style w:type="paragraph" w:customStyle="1" w:styleId="9BD90086BBA3447BB92A9C8ED86AC08C">
    <w:name w:val="9BD90086BBA3447BB92A9C8ED86AC08C"/>
  </w:style>
  <w:style w:type="paragraph" w:customStyle="1" w:styleId="Graphbullet">
    <w:name w:val="Graph bullet"/>
    <w:basedOn w:val="Normal"/>
    <w:qFormat/>
    <w:pPr>
      <w:numPr>
        <w:numId w:val="2"/>
      </w:numPr>
      <w:spacing w:after="0" w:line="216" w:lineRule="auto"/>
      <w:ind w:left="284" w:hanging="284"/>
    </w:pPr>
    <w:rPr>
      <w:rFonts w:eastAsiaTheme="minorHAnsi"/>
      <w:color w:val="595959" w:themeColor="text1" w:themeTint="A6"/>
      <w:sz w:val="20"/>
      <w:szCs w:val="24"/>
      <w:lang w:val="en-US" w:eastAsia="en-US"/>
    </w:rPr>
  </w:style>
  <w:style w:type="paragraph" w:customStyle="1" w:styleId="7C08EE25DDE8424DBB480BEA0EFA2389">
    <w:name w:val="7C08EE25DDE8424DBB480BEA0EFA2389"/>
  </w:style>
  <w:style w:type="paragraph" w:customStyle="1" w:styleId="434C90F9794F43D9A74DD9BFEC8F3DF5">
    <w:name w:val="434C90F9794F43D9A74DD9BFEC8F3DF5"/>
  </w:style>
  <w:style w:type="paragraph" w:customStyle="1" w:styleId="Graphbullet2">
    <w:name w:val="Graph bullet 2"/>
    <w:basedOn w:val="Normal"/>
    <w:qFormat/>
    <w:pPr>
      <w:numPr>
        <w:numId w:val="3"/>
      </w:numPr>
      <w:spacing w:after="0" w:line="216" w:lineRule="auto"/>
      <w:ind w:left="284" w:hanging="284"/>
    </w:pPr>
    <w:rPr>
      <w:rFonts w:eastAsiaTheme="minorHAnsi"/>
      <w:color w:val="595959" w:themeColor="text1" w:themeTint="A6"/>
      <w:sz w:val="20"/>
      <w:szCs w:val="24"/>
      <w:lang w:val="en-US" w:eastAsia="en-US"/>
    </w:rPr>
  </w:style>
  <w:style w:type="paragraph" w:customStyle="1" w:styleId="8535424B4A7645CB976C6C50E453B79D">
    <w:name w:val="8535424B4A7645CB976C6C50E453B79D"/>
  </w:style>
  <w:style w:type="paragraph" w:customStyle="1" w:styleId="58A46AB8BCE74766B267719CB8A7BAF0">
    <w:name w:val="58A46AB8BCE74766B267719CB8A7BAF0"/>
  </w:style>
  <w:style w:type="paragraph" w:customStyle="1" w:styleId="Graphbullet3">
    <w:name w:val="Graph bullet 3"/>
    <w:basedOn w:val="Normal"/>
    <w:qFormat/>
    <w:pPr>
      <w:numPr>
        <w:numId w:val="4"/>
      </w:numPr>
      <w:spacing w:after="0" w:line="216" w:lineRule="auto"/>
      <w:ind w:left="284" w:hanging="284"/>
    </w:pPr>
    <w:rPr>
      <w:rFonts w:eastAsiaTheme="minorHAnsi"/>
      <w:color w:val="595959" w:themeColor="text1" w:themeTint="A6"/>
      <w:sz w:val="20"/>
      <w:szCs w:val="24"/>
      <w:lang w:val="en-US" w:eastAsia="en-US"/>
    </w:rPr>
  </w:style>
  <w:style w:type="paragraph" w:customStyle="1" w:styleId="6DBDA9D0617B442691039CE0DDD6F428">
    <w:name w:val="6DBDA9D0617B442691039CE0DDD6F428"/>
  </w:style>
  <w:style w:type="paragraph" w:customStyle="1" w:styleId="C856D44730AC4F89B0F231BD5F3D479F">
    <w:name w:val="C856D44730AC4F89B0F231BD5F3D479F"/>
  </w:style>
  <w:style w:type="paragraph" w:customStyle="1" w:styleId="Graphbullet4">
    <w:name w:val="Graph bullet 4"/>
    <w:basedOn w:val="Normal"/>
    <w:qFormat/>
    <w:pPr>
      <w:numPr>
        <w:numId w:val="5"/>
      </w:numPr>
      <w:spacing w:after="0" w:line="240" w:lineRule="auto"/>
      <w:ind w:left="284" w:hanging="284"/>
    </w:pPr>
    <w:rPr>
      <w:rFonts w:eastAsiaTheme="minorHAnsi"/>
      <w:color w:val="595959" w:themeColor="text1" w:themeTint="A6"/>
      <w:sz w:val="20"/>
      <w:szCs w:val="24"/>
      <w:lang w:val="en-US" w:eastAsia="en-US"/>
    </w:rPr>
  </w:style>
  <w:style w:type="paragraph" w:customStyle="1" w:styleId="484D88A0001742AB8A07C4DE9ACFF452">
    <w:name w:val="484D88A0001742AB8A07C4DE9ACFF452"/>
  </w:style>
  <w:style w:type="paragraph" w:customStyle="1" w:styleId="271EE67856694D57B657CD89DFD6776E">
    <w:name w:val="271EE67856694D57B657CD89DFD6776E"/>
  </w:style>
  <w:style w:type="paragraph" w:customStyle="1" w:styleId="01363F0BCE9B431FBE23668D9019ECD8">
    <w:name w:val="01363F0BCE9B431FBE23668D9019ECD8"/>
  </w:style>
  <w:style w:type="paragraph" w:customStyle="1" w:styleId="80DF9FAB3D18468F92979FEC4B73A49B">
    <w:name w:val="80DF9FAB3D18468F92979FEC4B73A49B"/>
  </w:style>
  <w:style w:type="paragraph" w:customStyle="1" w:styleId="E3CBC50B7A014E759D8625527EF5450F">
    <w:name w:val="E3CBC50B7A014E759D8625527EF5450F"/>
    <w:rsid w:val="007A4BF0"/>
  </w:style>
  <w:style w:type="paragraph" w:customStyle="1" w:styleId="3F7CF10A17DD4353BB594D68930AF417">
    <w:name w:val="3F7CF10A17DD4353BB594D68930AF417"/>
    <w:rsid w:val="007A4BF0"/>
  </w:style>
  <w:style w:type="paragraph" w:customStyle="1" w:styleId="CAA60D06F9884278992343B64685C2FC">
    <w:name w:val="CAA60D06F9884278992343B64685C2FC"/>
    <w:rsid w:val="007A4BF0"/>
  </w:style>
  <w:style w:type="paragraph" w:customStyle="1" w:styleId="65E96069A5D345D19E106F2C08791884">
    <w:name w:val="65E96069A5D345D19E106F2C08791884"/>
    <w:rsid w:val="007A4BF0"/>
  </w:style>
  <w:style w:type="paragraph" w:customStyle="1" w:styleId="78482A45D15E4C8DBF2BC655DCF1C6A5">
    <w:name w:val="78482A45D15E4C8DBF2BC655DCF1C6A5"/>
    <w:rsid w:val="007A4B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Pós Tech: Data &amp; Analytics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543BF8-D561-4553-B76A-95AA02A274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C05FCB-AF85-478F-9500-21308C89FBA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84E339F2-D1ED-4FBE-8C44-D373B8224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B8D4BFF-7B38-43AF-8B59-67422D918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 business market analysis and SWOT.dotx</Template>
  <TotalTime>0</TotalTime>
  <Pages>38</Pages>
  <Words>5667</Words>
  <Characters>30607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DATATHON – Case Passos Mágicos</vt:lpstr>
    </vt:vector>
  </TitlesOfParts>
  <Company/>
  <LinksUpToDate>false</LinksUpToDate>
  <CharactersWithSpaces>36202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DATATHON – Case Passos Mágicos</dc:title>
  <dc:subject>Mudando a vida de crianças e jovens por meio da educação</dc:subject>
  <dc:creator/>
  <cp:keywords/>
  <dc:description/>
  <cp:lastModifiedBy/>
  <cp:revision>1</cp:revision>
  <dcterms:created xsi:type="dcterms:W3CDTF">2026-03-21T17:16:00Z</dcterms:created>
  <dcterms:modified xsi:type="dcterms:W3CDTF">2026-03-22T01:10:00Z</dcterms:modified>
  <cp:contentStatus>Mudandoa vida de crianças e jovens por meio da educação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