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Relatório Consolidado: Análise Exploratória e Storytelling</w:t>
      </w:r>
    </w:p>
    <w:p>
      <w:pPr>
        <w:pStyle w:val="Heading2"/>
      </w:pPr>
      <w:r>
        <w:t>Programa PEDE: Passos Mágicos (2022–2024)</w:t>
      </w:r>
    </w:p>
    <w:p>
      <w:r>
        <w:t>Este relatório reúne as respostas às dez perguntas analíticas do projeto, com os respectivos gráficos e análises interpretativas. Cada seção apresenta os gráficos produzidos e um texto consolidado com os principais achados e implicações estratégicas.</w:t>
      </w:r>
    </w:p>
    <w:p>
      <w:pPr>
        <w:pStyle w:val="Heading2"/>
      </w:pPr>
      <w:r>
        <w:t>Pergunta 1: Adequação do Nível (IAN): Perfil de Defasagem e Evolução Temporal</w:t>
      </w:r>
    </w:p>
    <w:p>
      <w:pPr>
        <w:ind w:left="432"/>
      </w:pPr>
      <w:r>
        <w:rPr>
          <w:i/>
          <w:color w:val="707070"/>
        </w:rPr>
        <w:t>Gráfico 1, Pergunta 1:</w:t>
      </w:r>
    </w:p>
    <w:p>
      <w:pPr>
        <w:ind w:left="432"/>
      </w:pPr>
      <w:r>
        <w:rPr>
          <w:i/>
          <w:color w:val="707070"/>
        </w:rPr>
        <w:t>Figura 1, Composição do IAN por Faixa de Adequação (barras empilhadas 2022–2024)</w:t>
      </w:r>
    </w:p>
    <w:p>
      <w:pPr>
        <w:ind w:left="432"/>
      </w:pPr>
      <w:r>
        <w:rPr>
          <w:i/>
          <w:color w:val="707070"/>
        </w:rPr>
        <w:t>Gráfico 2, Pergunta 1:</w:t>
      </w:r>
    </w:p>
    <w:p>
      <w:pPr>
        <w:ind w:left="432"/>
      </w:pPr>
      <w:r>
        <w:rPr>
          <w:i/>
          <w:color w:val="707070"/>
        </w:rPr>
        <w:t>Figura 2, Evolução do Perfil de Adequação ao Nível (IAN), linhas de tendência por faixa 2022–2024</w:t>
      </w:r>
    </w:p>
    <w:p>
      <w:pPr>
        <w:pStyle w:val="Heading3"/>
      </w:pPr>
      <w:r>
        <w:t>Análise</w:t>
      </w:r>
    </w:p>
    <w:p>
      <w:r>
        <w:t>O Índice de Adequação ao Nível (IAN) classifica cada aluno em uma de três situações: defasagem crítica (muito abaixo do nível esperado para a série), defasagem moderada (parcialmente abaixo) ou adequado ao nível. É um diagnóstico direto: o aluno está onde deveria estar?</w:t>
      </w:r>
    </w:p>
    <w:p>
      <w:r>
        <w:t>O ponto de partida (2022).</w:t>
      </w:r>
    </w:p>
    <w:p>
      <w:r>
        <w:t>Dos 860 alunos avaliados no início do período, 70% apresentavam alguma defasagem em relação ao nível esperado: 66,6% em nível moderado e 3,3% em nível crítico. Apenas 30 em cada 100 alunos estavam plenamente adequados.</w:t>
      </w:r>
    </w:p>
    <w:p>
      <w:r>
        <w:t>A trajetória dos três anos.</w:t>
      </w:r>
    </w:p>
    <w:p>
      <w:r>
        <w:t>Em 2022, dos 860 alunos, 28 (3,3%) apresentavam defasagem crítica, 573 (66,6%) defasagem moderada e 259 (30,1%) estavam adequados. Em 2023, com 1.014 alunos, esses números evoluíram para 14 (1,4%) em defasagem crítica, 538 (53,1%) em defasagem moderada e 462 (45,6%) adequados. Já em 2024, dos 1.156 alunos, apenas 3 (0,3%) permaneciam em defasagem crítica, 531 (45,9%) em defasagem moderada e 622 (53,8%) estavam adequados ao nível.</w:t>
      </w:r>
    </w:p>
    <w:p>
      <w:r>
        <w:t>A defasagem moderada recuou 20,7 pontos percentuais em dois anos, de 66,6% para 45,9%. A defasagem crítica foi quase totalmente eliminada, caindo de 3,3% para 0,3%, representando uma redução de 90%. O grupo de alunos adequados cresceu +23,7 pontos percentuais e se tornou maioria absoluta pela primeira vez em 2024.</w:t>
      </w:r>
    </w:p>
    <w:p>
      <w:r>
        <w:t>O programa cresceu e melhorou ao mesmo tempo.</w:t>
      </w:r>
    </w:p>
    <w:p>
      <w:r>
        <w:t>A base de atendimento aumentou 34%, de 860 para 1.156 alunos, sem comprometer os indicadores de qualidade. O fato de que os resultados melhoraram apesar da expansão torna os avanços ainda mais relevantes.</w:t>
      </w:r>
    </w:p>
    <w:p>
      <w:r>
        <w:t>O que ainda exige atenção.</w:t>
      </w:r>
    </w:p>
    <w:p>
      <w:r>
        <w:t>Em 2024, 534 alunos, 46% da base, continuam abaixo do nível adequado. Com a defasagem crítica praticamente zerada, o foco do próximo ciclo deve ser a transição do grupo de defasagem moderada para o nível adequado: é o maior contingente em aberto e onde está o maior potencial de impacto imediato.</w:t>
      </w:r>
    </w:p>
    <w:p>
      <w:pPr>
        <w:pStyle w:val="Heading2"/>
      </w:pPr>
      <w:r>
        <w:t>Pergunta 2: Desempenho Acadêmico (IDA): Evolução por Ano e por Fase</w:t>
      </w:r>
    </w:p>
    <w:p>
      <w:pPr>
        <w:ind w:left="432"/>
      </w:pPr>
      <w:r>
        <w:rPr>
          <w:i/>
          <w:color w:val="707070"/>
        </w:rPr>
        <w:t>Gráfico 1, Pergunta 2:</w:t>
      </w:r>
    </w:p>
    <w:p>
      <w:pPr>
        <w:ind w:left="432"/>
      </w:pPr>
      <w:r>
        <w:rPr>
          <w:i/>
          <w:color w:val="707070"/>
        </w:rPr>
        <w:t>Figura 3, IDA Médio por Ano (barras com linha de tendência)</w:t>
      </w:r>
    </w:p>
    <w:p>
      <w:pPr>
        <w:ind w:left="432"/>
      </w:pPr>
      <w:r>
        <w:rPr>
          <w:i/>
          <w:color w:val="707070"/>
        </w:rPr>
        <w:t>Gráfico 2, Pergunta 2:</w:t>
      </w:r>
    </w:p>
    <w:p>
      <w:pPr>
        <w:ind w:left="432"/>
      </w:pPr>
      <w:r>
        <w:rPr>
          <w:i/>
          <w:color w:val="707070"/>
        </w:rPr>
        <w:t>Figura 4, IDA Médio por Fase e Ano (barras agrupadas)</w:t>
      </w:r>
    </w:p>
    <w:p>
      <w:pPr>
        <w:ind w:left="432"/>
      </w:pPr>
      <w:r>
        <w:rPr>
          <w:i/>
          <w:color w:val="707070"/>
        </w:rPr>
        <w:t>Gráfico 3, Pergunta 2:</w:t>
      </w:r>
    </w:p>
    <w:p>
      <w:pPr>
        <w:ind w:left="432"/>
      </w:pPr>
      <w:r>
        <w:rPr>
          <w:i/>
          <w:color w:val="707070"/>
        </w:rPr>
        <w:t>Figura 5, Distribuição do IDA por Ano (boxplot)</w:t>
      </w:r>
    </w:p>
    <w:p>
      <w:pPr>
        <w:pStyle w:val="Heading3"/>
      </w:pPr>
      <w:r>
        <w:t>Análise</w:t>
      </w:r>
    </w:p>
    <w:p>
      <w:r>
        <w:t>O Índice de Desempenho Acadêmico (IDA) consolida o resultado dos alunos nas avaliações do programa PEDE em uma escala de 0 a 10. Diferente do IAN, que classifica em três categorias, o IDA é contínuo: pequenas variações entre anos são capturadas e comparáveis.</w:t>
      </w:r>
    </w:p>
    <w:p>
      <w:r>
        <w:t>Evolução por ano.</w:t>
      </w:r>
    </w:p>
    <w:p>
      <w:r>
        <w:t>O desempenho médio seguiu um perfil de avanço expressivo seguido de retração parcial. Em 2022, com 860 alunos, o IDA médio era de 6,09 e a nota mediana de 6,30. Em 2023, com 937 alunos, essa média saltou para 6,66 e a mediana para 6,83, uma variação positiva de +0,57 pontos (+9,4%). Em 2024, com 1.055 alunos, a média recuou para 6,35 e a mediana para 6,75. Ainda assim, o resultado de 2024 fechou +0,26 pontos acima do patamar inicial de 2022, evidenciando ganho líquido positivo no período.</w:t>
      </w:r>
    </w:p>
    <w:p>
      <w:r>
        <w:t>O melhor resultado do período foi atingido em 2023, com avanço de quase 10% sobre 2022. A retração de 2024 tem contexto: o programa admitiu cerca de 260 novos alunos, com trajetórias mais variadas, o que naturalmente puxa a média geral para baixo, sem que isso signifique perda de qualidade para os alunos já atendidos. Um sinal disso é que em 2023 as notas ficaram mais concentradas (turma mais homogênea), e em 2024 voltaram a se espalhar, reflexo direto da chegada de perfis mais distintos.</w:t>
      </w:r>
    </w:p>
    <w:p>
      <w:r>
        <w:t>Desempenho por fase.</w:t>
      </w:r>
    </w:p>
    <w:p>
      <w:r>
        <w:t>O cruzamento por fase revela padrões relevantes e consistentes ao longo dos anos. A fase ALFA abre com desempenho elevado e estável (entre 7,1 e 7,4), os alunos ingressantes chegam com base sólida para a metodologia do programa. As Fases 3 e 4 concentram os menores desempenhos em todos os anos, com IDA entre 5,1 e 6,1, é a fase de maior dificuldade da trajetória, independentemente do ciclo avaliado. As Fases 6 e 7 mostram recuperação, com o IDA subindo para a faixa de 6,7 a 7,8, evidenciando o efeito acumulado do programa nos alunos que avançam. A Fase 8 apareceu pela primeira vez em 2024 com IDA de 8,00, o melhor resultado de toda a série por fase.</w:t>
      </w:r>
    </w:p>
    <w:p>
      <w:r>
        <w:t>Implicação estratégica.</w:t>
      </w:r>
    </w:p>
    <w:p>
      <w:r>
        <w:t>O gargalo das Fases 3 e 4 é recorrente nos três anos sem exceção. Dirigir suporte pedagógico adicional a essas fases tem o maior potencial de impacto sobre o IDA geral do programa. Por outro lado, os alunos que chegam às fases mais avançadas evidenciam que a metodologia PEDE tem efeito acumulado relevante: quanto mais tempo no programa, melhor o resultado.</w:t>
      </w:r>
    </w:p>
    <w:p>
      <w:pPr>
        <w:pStyle w:val="Heading2"/>
      </w:pPr>
      <w:r>
        <w:t>Pergunta 3: Engajamento (IEG): Relação com IDA e IPV</w:t>
      </w:r>
    </w:p>
    <w:p>
      <w:pPr>
        <w:ind w:left="432"/>
      </w:pPr>
      <w:r>
        <w:rPr>
          <w:i/>
          <w:color w:val="707070"/>
        </w:rPr>
        <w:t>Gráfico 1, Pergunta 3:</w:t>
      </w:r>
    </w:p>
    <w:p>
      <w:pPr>
        <w:ind w:left="432"/>
      </w:pPr>
      <w:r>
        <w:rPr>
          <w:i/>
          <w:color w:val="707070"/>
        </w:rPr>
        <w:t>Figura 6, Scatter IEG × IDA e IEG × IPV (2024, com linha de regressão)</w:t>
      </w:r>
    </w:p>
    <w:p>
      <w:pPr>
        <w:ind w:left="432"/>
      </w:pPr>
      <w:r>
        <w:rPr>
          <w:i/>
          <w:color w:val="707070"/>
        </w:rPr>
        <w:t>Gráfico 2, Pergunta 3:</w:t>
      </w:r>
    </w:p>
    <w:p>
      <w:pPr>
        <w:ind w:left="432"/>
      </w:pPr>
      <w:r>
        <w:rPr>
          <w:i/>
          <w:color w:val="707070"/>
        </w:rPr>
        <w:t>Figura 7, IDA e IPV Médios por Quartil de IEG (2024)</w:t>
      </w:r>
    </w:p>
    <w:p>
      <w:pPr>
        <w:ind w:left="432"/>
      </w:pPr>
      <w:r>
        <w:rPr>
          <w:i/>
          <w:color w:val="707070"/>
        </w:rPr>
        <w:t>Gráfico 3, Pergunta 3:</w:t>
      </w:r>
    </w:p>
    <w:p>
      <w:pPr>
        <w:ind w:left="432"/>
      </w:pPr>
      <w:r>
        <w:rPr>
          <w:i/>
          <w:color w:val="707070"/>
        </w:rPr>
        <w:t>Figura 8, Evolução da Correlação IEG × IDA e IEG × IPV (2022–2024)</w:t>
      </w:r>
    </w:p>
    <w:p>
      <w:pPr>
        <w:pStyle w:val="Heading3"/>
      </w:pPr>
      <w:r>
        <w:t>Análise</w:t>
      </w:r>
    </w:p>
    <w:p>
      <w:r>
        <w:t>O Índice de Engajamento (IEG) reflete o quanto o aluno participa e se comprometeu com as atividades do programa PEDE, em escala de 0 a 10. A pergunta que guia esta análise é: alunos mais engajados têm desempenho acadêmico e ponto de virada melhores?</w:t>
      </w:r>
    </w:p>
    <w:p>
      <w:r>
        <w:t>Resposta direta: sim, e a relação é consistente em todos os anos.</w:t>
      </w:r>
    </w:p>
    <w:p>
      <w:r>
        <w:t>Em 2022 (860 alunos), a associação entre IEG e IDA foi forte (r=0,564) e entre IEG e IPV também foi forte (r=0,589). Em 2023 (937 alunos), ambas as relações ficaram moderadas (r=0,461 e r=0,448, respectivamente). Em 2024 (1.054 alunos), a relação voltou a ser forte: IEG×IDA com r=0,547 e IEG×IPV com r=0,535. A relação entre engajamento e resultado se manteve presente e relevante em todos os anos, em nenhum deles foi atribuível ao acaso.</w:t>
      </w:r>
    </w:p>
    <w:p>
      <w:r>
        <w:t>Quanto cada nível de engajamento significa na prática (2024).</w:t>
      </w:r>
    </w:p>
    <w:p>
      <w:r>
        <w:t>Os alunos do grupo de menor engajamento (faixa 0,0–7,1 de IEG) apresentaram IDA médio de 4,70 e IPV médio de 6,52. O grupo de engajamento médio-baixo (7,1–8,6) registrou IDA de 6,13 e IPV de 7,23. O grupo médio-alto (8,6–9,5) chegou a IDA de 6,97 e IPV de 7,64. O grupo de maior engajamento (9,5–10,0) atingiu IDA de 7,62 e IPV de 8,04. Do grupo de menor para o de maior engajamento, o IDA subiu 2,92 pontos (+62%) e o IPV subiu 1,52 pontos (+23%). Não há nenhuma inversão nessa escada, mais engajamento acompanha melhores resultados de forma consistente e progressiva em todos os grupos.</w:t>
      </w:r>
    </w:p>
    <w:p>
      <w:r>
        <w:t>Implicação estratégica.</w:t>
      </w:r>
    </w:p>
    <w:p>
      <w:r>
        <w:t>Dois usos práticos se destacam. Primeiro, o reengajamento como alavanca de resultado: os alunos nos dois grupos de menor engajamento são os que mais têm a ganhar com intervenções direcionadas, elevar o IEG desse grupo tem efeito cascata direto no IDA e no IPV. Segundo, o IEG como sinal antecipado: uma queda no engajamento tende a preceder uma queda de desempenho. Monitorar o IEG com regularidade permite antecipar riscos antes que apareçam nas notas, transformando o indicador em ferramenta de prevenção, não apenas de diagnóstico.</w:t>
      </w:r>
    </w:p>
    <w:p>
      <w:r>
        <w:t>A leve queda da associação em 2023, único ano abaixo do nível de referência de r=0,5, pode ser explicada pelo contexto pós-pandemia, quando fatores externos como saúde mental e conectividade podem ter influenciado os resultados de forma independente do engajamento. A recuperação em 2024 confirma que esse comportamento foi transitório.</w:t>
      </w:r>
    </w:p>
    <w:p>
      <w:pPr>
        <w:pStyle w:val="Heading2"/>
      </w:pPr>
      <w:r>
        <w:t>Pergunta 4: Autoavaliação (IAA): As percepções dos alunos são coerentes com seu desempenho real e engajamento?</w:t>
      </w:r>
    </w:p>
    <w:p>
      <w:pPr>
        <w:ind w:left="432"/>
      </w:pPr>
      <w:r>
        <w:rPr>
          <w:i/>
          <w:color w:val="707070"/>
        </w:rPr>
        <w:t>Gráfico 1, Pergunta 4:</w:t>
      </w:r>
    </w:p>
    <w:p>
      <w:pPr>
        <w:ind w:left="432"/>
      </w:pPr>
      <w:r>
        <w:rPr>
          <w:i/>
          <w:color w:val="707070"/>
        </w:rPr>
        <w:t>Figura 9, Scatter Autoavaliação (IAA) × Desempenho Real (IDA), 2024 (com linha de identidade e regressão)</w:t>
      </w:r>
    </w:p>
    <w:p>
      <w:pPr>
        <w:ind w:left="432"/>
      </w:pPr>
      <w:r>
        <w:rPr>
          <w:i/>
          <w:color w:val="707070"/>
        </w:rPr>
        <w:t>Gráfico 2, Pergunta 4:</w:t>
      </w:r>
    </w:p>
    <w:p>
      <w:pPr>
        <w:ind w:left="432"/>
      </w:pPr>
      <w:r>
        <w:rPr>
          <w:i/>
          <w:color w:val="707070"/>
        </w:rPr>
        <w:t>Figura 10, Alinhamento entre Autoavaliação (IAA) e Desempenho Real (IDA) por Ano (% superestima / alinhado / subestima)</w:t>
      </w:r>
    </w:p>
    <w:p>
      <w:pPr>
        <w:ind w:left="432"/>
      </w:pPr>
      <w:r>
        <w:rPr>
          <w:i/>
          <w:color w:val="707070"/>
        </w:rPr>
        <w:t>Gráfico 3, Pergunta 4:</w:t>
      </w:r>
    </w:p>
    <w:p>
      <w:pPr>
        <w:ind w:left="432"/>
      </w:pPr>
      <w:r>
        <w:rPr>
          <w:i/>
          <w:color w:val="707070"/>
        </w:rPr>
        <w:t>Figura 11, IDA, IEG e Superestimação Média por Grupo de Autoavaliação (2024)</w:t>
      </w:r>
    </w:p>
    <w:p>
      <w:pPr>
        <w:pStyle w:val="Heading3"/>
      </w:pPr>
      <w:r>
        <w:t>Análise</w:t>
      </w:r>
    </w:p>
    <w:p>
      <w:r>
        <w:t>O Índice de Autoavaliação (IAA) registra como o próprio aluno avalia seu desenvolvimento dentro do programa PEDE, em escala de 0 a 10. A pergunta central é: quando um aluno se avalia bem, isso de fato corresponde a um bom desempenho acadêmico (IDA) e alto engajamento (IEG)?</w:t>
      </w:r>
    </w:p>
    <w:p>
      <w:r>
        <w:t>Resposta direta: a coerência é baixa, e o otimismo é sistemático.</w:t>
      </w:r>
    </w:p>
    <w:p>
      <w:r>
        <w:t>Em 2022, o IAA médio foi de 8,27 enquanto o IDA médio era apenas 6,09, a relação entre os dois, medida pela correlação de Pearson, foi fraca (r=0,21). Em 2023, o IAA médio caiu para 6,90 e a relação ficou ainda mais fraca (r=0,11). Em 2024, o IAA médio voltou a subir para 8,54, com IDA mdio de 6,35 e relação fraca (r=0,22). Em nenhum dos três anos o IAA demonstrou relação forte com o desempenho real. A autoavaliação correlaciona-se ligeiramente mais com o engajamento do que com a nota, ou seja, alunos mais participativos tendem a se avaliar melhor, mas isso não necessariamente se traduz em resultado acadêmico superior.</w:t>
      </w:r>
    </w:p>
    <w:p>
      <w:r>
        <w:t>O viés de otimismo: a regra, não a exceção.</w:t>
      </w:r>
    </w:p>
    <w:p>
      <w:r>
        <w:t>Em 2022, 70,6% dos alunos superestimaram seu desempenho (IAA acima do IDA em mais de 1 ponto), com apenas 22,9% alinhados e 6,5% subestimando, excesso médio de +2,18 pontos. Em 2023, o padrão foi diferente: 54,3% superestimaram, 23,1% estavam alinhados e 22,6% subestimaram, com gap reduzido a +0,25 pontos. Em 2024, o padrão voltou ao de 2022: 70,9% superestimaram, 23,4% alinhados e apenas 5,7% subestimaram, com excesso médio de +2,19 pontos. Em 2022 e 2024, mais de 70% dos alunos se avaliaram acima de seu desempenho real em pelo menos 1 ponto. O grupo que se alinha à realidade é minoria estável de cerca de 23%.</w:t>
      </w:r>
    </w:p>
    <w:p>
      <w:r>
        <w:t>O paradoxo do grupo mais otimista.</w:t>
      </w:r>
    </w:p>
    <w:p>
      <w:r>
        <w:t>Analisando os quatro grupos de IAA em 2024, um padrão surpreendente se destaca: o grupo com a autoavaliação mais alta (G4) tem desempenho real menor do que G3, 6,63 versus 6,81. Ao mesmo tempo, G4 registra a maior superestimação média de todos os grupos: +3,24 pontos. Os alunos que se avaliam melhor não são os que mais performam, e são os mais distantes da realidade. O grupo G1 (autoavaliação mais baixa) teve IDA de 5,91 com superestimação de +1,07 pontos; o G2 registrou IDA de 6,09 com +2,45 de superestimação; o G3 teve IDA de 6,81 com +2,42.</w:t>
      </w:r>
    </w:p>
    <w:p>
      <w:r>
        <w:t>Implicação estratégica.</w:t>
      </w:r>
    </w:p>
    <w:p>
      <w:r>
        <w:t>O IAA, isoladamente, não é um bom indicador de desempenho, a fraca relação com o IDA desaconselha seu uso como proxy de resultado. No entanto, ele tem valor como ferramenta de autoconhecimento e de diagnóstico de percepção: alunos com alto IAA e baixo IDA são candidatos naturais a programas de feedback personalizado, que ajudem a calibrar a percepção à realidade. O grupo G4, o mais otimista e com resultado abaixo do esperado para seu nível de autoconfiança, é o ponto de atenção central nessa frente.</w:t>
      </w:r>
    </w:p>
    <w:p>
      <w:pPr>
        <w:pStyle w:val="Heading2"/>
      </w:pPr>
      <w:r>
        <w:t>Pergunta 5: Aspectos Psicossociais (IPS): Padrões que Antecedem Quedas de Desempenho ou Engajamento?</w:t>
      </w:r>
    </w:p>
    <w:p>
      <w:pPr>
        <w:ind w:left="432"/>
      </w:pPr>
      <w:r>
        <w:rPr>
          <w:i/>
          <w:color w:val="707070"/>
        </w:rPr>
        <w:t>Gráfico 1, Pergunta 5:</w:t>
      </w:r>
    </w:p>
    <w:p>
      <w:pPr>
        <w:ind w:left="432"/>
      </w:pPr>
      <w:r>
        <w:rPr>
          <w:i/>
          <w:color w:val="707070"/>
        </w:rPr>
        <w:t>Figura 12, Distribuição do IPS por Ano (boxplot)</w:t>
      </w:r>
    </w:p>
    <w:p>
      <w:pPr>
        <w:ind w:left="432"/>
      </w:pPr>
      <w:r>
        <w:rPr>
          <w:i/>
          <w:color w:val="707070"/>
        </w:rPr>
        <w:t>Gráfico 2, Pergunta 5:</w:t>
      </w:r>
    </w:p>
    <w:p>
      <w:pPr>
        <w:ind w:left="432"/>
      </w:pPr>
      <w:r>
        <w:rPr>
          <w:i/>
          <w:color w:val="707070"/>
        </w:rPr>
        <w:t>Figura 13, Scatter IPS × IDA por Ano (três painéis 2022/2023/2024)</w:t>
      </w:r>
    </w:p>
    <w:p>
      <w:pPr>
        <w:ind w:left="432"/>
      </w:pPr>
      <w:r>
        <w:rPr>
          <w:i/>
          <w:color w:val="707070"/>
        </w:rPr>
        <w:t>Gráfico 3, Pergunta 5:</w:t>
      </w:r>
    </w:p>
    <w:p>
      <w:r>
        <w:t>Figuras 14 e 15, IDA e IEG Médios por Faixa de IPS, comparação 2022/2023/2024</w:t>
      </w:r>
    </w:p>
    <w:p>
      <w:pPr>
        <w:pStyle w:val="Heading3"/>
      </w:pPr>
      <w:r>
        <w:t>Análise</w:t>
      </w:r>
    </w:p>
    <w:p>
      <w:r>
        <w:t>O Índice Psicossocial (IPS) avalia aspectos do bem-estar e da condição social dos alunos dentro do programa PEDE, em escala de 0 a 10. A pergunta investiga se alunos com IPS mais baixo tendem a ter quedas de desempenho (IDA) ou engajamento (IEG), e se o IPS funciona como um sinal de alerta antecipado.</w:t>
      </w:r>
    </w:p>
    <w:p>
      <w:r>
        <w:t>Resposta direta: a relação individual é fraca, mas o comportamento coletivo em 2023 é revelador.</w:t>
      </w:r>
    </w:p>
    <w:p>
      <w:r>
        <w:t>Em 2022 (860 alunos), o IPS médio era 6,91 com mediana 7,5, e sua relação com o IDA era fraca (r=0,13) e com o IEG muito fraca (r=0,09). Em 2023 (945 alunos), o IPS médio desabou para 5,12 com mediana 5,0, queda de 26% na média, mantendo relacionamentos fracos com IDA (r=0,13) e IEG (r=0,04). Em 2024 (1.054 alunos), o indicador se recuperou para média 6,83 e mediana 7,5, com relações praticamente nulas: IDA (r=0,01) e IEG (r=0,06). Em nenhum dos três anos o IPS demonstrou relação forte com o desempenho ou o engajamento a nível individual, saber o IPS de um aluno não permite prever sua nota nem seu engajamento.</w:t>
      </w:r>
    </w:p>
    <w:p>
      <w:r>
        <w:t>O sinal está no coletivo, não no indivíduo.</w:t>
      </w:r>
    </w:p>
    <w:p>
      <w:r>
        <w:t>O fenômeno mais expressivo nos dados de IPS não é a relação com os outros indicadores, é a queda abrupta do próprio IPS em 2023. Esse colapso não se concentrou em um grupo específico de alunos: ao cruzar IPS com faixas de desempenho, todas as faixas registraram quedas simultâneas no IDA e no IEG naquele ano. A piora foi uniforme, não seletiva, o que indica um fator externo ao programa, provavelmente o impacto residual da pandemia sobre as condições de vida e bem-estar das famílias atendidas.</w:t>
      </w:r>
    </w:p>
    <w:p>
      <w:r>
        <w:t>Implicação estratégica.</w:t>
      </w:r>
    </w:p>
    <w:p>
      <w:r>
        <w:t>O IPS, isoladamente, não deve ser tratado como preditor de queda individual de desempenho, a relação linear simplesmente não é forte o suficiente. Seu valor está em outra dimensão: como termômetro coletivo de contexto. Uma queda generalizada do IPS, como a de 2023, funcionou retrospectivamente como sinal de que o ambiente externo ao programa estava pressionando os alunos de forma ampla. O monitoramento contínuo do IPS médio por turma ou fase pode servir como alerta precoce de ciclos de vulnerabilidade coletiva, momentos em que investimentos em suporte socioemocional e infraestrutura de apoio têm impacto preventivo antes que os efeitos apareçam no IDA.</w:t>
      </w:r>
    </w:p>
    <w:p>
      <w:r>
        <w:t>A ausência de correlação individual forte não significa que o IPS seja irrelevante, pode simplesmente indicar que sua relação com desempenho é não-linear ou mediada por outros fatores (como IAN ou IEG). Análises multivariadas futuras poderiam explorar se o IPS interage com outros indicadores para compor um perfil de risco mais robusto.</w:t>
      </w:r>
    </w:p>
    <w:p>
      <w:pPr>
        <w:pStyle w:val="Heading2"/>
      </w:pPr>
      <w:r>
        <w:t>Pergunta 6: Avaliação Psicopedagógica (IPP): As avaliações psicopedagógicas confirmam ou contradizem a defasagem identificada pelo IAN?</w:t>
      </w:r>
    </w:p>
    <w:p>
      <w:pPr>
        <w:ind w:left="432"/>
      </w:pPr>
      <w:r>
        <w:rPr>
          <w:i/>
          <w:color w:val="707070"/>
        </w:rPr>
        <w:t>Gráfico 1, Pergunta 6:</w:t>
      </w:r>
    </w:p>
    <w:p>
      <w:pPr>
        <w:ind w:left="432"/>
      </w:pPr>
      <w:r>
        <w:rPr>
          <w:i/>
          <w:color w:val="707070"/>
        </w:rPr>
        <w:t>Figura 16, IPP e IDA por Categoria de IAN, anos disponíveis (2023/2024) com triangulação 2022-2024</w:t>
      </w:r>
    </w:p>
    <w:p>
      <w:pPr>
        <w:ind w:left="432"/>
      </w:pPr>
      <w:r>
        <w:rPr>
          <w:i/>
          <w:color w:val="707070"/>
        </w:rPr>
        <w:t>Gráfico 2, Pergunta 6:</w:t>
      </w:r>
    </w:p>
    <w:p>
      <w:pPr>
        <w:ind w:left="432"/>
      </w:pPr>
      <w:r>
        <w:rPr>
          <w:i/>
          <w:color w:val="707070"/>
        </w:rPr>
        <w:t>Figura 17, Distribuição do IPP por Categoria de IAN (boxplot)</w:t>
      </w:r>
    </w:p>
    <w:p>
      <w:pPr>
        <w:ind w:left="432"/>
      </w:pPr>
      <w:r>
        <w:rPr>
          <w:i/>
          <w:color w:val="707070"/>
        </w:rPr>
        <w:t>Gráfico 3, Pergunta 6:</w:t>
      </w:r>
    </w:p>
    <w:p>
      <w:pPr>
        <w:ind w:left="432"/>
      </w:pPr>
      <w:r>
        <w:rPr>
          <w:i/>
          <w:color w:val="707070"/>
        </w:rPr>
        <w:t>Figura 18, Concordância entre IPP e IAN por Ano (%)</w:t>
      </w:r>
    </w:p>
    <w:p>
      <w:pPr>
        <w:pStyle w:val="Heading3"/>
      </w:pPr>
      <w:r>
        <w:t>Análise</w:t>
      </w:r>
    </w:p>
    <w:p>
      <w:r>
        <w:t>A resposta é majoritariamente sim, mas com nuances estrategicamente relevantes.</w:t>
      </w:r>
    </w:p>
    <w:p>
      <w:r>
        <w:t>Convergência entre IPP e IAN.</w:t>
      </w:r>
    </w:p>
    <w:p>
      <w:r>
        <w:t>Em termos médios, cada incremento na categoria de adequação registrada pelo IAN é acompanhado por uma elevação proporcional no IPP. Alunos classificados como</w:t>
      </w:r>
      <w:r>
        <w:t xml:space="preserve"> </w:t>
      </w:r>
      <w:r>
        <w:t>registram IPP consistentemente mais alto do que os de</w:t>
      </w:r>
      <w:r>
        <w:t xml:space="preserve"> </w:t>
      </w:r>
      <w:r>
        <w:t>, e este padrão se confirma nos anos analisados. Os dois instrumentos medem dimensões complementares do mesmo fenômeno: o IAN captura a defasagem curricular e o IPP traduz o desenvolvimento psicopedagógico subjacente, e ambos tendem a apontar na mesma direção.</w:t>
      </w:r>
    </w:p>
    <w:p>
      <w:r>
        <w:t>Onde os instrumentos discordam, e por que isso importa.</w:t>
      </w:r>
    </w:p>
    <w:p>
      <w:r>
        <w:t>Uma parcela relevante dos registros apresenta algum grau de discordância. O perfil mais frequente entre os casos discordantes é o de alunos com IAN baixo (defasagem moderada ou severa) que apresentam IPP razoável. Essa combinação, dificuldade acadêmica evidente, mas capacidade psicopedagógica preservada, representa um sinal precoce de potencial: são estudantes que possuem a base cognitiva e afetiva necessária para progredir, mas ainda não converteram esse potencial em desempenho.</w:t>
      </w:r>
    </w:p>
    <w:p>
      <w:r>
        <w:t>O perfil inverso, IAN adequado com IPP baixo, é menos frequente, mas igualmente relevante: indica alunos que aparentam bom nível curricular, mas cujo vínculo com a aprendizagem merece atenção, pois a fragilidade psicopedagógica pode comprometer a sustentação dos resultados ao longo do tempo.</w:t>
      </w:r>
    </w:p>
    <w:p>
      <w:r>
        <w:t>2023 como ponto de atenção.</w:t>
      </w:r>
    </w:p>
    <w:p>
      <w:r>
        <w:t>A leve elevação na discordância em 2023 é consistente com o colapso do IPS e a queda generalizada de indicadores naquele ano. Sob pressão de contexto, o IPP resistiu relativamente melhor do que os indicadores de desempenho, reforçando seu papel como medida de resiliência subjacente, algo que não é destruído imediatamente pela adversidade externa.</w:t>
      </w:r>
    </w:p>
    <w:p>
      <w:r>
        <w:t>Recomendação operacional.</w:t>
      </w:r>
    </w:p>
    <w:p>
      <w:r>
        <w:t>A combinação IAN + IPP deve ser utilizada como critério de triagem prioritária. Alunos com IAN baixo e IPP baixo demandam intervenção integral (acadêmica e psicopedagógica). Alunos com IAN baixo e IPP alto são candidatos prioritários a programas de aceleração e nivelamento, pois possuem potencial latente a ser desenvolvido. Já alunos com IAN adequado e IPP baixo requerem monitoramento preventivo para sustentação dos resultados ao longo do tempo.</w:t>
      </w:r>
    </w:p>
    <w:p>
      <w:pPr>
        <w:pStyle w:val="Heading2"/>
      </w:pPr>
      <w:r>
        <w:t>Pergunta 7: Ponto de Virada (IPV): Quais comportamentos acadêmicos e socioeducativos marcam o ponto de virada do aluno?</w:t>
      </w:r>
    </w:p>
    <w:p>
      <w:pPr>
        <w:ind w:left="432"/>
      </w:pPr>
      <w:r>
        <w:rPr>
          <w:i/>
          <w:color w:val="707070"/>
        </w:rPr>
        <w:t>Gráfico 1, Pergunta 7:</w:t>
      </w:r>
    </w:p>
    <w:p>
      <w:pPr>
        <w:ind w:left="432"/>
      </w:pPr>
      <w:r>
        <w:rPr>
          <w:i/>
          <w:color w:val="707070"/>
        </w:rPr>
        <w:t>Figura 19, Distribuição do IPV por Ano 2022–2024 (boxplot)</w:t>
      </w:r>
    </w:p>
    <w:p>
      <w:pPr>
        <w:ind w:left="432"/>
      </w:pPr>
      <w:r>
        <w:rPr>
          <w:i/>
          <w:color w:val="707070"/>
        </w:rPr>
        <w:t>Gráfico 2, Pergunta 7:</w:t>
      </w:r>
    </w:p>
    <w:p>
      <w:pPr>
        <w:ind w:left="432"/>
      </w:pPr>
      <w:r>
        <w:rPr>
          <w:i/>
          <w:color w:val="707070"/>
        </w:rPr>
        <w:t>Figura 20, Associação de Cada Indicador com o IPV por Ano (2022–2024)</w:t>
      </w:r>
    </w:p>
    <w:p>
      <w:pPr>
        <w:ind w:left="432"/>
      </w:pPr>
      <w:r>
        <w:rPr>
          <w:i/>
          <w:color w:val="707070"/>
        </w:rPr>
        <w:t>Gráfico 3, Pergunta 7:</w:t>
      </w:r>
    </w:p>
    <w:p>
      <w:pPr>
        <w:ind w:left="432"/>
      </w:pPr>
      <w:r>
        <w:rPr>
          <w:i/>
          <w:color w:val="707070"/>
        </w:rPr>
        <w:t>Figura 21, Perfil Médio dos Indicadores: Alto IPV vs. Baixo IPV (2022–2024)</w:t>
      </w:r>
    </w:p>
    <w:p>
      <w:pPr>
        <w:pStyle w:val="Heading3"/>
      </w:pPr>
      <w:r>
        <w:t>Análise</w:t>
      </w:r>
    </w:p>
    <w:p>
      <w:r>
        <w:t>O ponto de virada, representado pelo IPV, não é produto de um único fator, mas sim de uma combinação hierárquica de condições, com pesos distintos para cada dimensão.</w:t>
      </w:r>
    </w:p>
    <w:p>
      <w:r>
        <w:t>O eixo acadêmico lidera.</w:t>
      </w:r>
    </w:p>
    <w:p>
      <w:r>
        <w:t>IDA e IEG são os indicadores com associação mais forte ao IPV nos três anos analisados. A trajetória transformacional de um aluno começa, de forma quase invariável, por ganhos concretos de desempenho e engajamento, não por mudanças subjetivas ou psicossociais isoladas. Um aluno que passa a tirar notas melhores e a participar com mais consistência da vida escolar está, por definição, aproximando-se do ponto de virada. A diferença entre os grupos de Alto IPV e Baixo IPV é consistente e expressiva nos três anos, com IDA e IEG significativamente maiores no grupo de alto IPV.</w:t>
      </w:r>
    </w:p>
    <w:p>
      <w:r>
        <w:t>O nível de adequação como alavanca.</w:t>
      </w:r>
    </w:p>
    <w:p>
      <w:r>
        <w:t>O IAN, que mede o quanto o aluno está alinhado com o nível esperado para sua fase, também se destaca como diferenciador relevante. A superação de uma defasagem curricular parece funcionar como um catalisador: uma vez que o aluno deixa de lutar contra o déficit acumulado, os demais indicadores tendem a se mover juntos na direção positiva. Isso coloca o nivelamento curricular no centro das estratégias de intervenção.</w:t>
      </w:r>
    </w:p>
    <w:p>
      <w:r>
        <w:t>IPP e IPS como condições de base.</w:t>
      </w:r>
    </w:p>
    <w:p>
      <w:r>
        <w:t>As dimensões psicopedagógica e psicossocial contribuem para o IPV, mas de forma mais moderada. Elas funcionam como pré-condições facilitadoras: um ambiente emocional estável (IPS) e um vínculo saudável com a aprendizagem (IPP) criam o solo fértil para que a virada aconteça. Mas, sem o componente acadêmico (IDA e IEG), essas condições sozinhas não são suficientes para gerar transformação.</w:t>
      </w:r>
    </w:p>
    <w:p>
      <w:r>
        <w:t>IAA como indicador periférico.</w:t>
      </w:r>
    </w:p>
    <w:p>
      <w:r>
        <w:t>A autoavaliação mostra a menor associação com o IPV. Isso é coerente com o que foi observado na análise da Pergunta 4: a maioria dos alunos superestima seu desempenho, e essa percepção distorcida não impede, nem garante, que o ponto de virada ocorra. O IPV é determinado por comportamentos observáveis, não por percepções subjetivas.</w:t>
      </w:r>
    </w:p>
    <w:p>
      <w:r>
        <w:t>Implicação estratégica.</w:t>
      </w:r>
    </w:p>
    <w:p>
      <w:r>
        <w:t>A sequência de intervenção mais eficaz para elevar o IPV deve ser: primeiro, estabilizar as condições psicossociais (IPS), criando base segura para que o aluno possa se engajar; segundo, atacar a defasagem curricular (IAN), removendo a principal barreira estrutural; terceiro, ampliar o engajamento (IEG), fortalecendo a presença, a participação e a conexão com a escola; e quarto, solidificar o desempenho (IDA), convertendo engajamento em resultado acadêmico mensurável. Essa cadeia, do bem-estar ao nivelamento, do nivelamento ao engajamento, do engajamento ao desempenho, é o mapa do ponto de virada.</w:t>
      </w:r>
    </w:p>
    <w:p>
      <w:pPr>
        <w:pStyle w:val="Heading2"/>
      </w:pPr>
      <w:r>
        <w:t>Pergunta 8: Multidimensionalidade dos Indicadores × INDE: Quais combinações elevam mais o INDE?</w:t>
      </w:r>
    </w:p>
    <w:p>
      <w:pPr>
        <w:ind w:left="432"/>
      </w:pPr>
      <w:r>
        <w:rPr>
          <w:i/>
          <w:color w:val="707070"/>
        </w:rPr>
        <w:t>Gráfico 1, Pergunta 8:</w:t>
      </w:r>
    </w:p>
    <w:p>
      <w:pPr>
        <w:ind w:left="432"/>
      </w:pPr>
      <w:r>
        <w:rPr>
          <w:i/>
          <w:color w:val="707070"/>
        </w:rPr>
        <w:t>Figura 22, Força da Relação de Cada Indicador com o INDE (2024)</w:t>
      </w:r>
    </w:p>
    <w:p>
      <w:pPr>
        <w:ind w:left="432"/>
      </w:pPr>
      <w:r>
        <w:rPr>
          <w:i/>
          <w:color w:val="707070"/>
        </w:rPr>
        <w:t>Gráfico 2, Pergunta 8:</w:t>
      </w:r>
    </w:p>
    <w:p>
      <w:pPr>
        <w:ind w:left="432"/>
      </w:pPr>
      <w:r>
        <w:rPr>
          <w:i/>
          <w:color w:val="707070"/>
        </w:rPr>
        <w:t>Figura 23, Quanto Mais Indicadores Acima da Mediana, Maior o INDE (2024)</w:t>
      </w:r>
    </w:p>
    <w:p>
      <w:pPr>
        <w:ind w:left="432"/>
      </w:pPr>
      <w:r>
        <w:rPr>
          <w:i/>
          <w:color w:val="707070"/>
        </w:rPr>
        <w:t>Gráfico 3, Pergunta 8:</w:t>
      </w:r>
    </w:p>
    <w:p>
      <w:pPr>
        <w:ind w:left="432"/>
      </w:pPr>
      <w:r>
        <w:rPr>
          <w:i/>
          <w:color w:val="707070"/>
        </w:rPr>
        <w:t>Figura 24, Perfis de Indicadores e o INDE Resultante, Melhores e Piores Combinações (2024)</w:t>
      </w:r>
    </w:p>
    <w:p>
      <w:pPr>
        <w:pStyle w:val="Heading3"/>
      </w:pPr>
      <w:r>
        <w:t>Análise</w:t>
      </w:r>
    </w:p>
    <w:p>
      <w:r>
        <w:t>A análise da relação entre os indicadores compostos (IDA, IEG, IPS e IPP) e o INDE revela uma hierarquia clara de influência e confirma que a nota global do programa não é determinada por um fator isolado, mas por combinações específicas de dimensões.</w:t>
      </w:r>
    </w:p>
    <w:p>
      <w:r>
        <w:t>Hierarquia dos indicadores (2024, n=1.054).</w:t>
      </w:r>
    </w:p>
    <w:p>
      <w:r>
        <w:t>O IDA, Desenvolvimento Acadêmico, lidera com relação muito forte ao INDE (r=0,80), seguido de perto pelo IEG, Engajamento, com r=0,79. O IPP, Avaliação Psicopedagógica, contribui com relação forte (r=0,64). O IPS, Suporte Socioeconômico, apresenta relação fraca (r=0,23), funcionando como pré-condição, não como motor de desempenho. IDA e IEG dominam com folga, estando no mesmo patamar e bem à frente dos demais.</w:t>
      </w:r>
    </w:p>
    <w:p>
      <w:r>
        <w:t>O efeito cumulativo dos indicadores.</w:t>
      </w:r>
    </w:p>
    <w:p>
      <w:r>
        <w:t>O INDE sobe progressivamente à medida que mais indicadores ficam acima da mediana. Alunos sem nenhum indicador acima da mediana registraram INDE médio de 5,95 (zona de alerta). Com 1 de 4 indicadores acima, o INDE subiu para 6,53. Com 2 de 4, chegou a 7,16. Com 3 de 4, atingiu 8,01, o momento em que o aluno cruza da faixa intermediária para a de alto desempenho. Com todos os 4 indicadores acima da mediana, o INDE médio chegou a 8,40. A diferença total de 2,45 pontos entre o perfil mais fraco e o mais forte mostra que a combinação de indicadores importa tanto quanto cada um individualmente.</w:t>
      </w:r>
    </w:p>
    <w:p>
      <w:r>
        <w:t>Perfis críticos.</w:t>
      </w:r>
    </w:p>
    <w:p>
      <w:r>
        <w:t>Os 5 melhores perfis têm IDA e IEG quase sempre acima da mediana; nos 5 piores, estão sem exceção abaixo. Um resultado especialmente revelador: alunos com IDA e IEG acima da mediana, mas com IPS abaixo, atingiram INDE de 8,32, quase igual ao perfil completo (8,40). Em contrapartida, 100 alunos com IPS e IPP acima da mediana mas IDA e IEG abaixo registraram INDE médio de apenas 6,79, abaixo da mediana geral. A conclusão é clara: IPS e IPP não compensam a ausência de IDA e IEG.</w:t>
      </w:r>
    </w:p>
    <w:p>
      <w:r>
        <w:t>Resposta estratégica.</w:t>
      </w:r>
    </w:p>
    <w:p>
      <w:r>
        <w:t>O INDE sobe +2,45 pontos ao passar do perfil mais fraco para o mais forte. O efeito é cumulativo, com o maior salto ocorrendo ao ativar o 3º indicador (+0,85 ponto). A combinação que mais alavanca o INDE é IDA + IEG + IPP, alcançar esses três eixos é suficiente para colocar o aluno no grupo de alto desempenho. O IPS é a única dimensão que não move o INDE de forma direta: ele precisa estar presente, mas sua ausência não impede o aluno de atingir nota alta quando os demais pilares estão sólidos.</w:t>
      </w:r>
    </w:p>
    <w:p>
      <w:pPr>
        <w:pStyle w:val="Heading2"/>
      </w:pPr>
      <w:r>
        <w:t>Pergunta 9: Efetividade do Programa: Evolução por Fase (Quartzo → Topázio)</w:t>
      </w:r>
    </w:p>
    <w:p>
      <w:pPr>
        <w:ind w:left="432"/>
      </w:pPr>
      <w:r>
        <w:rPr>
          <w:i/>
          <w:color w:val="707070"/>
        </w:rPr>
        <w:t>Gráfico 1, Pergunta 9:</w:t>
      </w:r>
    </w:p>
    <w:p>
      <w:pPr>
        <w:ind w:left="432"/>
      </w:pPr>
      <w:r>
        <w:rPr>
          <w:i/>
          <w:color w:val="707070"/>
        </w:rPr>
        <w:t>Figura 25, Média dos Indicadores por Fase em 2024 (Quartzo, Ágata, Ametista, Topázio)</w:t>
      </w:r>
    </w:p>
    <w:p>
      <w:pPr>
        <w:ind w:left="432"/>
      </w:pPr>
      <w:r>
        <w:rPr>
          <w:i/>
          <w:color w:val="707070"/>
        </w:rPr>
        <w:t>Gráfico 2, Pergunta 9:</w:t>
      </w:r>
    </w:p>
    <w:p>
      <w:pPr>
        <w:ind w:left="432"/>
      </w:pPr>
      <w:r>
        <w:rPr>
          <w:i/>
          <w:color w:val="707070"/>
        </w:rPr>
        <w:t>Figura 26, Evolução da Distribuição de Fases do Programa 2022→2024 (barras 100% empilhadas)</w:t>
      </w:r>
    </w:p>
    <w:p>
      <w:pPr>
        <w:ind w:left="432"/>
      </w:pPr>
      <w:r>
        <w:rPr>
          <w:i/>
          <w:color w:val="707070"/>
        </w:rPr>
        <w:t>Gráfico 3, Pergunta 9:</w:t>
      </w:r>
    </w:p>
    <w:p>
      <w:pPr>
        <w:ind w:left="432"/>
      </w:pPr>
      <w:r>
        <w:rPr>
          <w:i/>
          <w:color w:val="707070"/>
        </w:rPr>
        <w:t>Figura 27, Variação Média do INDE por Fase (2022→2024, n=445 alunos rastreados)</w:t>
      </w:r>
    </w:p>
    <w:p>
      <w:pPr>
        <w:pStyle w:val="Heading3"/>
      </w:pPr>
      <w:r>
        <w:t>Análise</w:t>
      </w:r>
    </w:p>
    <w:p>
      <w:r>
        <w:t>Os indicadores mostram melhora consistente ao longo do ciclo nas diferentes fases, confirmando o impacto real do programa em três dimensões complementares.</w:t>
      </w:r>
    </w:p>
    <w:p>
      <w:r>
        <w:t>Coerência das fases.</w:t>
      </w:r>
    </w:p>
    <w:p>
      <w:r>
        <w:t>Todos os 5 indicadores avaliados (IDA, IEG, IPP, IAA e IPS) crescem de forma consistente do Quartzo ao Topázio em 2024, sem exceção. O IDA mostra o maior contraste, 3,1 no Quartzo versus 8,2 no Topázio, seguido pelo IEG com 5,0 versus 9,4. O IPS apresenta menor variação entre fases (6,0 versus 7,1), confirmando que suporte socioeconômico é uma linha de base relativamente uniforme. A autoavaliação (IAA) é notavelmente alta mesmo no Quartzo (7,2), sugerindo que alunos em fases iniciais têm autoestima preservada, o que é um fator protetor importante.</w:t>
      </w:r>
    </w:p>
    <w:p>
      <w:r>
        <w:t>Migração para cima.</w:t>
      </w:r>
    </w:p>
    <w:p>
      <w:r>
        <w:t>A fase Topázio, a mais alta de aprendizado, cresceu de 15% para 31% dos alunos entre 2022 e 2024, dobrando sua participação em apenas 2 anos. No mesmo período, as fases mais baixas perderam espaço: o Quartzo caiu de 15% para 11%, e a Ágata de 29% para 21%. A Ametista ocupa cerca de 37–41% da turma nos três anos, representando o núcleo consolidado do programa, alunos que avançaram da base e ainda não chegaram ao topo, indicando uma "fila" natural de progressão.</w:t>
      </w:r>
    </w:p>
    <w:p>
      <w:r>
        <w:t>Evidência individual (445 alunos rastreados 2022→2024).</w:t>
      </w:r>
    </w:p>
    <w:p>
      <w:r>
        <w:t>Os estudantes que chegaram ao Topázio em 2024 melhoraram em média +0,53 pontos no INDE desde 2022, e 88% deles evoluíram individualmente (INDE subiu de 7,97 para 8,50 em média). Os que alcançaram a Ametista também avançaram (+0,15 pontos, 53% com melhora, INDE de 7,34 para 7,49). Em contrapartida, os que ficaram na Ágata ou no Quartzo em 2024 tiveram INDE menor do que em 2022: esses alunos partiram de um nível relativamente alto e recuaram (Quartzo: de 6,74 para 5,37), indicando que houve ruptura no percurso, não estagnação, mas queda ativa.</w:t>
      </w:r>
    </w:p>
    <w:p>
      <w:r>
        <w:t>Implicação estratégica.</w:t>
      </w:r>
    </w:p>
    <w:p>
      <w:r>
        <w:t>O impacto do programa é real e mensurável. A progressão não é automática, exige engajamento continuado, com IEG e IDA funcionando como os motores da mudança. Para os alunos que regridem, os dados apontam que o problema não é a entrada no programa, mas a permanência ativa no ciclo. Os alunos em Ágata e Quartzo em 2024 que partiram de patamares mais altos em 2022 são o grupo prioritário de reintervenção, o programa demonstra efetividade clara na maioria, e os dados indicam com precisão onde e quem precisa de mais suporte.</w:t>
      </w:r>
    </w:p>
    <w:p>
      <w:pPr>
        <w:pStyle w:val="Heading2"/>
      </w:pPr>
      <w:r>
        <w:t>Pergunta 10: Insights e Criatividade: Padrões Não Explorados nas Perguntas Anteriores</w:t>
      </w:r>
    </w:p>
    <w:p>
      <w:pPr>
        <w:ind w:left="432"/>
      </w:pPr>
      <w:r>
        <w:rPr>
          <w:i/>
          <w:color w:val="707070"/>
        </w:rPr>
        <w:t>Gráfico 1, Pergunta 10:</w:t>
      </w:r>
    </w:p>
    <w:p>
      <w:pPr>
        <w:ind w:left="432"/>
      </w:pPr>
      <w:r>
        <w:rPr>
          <w:i/>
          <w:color w:val="707070"/>
        </w:rPr>
        <w:t>Figura 28, A "Escada do INDE": Qual Transição Exige Mais Esforço? (2024)</w:t>
      </w:r>
    </w:p>
    <w:p>
      <w:pPr>
        <w:ind w:left="432"/>
      </w:pPr>
      <w:r>
        <w:rPr>
          <w:i/>
          <w:color w:val="707070"/>
        </w:rPr>
        <w:t>Gráfico 2, Pergunta 10:</w:t>
      </w:r>
    </w:p>
    <w:p>
      <w:pPr>
        <w:ind w:left="432"/>
      </w:pPr>
      <w:r>
        <w:rPr>
          <w:i/>
          <w:color w:val="707070"/>
        </w:rPr>
        <w:t>Figura 29, Perfis de Trajetória Individual 2022→2024 (n=445 alunos rastreados)</w:t>
      </w:r>
    </w:p>
    <w:p>
      <w:pPr>
        <w:ind w:left="432"/>
      </w:pPr>
      <w:r>
        <w:rPr>
          <w:i/>
          <w:color w:val="707070"/>
        </w:rPr>
        <w:t>Gráfico 3, Pergunta 10:</w:t>
      </w:r>
    </w:p>
    <w:p>
      <w:pPr>
        <w:ind w:left="432"/>
      </w:pPr>
      <w:r>
        <w:rPr>
          <w:i/>
          <w:color w:val="707070"/>
        </w:rPr>
        <w:t>Figura 30, INDE de Partida vs. Chegada: O Paradoxo de Quem Regride (2022→2024)</w:t>
      </w:r>
    </w:p>
    <w:p>
      <w:pPr>
        <w:pStyle w:val="Heading3"/>
      </w:pPr>
      <w:r>
        <w:t>Análise</w:t>
      </w:r>
    </w:p>
    <w:p>
      <w:r>
        <w:t>Três padrões revelados pela análise vão além das perguntas principais, apontando para dinâmicas ocultas nos dados e ações de alto impacto ainda pouco exploradas.</w:t>
      </w:r>
    </w:p>
    <w:p>
      <w:r>
        <w:t>Insight 1, O primeiro degrau é o maior gargalo do programa.</w:t>
      </w:r>
    </w:p>
    <w:p>
      <w:r>
        <w:t>A transição Quartzo → Ágata exige um salto de +1,20 pontos no INDE, 29% maior do que qualquer outra transição no ciclo. As fases seguintes (Ágata→Ametista e Ametista→Topázio) custam exatamente +0,93 pontos cada. Isso revela que a maior dificuldade não está no topo da pirâmide, mas na base: alunos no Quartzo (n=112 em 2024) são os que mais precisam de atenção intensiva para conseguir sua primeira grande evolução. Uma vez cruzado esse degrau, o ritmo de progressão se estabiliza. A ação sugerida é criar um programa de acompanhamento reforçado exclusivo para alunos em fase Quartzo, com maior frequência de mentoria, suporte pedagógico focalizado em IDA e IEG, e meta clara de progressão dentro de 12 meses.</w:t>
      </w:r>
    </w:p>
    <w:p>
      <w:r>
        <w:t>Insight 2, 45% dos alunos recuaram, e 1 em cada 8 recuou de forma expressiva.</w:t>
      </w:r>
    </w:p>
    <w:p>
      <w:r>
        <w:t>De 445 alunos rastreados em 2022 e 2024, 55% melhoraram e 45% recuaram. O grupo mais crítico, queda acima de 1 ponto inteiro, representa 13% do total (58 alunos). Esses alunos perderam em 2 anos mais do que a maioria do programa ganha em uma fase inteira de progressão. A regressão não é ausência de crescimento: é perda de terreno já conquistado. A ação sugerida é implantar um mecanismo de alerta precoce em que qualquer aluno com queda ≥ 0,5 pontos no INDE ano a ano acione automaticamente um protocolo de atenção individualizada antes que a queda se consolide.</w:t>
      </w:r>
    </w:p>
    <w:p>
      <w:r>
        <w:t>Insight 3, O ponto de partida não determina o destino: o paradoxo da queda.</w:t>
      </w:r>
    </w:p>
    <w:p>
      <w:r>
        <w:t>O achado mais contraintuitivo da análise é que alunos com queda expressiva e alunos com melhora leve começaram em 2022 com o mesmo INDE: 7,46. Dois anos depois, suas trajetórias divergiram em 2,10 pontos (5,81 versus 7,91). Ainda mais revelador: os 43 alunos com melhora mais expressiva começaram com INDE 6,44, abaixo dos demais, e chegaram a 7,90, empatados com quem partiu de 7,46. O que separa quem cresce de quem cai não é onde o aluno está, mas o que acontece com ele ao longo do percurso. A ação sugerida é não concentrar recursos apenas nos alunos de desempenho médio-alto. Os dados mostram que alunos que começam abaixo da mediana têm potencial de crescimento igual ou superior, desde que recebam suporte contínuo. Paralelamente, devem ser desenvolvidas estratégias de retenção de engajamento para os alunos que já estão bem, pois eles são os mais vulneráveis à regressão silenciosa.</w:t>
      </w:r>
    </w:p>
    <w:p>
      <w:r>
        <w:t>Resumo das sugestões estratégicas.</w:t>
      </w:r>
    </w:p>
    <w:p>
      <w:r>
        <w:t>Em prioridade alta: criar programa intensivo para alunos em fase Quartzo (n=112 em 2024), visando reduzir o maior gargalo de progressão do ciclo; e implementar alerta automático para quedas ≥ 0,5 pts/ano, capturando e intervindo antes da queda expressiva. Em prioridade média: estratégias de retenção de engajamento para alunos com INDE acima de 7,0, prevenindo regressão em quem mais tem a perder. De forma contínua: monitorar IDA + IEG como sinais antecipados de risco, antecipando quedas antes que apareçam no INDE.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