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A70" w:rsidRDefault="006F3A70" w:rsidP="006F3A70">
      <w:pPr>
        <w:jc w:val="center"/>
      </w:pPr>
      <w:r>
        <w:t>FIAP</w:t>
      </w:r>
    </w:p>
    <w:p w:rsidR="00915B54" w:rsidRDefault="006F3A70" w:rsidP="006F3A70">
      <w:pPr>
        <w:jc w:val="center"/>
      </w:pPr>
      <w:r>
        <w:br/>
      </w:r>
    </w:p>
    <w:p w:rsidR="00915B54" w:rsidRDefault="00915B54" w:rsidP="006F3A70">
      <w:pPr>
        <w:jc w:val="center"/>
      </w:pPr>
    </w:p>
    <w:p w:rsidR="00915B54" w:rsidRDefault="00915B54" w:rsidP="006F3A70">
      <w:pPr>
        <w:jc w:val="center"/>
      </w:pPr>
    </w:p>
    <w:p w:rsidR="00915B54" w:rsidRDefault="00915B54" w:rsidP="006F3A70">
      <w:pPr>
        <w:jc w:val="center"/>
      </w:pPr>
    </w:p>
    <w:p w:rsidR="00915B54" w:rsidRDefault="00915B54" w:rsidP="006F3A70">
      <w:pPr>
        <w:jc w:val="center"/>
      </w:pPr>
    </w:p>
    <w:p w:rsidR="00915B54" w:rsidRDefault="00915B54" w:rsidP="006F3A70">
      <w:pPr>
        <w:jc w:val="center"/>
      </w:pPr>
    </w:p>
    <w:p w:rsidR="00915B54" w:rsidRDefault="00915B54" w:rsidP="006F3A70">
      <w:pPr>
        <w:jc w:val="center"/>
      </w:pPr>
    </w:p>
    <w:p w:rsidR="006F3A70" w:rsidRDefault="006F3A70" w:rsidP="006F3A70">
      <w:pPr>
        <w:jc w:val="center"/>
      </w:pPr>
      <w:r>
        <w:br/>
      </w:r>
      <w:r>
        <w:t>ANÁLISE</w:t>
      </w:r>
      <w:r>
        <w:t xml:space="preserve"> TÉCNICA –COVID-19</w:t>
      </w:r>
    </w:p>
    <w:p w:rsidR="006F3A70" w:rsidRDefault="006F3A70" w:rsidP="006F3A70">
      <w:pPr>
        <w:jc w:val="center"/>
      </w:pPr>
      <w:r>
        <w:br/>
      </w:r>
      <w:r>
        <w:br/>
      </w:r>
      <w:r>
        <w:t>PEDRO HENRIQUE ROCHA FARIAS</w:t>
      </w:r>
    </w:p>
    <w:p w:rsidR="006F3A70" w:rsidRDefault="006F3A70" w:rsidP="006F3A70">
      <w:pPr>
        <w:jc w:val="center"/>
      </w:pPr>
      <w:r>
        <w:t>MATEUS MAIS CAMARA AGRE</w:t>
      </w:r>
    </w:p>
    <w:p w:rsidR="006F3A70" w:rsidRDefault="006F3A70" w:rsidP="006F3A70">
      <w:pPr>
        <w:jc w:val="center"/>
      </w:pPr>
      <w:r>
        <w:t xml:space="preserve">PÓS-GRADUAÇÃO EM </w:t>
      </w:r>
      <w:r>
        <w:t>DATA &amp; ANALYTICS</w:t>
      </w:r>
    </w:p>
    <w:p w:rsidR="006F3A70" w:rsidRDefault="006F3A70" w:rsidP="006F3A70">
      <w:pPr>
        <w:jc w:val="center"/>
      </w:pPr>
    </w:p>
    <w:p w:rsidR="006F3A70" w:rsidRDefault="006F3A70" w:rsidP="006F3A70">
      <w:pPr>
        <w:jc w:val="center"/>
      </w:pPr>
    </w:p>
    <w:p w:rsidR="006F3A70" w:rsidRDefault="006F3A70" w:rsidP="006F3A70">
      <w:pPr>
        <w:jc w:val="center"/>
      </w:pPr>
    </w:p>
    <w:p w:rsidR="006F3A70" w:rsidRDefault="006F3A70" w:rsidP="006F3A70">
      <w:pPr>
        <w:jc w:val="center"/>
      </w:pPr>
    </w:p>
    <w:p w:rsidR="006F3A70" w:rsidRDefault="006F3A70" w:rsidP="006F3A70">
      <w:pPr>
        <w:jc w:val="center"/>
      </w:pPr>
    </w:p>
    <w:p w:rsidR="006F3A70" w:rsidRDefault="006F3A70" w:rsidP="006F3A70">
      <w:pPr>
        <w:jc w:val="center"/>
      </w:pPr>
    </w:p>
    <w:p w:rsidR="006F3A70" w:rsidRDefault="006F3A70" w:rsidP="006F3A70">
      <w:pPr>
        <w:jc w:val="center"/>
      </w:pPr>
    </w:p>
    <w:p w:rsidR="006F3A70" w:rsidRDefault="006F3A70" w:rsidP="006F3A70">
      <w:pPr>
        <w:jc w:val="center"/>
      </w:pPr>
    </w:p>
    <w:p w:rsidR="00915B54" w:rsidRDefault="00915B54" w:rsidP="006F3A70">
      <w:pPr>
        <w:jc w:val="center"/>
      </w:pPr>
    </w:p>
    <w:p w:rsidR="006F3A70" w:rsidRDefault="006F3A70" w:rsidP="006F3A70">
      <w:pPr>
        <w:jc w:val="center"/>
      </w:pPr>
    </w:p>
    <w:p w:rsidR="006F3A70" w:rsidRDefault="006F3A70" w:rsidP="006F3A70">
      <w:pPr>
        <w:jc w:val="center"/>
      </w:pPr>
    </w:p>
    <w:p w:rsidR="006F3A70" w:rsidRDefault="006F3A70" w:rsidP="006F3A70">
      <w:pPr>
        <w:jc w:val="center"/>
      </w:pPr>
    </w:p>
    <w:p w:rsidR="006F3A70" w:rsidRDefault="006F3A70" w:rsidP="006F3A70">
      <w:pPr>
        <w:jc w:val="center"/>
      </w:pPr>
    </w:p>
    <w:p w:rsidR="006F3A70" w:rsidRDefault="006F3A70" w:rsidP="006F3A70">
      <w:pPr>
        <w:jc w:val="center"/>
      </w:pPr>
    </w:p>
    <w:p w:rsidR="006F3A70" w:rsidRDefault="006F3A70" w:rsidP="006F3A70">
      <w:pPr>
        <w:jc w:val="center"/>
      </w:pPr>
      <w:r>
        <w:br/>
      </w:r>
      <w:r>
        <w:br/>
        <w:t>São Paulo</w:t>
      </w:r>
      <w:r>
        <w:br/>
        <w:t xml:space="preserve">Outubro </w:t>
      </w:r>
      <w:r>
        <w:t>de 2025</w:t>
      </w:r>
    </w:p>
    <w:p w:rsidR="00E210BB" w:rsidRDefault="00E210BB" w:rsidP="00E210BB">
      <w:r>
        <w:lastRenderedPageBreak/>
        <w:t xml:space="preserve">1. RESUMO </w:t>
      </w:r>
    </w:p>
    <w:p w:rsidR="00E210BB" w:rsidRDefault="00E210BB" w:rsidP="00E210BB">
      <w:r>
        <w:t>O presente relatório apresenta uma análise abrangente dos dados da PNAD-COVID-19 do IBGE, desenvolvida para subsidiar o planejamento estratégico hospitalar em caso de novos surtos epidemiológicos. Através da análise de 1.149.197 respondentes nos meses de setembro, outubro e novembro de 2020, identificamos padrões críticos de comportamento populacional, características clínicas e indicadores socioeconômicos que impactam diretamente a demanda por serviços hospitalares.</w:t>
      </w:r>
      <w:r w:rsidR="00196039">
        <w:t xml:space="preserve"> O painel pode ser acessado e acompanhado através do seguinte link: </w:t>
      </w:r>
      <w:hyperlink r:id="rId5" w:history="1">
        <w:r w:rsidR="00196039" w:rsidRPr="00196039">
          <w:rPr>
            <w:rStyle w:val="Hyperlink"/>
          </w:rPr>
          <w:t>Covid19 – Análise Geral</w:t>
        </w:r>
      </w:hyperlink>
      <w:r w:rsidR="00196039">
        <w:t>.</w:t>
      </w:r>
    </w:p>
    <w:p w:rsidR="00E210BB" w:rsidRDefault="00E210BB" w:rsidP="00E210BB">
      <w:r>
        <w:t>Os principais achados revelam uma taxa de casos graves de apenas 0,45% da população, contrastando com uma baixíssima procura por atendimento médico (1,03%), indicando possível subnotificação ou barreiras de acesso. Com 77,11% da população dependente exclusivamente do SUS, os estados da região Norte (Amazonas, Roraima, Pará) apresentam os maiores scores de risco, demandando atenção prioritária em futuros surtos.</w:t>
      </w:r>
    </w:p>
    <w:p w:rsidR="00E210BB" w:rsidRDefault="00CC672E" w:rsidP="00E210BB">
      <w:r w:rsidRPr="00CC672E">
        <w:drawing>
          <wp:inline distT="0" distB="0" distL="0" distR="0" wp14:anchorId="58C1436B" wp14:editId="0CAAE557">
            <wp:extent cx="540004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BB" w:rsidRDefault="00E210BB" w:rsidP="00E210BB">
      <w:r>
        <w:t>2. METODOLOGIA E ORGANIZAÇÃO DOS DADOS</w:t>
      </w:r>
    </w:p>
    <w:p w:rsidR="00E210BB" w:rsidRDefault="00E210BB" w:rsidP="00E210BB">
      <w:r>
        <w:t>2.1 Seleção das Variáveis</w:t>
      </w:r>
    </w:p>
    <w:p w:rsidR="00CC672E" w:rsidRDefault="00E210BB" w:rsidP="00E210BB">
      <w:r>
        <w:t>Conforme orientação do Head de Dados, foram selecionadas 2</w:t>
      </w:r>
      <w:r w:rsidR="007E1A4B">
        <w:t>4</w:t>
      </w:r>
      <w:r>
        <w:t xml:space="preserve"> variáveis da PNAD-COVID-19, respeitando o limite de 20 questionamentos principais e agregando variáveis calculadas para enriquecimento da análise:</w:t>
      </w:r>
    </w:p>
    <w:p w:rsidR="00E210BB" w:rsidRPr="002C3C40" w:rsidRDefault="00E210BB" w:rsidP="00E210BB">
      <w:pPr>
        <w:rPr>
          <w:b/>
        </w:rPr>
      </w:pPr>
      <w:r w:rsidRPr="002C3C40">
        <w:rPr>
          <w:b/>
        </w:rPr>
        <w:t>Variáveis Demográficas (6):</w:t>
      </w:r>
    </w:p>
    <w:p w:rsidR="00E210BB" w:rsidRDefault="00E210BB" w:rsidP="006F3A70">
      <w:pPr>
        <w:pStyle w:val="ListParagraph"/>
        <w:numPr>
          <w:ilvl w:val="0"/>
          <w:numId w:val="8"/>
        </w:numPr>
      </w:pPr>
      <w:r>
        <w:t>Ano, Mês, UF, País</w:t>
      </w:r>
    </w:p>
    <w:p w:rsidR="002C3C40" w:rsidRDefault="00E210BB" w:rsidP="006F3A70">
      <w:pPr>
        <w:pStyle w:val="ListParagraph"/>
        <w:numPr>
          <w:ilvl w:val="0"/>
          <w:numId w:val="8"/>
        </w:numPr>
      </w:pPr>
      <w:r>
        <w:t>Idade, Sexo, Raça, Escolaridade</w:t>
      </w:r>
    </w:p>
    <w:p w:rsidR="00E210BB" w:rsidRPr="002C3C40" w:rsidRDefault="00E210BB" w:rsidP="00E210BB">
      <w:pPr>
        <w:rPr>
          <w:b/>
        </w:rPr>
      </w:pPr>
      <w:r w:rsidRPr="002C3C40">
        <w:rPr>
          <w:b/>
        </w:rPr>
        <w:t>Variáveis Clínicas (5):</w:t>
      </w:r>
    </w:p>
    <w:p w:rsidR="00E210BB" w:rsidRDefault="00E210BB" w:rsidP="006F3A70">
      <w:pPr>
        <w:pStyle w:val="ListParagraph"/>
        <w:numPr>
          <w:ilvl w:val="0"/>
          <w:numId w:val="7"/>
        </w:numPr>
      </w:pPr>
      <w:r>
        <w:t>Febre, Tosse, Dor de Garganta, Dor de Cabeça</w:t>
      </w:r>
    </w:p>
    <w:p w:rsidR="002C3C40" w:rsidRDefault="00E210BB" w:rsidP="006F3A70">
      <w:pPr>
        <w:pStyle w:val="ListParagraph"/>
        <w:numPr>
          <w:ilvl w:val="0"/>
          <w:numId w:val="7"/>
        </w:numPr>
      </w:pPr>
      <w:r>
        <w:t>Perda de Cheiro/Sabor</w:t>
      </w:r>
    </w:p>
    <w:p w:rsidR="00E210BB" w:rsidRPr="002C3C40" w:rsidRDefault="00E210BB" w:rsidP="00E210BB">
      <w:pPr>
        <w:rPr>
          <w:b/>
        </w:rPr>
      </w:pPr>
      <w:r w:rsidRPr="002C3C40">
        <w:rPr>
          <w:b/>
        </w:rPr>
        <w:t>Variáveis Comportamentais (6):</w:t>
      </w:r>
    </w:p>
    <w:p w:rsidR="00E210BB" w:rsidRDefault="00E210BB" w:rsidP="006F3A70">
      <w:pPr>
        <w:pStyle w:val="ListParagraph"/>
        <w:numPr>
          <w:ilvl w:val="0"/>
          <w:numId w:val="6"/>
        </w:numPr>
      </w:pPr>
      <w:r>
        <w:lastRenderedPageBreak/>
        <w:t>Restrição de Contato, Ficou em Casa</w:t>
      </w:r>
    </w:p>
    <w:p w:rsidR="00E210BB" w:rsidRDefault="00E210BB" w:rsidP="006F3A70">
      <w:pPr>
        <w:pStyle w:val="ListParagraph"/>
        <w:numPr>
          <w:ilvl w:val="0"/>
          <w:numId w:val="6"/>
        </w:numPr>
      </w:pPr>
      <w:r>
        <w:t>Ligou para Profissional de Saúde</w:t>
      </w:r>
    </w:p>
    <w:p w:rsidR="00E210BB" w:rsidRDefault="00E210BB" w:rsidP="006F3A70">
      <w:pPr>
        <w:pStyle w:val="ListParagraph"/>
        <w:numPr>
          <w:ilvl w:val="0"/>
          <w:numId w:val="6"/>
        </w:numPr>
      </w:pPr>
      <w:r>
        <w:t>Visitou Estabelecimento de Saúde</w:t>
      </w:r>
    </w:p>
    <w:p w:rsidR="002C3C40" w:rsidRDefault="00E210BB" w:rsidP="006F3A70">
      <w:pPr>
        <w:pStyle w:val="ListParagraph"/>
        <w:numPr>
          <w:ilvl w:val="0"/>
          <w:numId w:val="6"/>
        </w:numPr>
      </w:pPr>
      <w:r>
        <w:t>Fez Teste COVID, Resultado do Teste</w:t>
      </w:r>
    </w:p>
    <w:p w:rsidR="00E210BB" w:rsidRPr="002C3C40" w:rsidRDefault="00E210BB" w:rsidP="00E210BB">
      <w:pPr>
        <w:rPr>
          <w:b/>
        </w:rPr>
      </w:pPr>
      <w:r w:rsidRPr="002C3C40">
        <w:rPr>
          <w:b/>
        </w:rPr>
        <w:t>Variáveis Socioeconômicas (7):</w:t>
      </w:r>
    </w:p>
    <w:p w:rsidR="00E210BB" w:rsidRDefault="00E210BB" w:rsidP="006F3A70">
      <w:pPr>
        <w:pStyle w:val="ListParagraph"/>
        <w:numPr>
          <w:ilvl w:val="0"/>
          <w:numId w:val="9"/>
        </w:numPr>
      </w:pPr>
      <w:r>
        <w:t>Trabalhou na Semana, Foi Remunerado</w:t>
      </w:r>
    </w:p>
    <w:p w:rsidR="00E210BB" w:rsidRDefault="00E210BB" w:rsidP="006F3A70">
      <w:pPr>
        <w:pStyle w:val="ListParagraph"/>
        <w:numPr>
          <w:ilvl w:val="0"/>
          <w:numId w:val="9"/>
        </w:numPr>
      </w:pPr>
      <w:r>
        <w:t>Tempo Afastado do Trabalho, Tipo de Ocupação</w:t>
      </w:r>
    </w:p>
    <w:p w:rsidR="002C3C40" w:rsidRDefault="00E210BB" w:rsidP="006F3A70">
      <w:pPr>
        <w:pStyle w:val="ListParagraph"/>
        <w:numPr>
          <w:ilvl w:val="0"/>
          <w:numId w:val="9"/>
        </w:numPr>
      </w:pPr>
      <w:r>
        <w:t>Faixa de Rendimento, Plano de Saúde</w:t>
      </w:r>
    </w:p>
    <w:p w:rsidR="00E210BB" w:rsidRDefault="00E210BB" w:rsidP="00E210BB">
      <w:r>
        <w:t>2.2 Arquitetura de Dados</w:t>
      </w:r>
    </w:p>
    <w:p w:rsidR="00E210BB" w:rsidRDefault="00E210BB" w:rsidP="00E210BB">
      <w:r>
        <w:t>A solução foi desenvolvida utilizando arquitetura de Data Lake com camadas Bronze e Silver:</w:t>
      </w:r>
    </w:p>
    <w:p w:rsidR="00E210BB" w:rsidRDefault="00E210BB" w:rsidP="00E210BB">
      <w:r w:rsidRPr="00196039">
        <w:rPr>
          <w:b/>
        </w:rPr>
        <w:t>Camada Bronze:</w:t>
      </w:r>
      <w:r>
        <w:t xml:space="preserve"> Ingestão dos dados brutos da PNAD-COVID-19 (CSV)</w:t>
      </w:r>
    </w:p>
    <w:p w:rsidR="00E210BB" w:rsidRDefault="00E210BB" w:rsidP="00E210BB">
      <w:r w:rsidRPr="00196039">
        <w:rPr>
          <w:b/>
        </w:rPr>
        <w:t>Camada Silver:</w:t>
      </w:r>
      <w:r>
        <w:t xml:space="preserve"> Transformação e padronização com criação de indicadores calculados</w:t>
      </w:r>
    </w:p>
    <w:p w:rsidR="00E210BB" w:rsidRDefault="00E210BB" w:rsidP="00E210BB">
      <w:r w:rsidRPr="00196039">
        <w:rPr>
          <w:b/>
        </w:rPr>
        <w:t>Ferramentas</w:t>
      </w:r>
      <w:r>
        <w:t>: SQL Server para processamento, Power BI para visualização</w:t>
      </w:r>
    </w:p>
    <w:p w:rsidR="00E210BB" w:rsidRDefault="00E210BB" w:rsidP="00E210BB">
      <w:r>
        <w:t>2.3 Indicadores Calculados</w:t>
      </w:r>
    </w:p>
    <w:p w:rsidR="00E210BB" w:rsidRDefault="00E210BB" w:rsidP="00E210BB">
      <w:r>
        <w:t>Para enriquecer a análise, foram criadas cinco variáveis derivadas:</w:t>
      </w:r>
    </w:p>
    <w:p w:rsidR="00E210BB" w:rsidRDefault="00E210BB" w:rsidP="00E210BB">
      <w:r w:rsidRPr="002C3C40">
        <w:rPr>
          <w:b/>
        </w:rPr>
        <w:t>Faixa Etária:</w:t>
      </w:r>
      <w:r>
        <w:t xml:space="preserve"> Agrupamento em 5 categorias (0-17, 18-29, 30-49, 50-64, 65+ anos)</w:t>
      </w:r>
    </w:p>
    <w:p w:rsidR="00E210BB" w:rsidRDefault="00E210BB" w:rsidP="00E210BB">
      <w:r w:rsidRPr="002C3C40">
        <w:rPr>
          <w:b/>
        </w:rPr>
        <w:t>Vulnerabilidade Socioeconômica:</w:t>
      </w:r>
      <w:r>
        <w:t xml:space="preserve"> Classificação em alta, média e baixa vulnerabilidade</w:t>
      </w:r>
    </w:p>
    <w:p w:rsidR="00E210BB" w:rsidRDefault="00E210BB" w:rsidP="00E210BB">
      <w:r w:rsidRPr="002C3C40">
        <w:rPr>
          <w:b/>
        </w:rPr>
        <w:t>Categoria de Trabalho:</w:t>
      </w:r>
      <w:r>
        <w:t xml:space="preserve"> Formal, informal, empregador, fora do mercado</w:t>
      </w:r>
    </w:p>
    <w:p w:rsidR="00E210BB" w:rsidRDefault="00E210BB" w:rsidP="00E210BB">
      <w:r w:rsidRPr="002C3C40">
        <w:rPr>
          <w:b/>
        </w:rPr>
        <w:t>Intensidade de Sintomas:</w:t>
      </w:r>
      <w:r>
        <w:t xml:space="preserve"> Múltiplos sintomas, poucos sintomas, sem sintomas</w:t>
      </w:r>
    </w:p>
    <w:p w:rsidR="00E210BB" w:rsidRDefault="00E210BB" w:rsidP="00E210BB">
      <w:r w:rsidRPr="002C3C40">
        <w:rPr>
          <w:b/>
        </w:rPr>
        <w:t>Adesão às Medidas</w:t>
      </w:r>
      <w:r>
        <w:t>: Alta, média e baixa adesão às medidas preventivas</w:t>
      </w:r>
    </w:p>
    <w:p w:rsidR="00E210BB" w:rsidRDefault="00E210BB" w:rsidP="00E210BB">
      <w:r>
        <w:t>3. ANÁLISE DO PERFIL POPULACIONAL</w:t>
      </w:r>
    </w:p>
    <w:p w:rsidR="00E210BB" w:rsidRDefault="00E210BB" w:rsidP="00E210BB">
      <w:r>
        <w:t>3.1 Características Demográficas</w:t>
      </w:r>
    </w:p>
    <w:p w:rsidR="00E210BB" w:rsidRDefault="00E210BB" w:rsidP="00E210BB">
      <w:r>
        <w:t>A análise de 1.149.197 respondentes revela uma distribuição equilibrada por sexo (48% homens, 52% mulheres), com concentração na faixa etária de 30-49 anos (maior grupo populacional). A distribuição geográfica mostra maior concentração de casos nas regiões Sudeste e Nordeste, reflexo da densidade populacional.</w:t>
      </w:r>
    </w:p>
    <w:p w:rsidR="00E210BB" w:rsidRDefault="002C3C40" w:rsidP="00E210BB">
      <w:r w:rsidRPr="002C3C40">
        <w:lastRenderedPageBreak/>
        <w:drawing>
          <wp:inline distT="0" distB="0" distL="0" distR="0" wp14:anchorId="0023D09D" wp14:editId="574E944C">
            <wp:extent cx="5400040" cy="388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BB" w:rsidRDefault="00E210BB" w:rsidP="00E210BB">
      <w:r>
        <w:t>3.2 Vulnerabilidade Social</w:t>
      </w:r>
    </w:p>
    <w:p w:rsidR="00E210BB" w:rsidRDefault="00E210BB" w:rsidP="00E210BB">
      <w:r>
        <w:t>Um achado preocupante é que 37% da população analisada encontra-se em situação de alta vulnerabilidade socioeconômica, enquanto 62% apresenta baixa vulnerabilidade. Esta disparidade impacta diretamente a capacidade de resposta a surtos, uma vez que populações vulneráveis têm menor acesso a cuidados preventivos e maior dependência do sistema público de saúde.</w:t>
      </w:r>
    </w:p>
    <w:p w:rsidR="00E210BB" w:rsidRDefault="002C3C40" w:rsidP="00E210BB">
      <w:r w:rsidRPr="002C3C40">
        <w:drawing>
          <wp:inline distT="0" distB="0" distL="0" distR="0" wp14:anchorId="31EB98C8" wp14:editId="06A81B25">
            <wp:extent cx="5400040" cy="1980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BB" w:rsidRDefault="00E210BB" w:rsidP="00E210BB">
      <w:r>
        <w:t>3.3 Distribuição Etária da Vulnerabilidade</w:t>
      </w:r>
    </w:p>
    <w:p w:rsidR="00E210BB" w:rsidRDefault="00E210BB" w:rsidP="00E210BB">
      <w:r>
        <w:t>A análise cruzada entre faixa etária e intensidade de sintomas revela que grupos de meia-idade (30-49 e 50-64 anos) apresentam maior proporção de casos com múltiplos sintomas (23% e 19% respectivamente), sugerindo maior exposição ou menor capacidade de isolamento devido a compromissos laborais.</w:t>
      </w:r>
    </w:p>
    <w:p w:rsidR="00E210BB" w:rsidRDefault="002C3C40" w:rsidP="00E210BB">
      <w:r w:rsidRPr="002C3C40">
        <w:lastRenderedPageBreak/>
        <w:drawing>
          <wp:inline distT="0" distB="0" distL="0" distR="0" wp14:anchorId="736ADD82" wp14:editId="1A0B0A11">
            <wp:extent cx="3804861" cy="2929467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371" cy="29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BB" w:rsidRDefault="00E210BB" w:rsidP="00E210BB">
      <w:r>
        <w:t>4. QUADRO CLÍNICO E DEMANDA HOSPITALAR</w:t>
      </w:r>
    </w:p>
    <w:p w:rsidR="00E210BB" w:rsidRDefault="00E210BB" w:rsidP="00E210BB">
      <w:r>
        <w:t>4.1 Perfil Sintomático</w:t>
      </w:r>
    </w:p>
    <w:p w:rsidR="00E210BB" w:rsidRDefault="00E210BB" w:rsidP="00E210BB">
      <w:r>
        <w:t>A análise dos sintomas por faixa etária demonstra padrões distintos:</w:t>
      </w:r>
    </w:p>
    <w:p w:rsidR="00E210BB" w:rsidRDefault="00E210BB" w:rsidP="00E210BB">
      <w:r>
        <w:t>Idosos (65+): Maior prevalência de febre (14,84%) e dor de cabeça (14,13%)</w:t>
      </w:r>
    </w:p>
    <w:p w:rsidR="00E210BB" w:rsidRDefault="00E210BB" w:rsidP="00E210BB">
      <w:r>
        <w:t>Adultos (30-49 anos): Distribuição mais equilibrada dos sintomas</w:t>
      </w:r>
    </w:p>
    <w:p w:rsidR="00E210BB" w:rsidRDefault="00E210BB" w:rsidP="00E210BB">
      <w:r>
        <w:t>Jovens (0-17 anos): Menor incidência geral de sintomas graves</w:t>
      </w:r>
    </w:p>
    <w:p w:rsidR="00E210BB" w:rsidRDefault="00E210BB" w:rsidP="00E210BB">
      <w:r>
        <w:t>4.2 Comportamento de Busca por Atendimento</w:t>
      </w:r>
    </w:p>
    <w:p w:rsidR="00E210BB" w:rsidRDefault="002C3C40" w:rsidP="00E210BB">
      <w:r>
        <w:t>Análise</w:t>
      </w:r>
      <w:r w:rsidR="00E210BB">
        <w:t xml:space="preserve"> Crítica: Apenas 1,03% da população buscou atendimento médico, contrastando com 0,45% de casos graves identificados. Este padrão sugere duas possibilidades:</w:t>
      </w:r>
    </w:p>
    <w:p w:rsidR="00E210BB" w:rsidRDefault="00E210BB" w:rsidP="00E210BB">
      <w:r>
        <w:t>Efetiva busca por atendimento mesmo em casos não graves (positivo)</w:t>
      </w:r>
    </w:p>
    <w:p w:rsidR="00E210BB" w:rsidRDefault="00E210BB" w:rsidP="00E210BB">
      <w:r>
        <w:t>Subnotificação de casos graves por barreiras de acesso (preocupante)</w:t>
      </w:r>
    </w:p>
    <w:p w:rsidR="002C3C40" w:rsidRDefault="002C3C40" w:rsidP="00E210BB">
      <w:r w:rsidRPr="002C3C40">
        <w:drawing>
          <wp:inline distT="0" distB="0" distL="0" distR="0" wp14:anchorId="575F47B2" wp14:editId="2D9CDA59">
            <wp:extent cx="5400040" cy="794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40" w:rsidRDefault="002C3C40" w:rsidP="00E210BB"/>
    <w:p w:rsidR="002C3C40" w:rsidRDefault="002C3C40" w:rsidP="00E210BB"/>
    <w:p w:rsidR="00196039" w:rsidRDefault="00196039" w:rsidP="00E210BB"/>
    <w:p w:rsidR="00196039" w:rsidRDefault="00196039" w:rsidP="00E210BB"/>
    <w:p w:rsidR="00196039" w:rsidRDefault="00196039" w:rsidP="00E210BB"/>
    <w:p w:rsidR="00196039" w:rsidRDefault="00196039" w:rsidP="00E210BB"/>
    <w:p w:rsidR="002C3C40" w:rsidRDefault="002C3C40" w:rsidP="00E210BB"/>
    <w:p w:rsidR="00E210BB" w:rsidRDefault="00E210BB" w:rsidP="00E210BB">
      <w:r>
        <w:lastRenderedPageBreak/>
        <w:t>4.3 Funil de Atendimento</w:t>
      </w:r>
    </w:p>
    <w:p w:rsidR="00E210BB" w:rsidRDefault="00E210BB" w:rsidP="00E210BB">
      <w:r>
        <w:t>O funil de análise revela:</w:t>
      </w:r>
    </w:p>
    <w:p w:rsidR="00E210BB" w:rsidRDefault="002C3C40" w:rsidP="00E210BB">
      <w:r w:rsidRPr="002C3C40">
        <w:drawing>
          <wp:inline distT="0" distB="0" distL="0" distR="0" wp14:anchorId="5D71B225" wp14:editId="499BB6B1">
            <wp:extent cx="4085745" cy="24214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597" cy="243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BB" w:rsidRDefault="00E210BB" w:rsidP="00E210BB">
      <w:r>
        <w:t>1.149.197 respondentes totais</w:t>
      </w:r>
    </w:p>
    <w:p w:rsidR="00E210BB" w:rsidRDefault="00E210BB" w:rsidP="00E210BB">
      <w:r>
        <w:t>260.528 com plano de saúde (23%)</w:t>
      </w:r>
    </w:p>
    <w:p w:rsidR="00E210BB" w:rsidRDefault="00E210BB" w:rsidP="00E210BB">
      <w:r>
        <w:t>14.450 com resultado positivo para COVID-19</w:t>
      </w:r>
    </w:p>
    <w:p w:rsidR="00E210BB" w:rsidRDefault="00E210BB" w:rsidP="00E210BB">
      <w:r>
        <w:t>11.796 buscaram atendimento médico</w:t>
      </w:r>
    </w:p>
    <w:p w:rsidR="00E210BB" w:rsidRDefault="00E210BB" w:rsidP="00E210BB">
      <w:r>
        <w:t>4.4 Relação Sintomas vs. Atendimento Médico</w:t>
      </w:r>
    </w:p>
    <w:p w:rsidR="00E210BB" w:rsidRDefault="00E210BB" w:rsidP="00E210BB">
      <w:r>
        <w:t>Dados alarmantes mostram que mesmo entre pessoas com múltiplos sintomas, apenas 8% buscaram atendimento médico, comparado a 24% entre aqueles com poucos sintomas. Isso pode indicar normalização dos sintomas ou barreiras de acesso mais significativas para casos graves.</w:t>
      </w:r>
    </w:p>
    <w:p w:rsidR="00BB5CDA" w:rsidRDefault="00BB5CDA" w:rsidP="00E210BB">
      <w:r w:rsidRPr="00BB5CDA">
        <w:drawing>
          <wp:inline distT="0" distB="0" distL="0" distR="0" wp14:anchorId="1E62DC29" wp14:editId="7A08D190">
            <wp:extent cx="3294989" cy="1938867"/>
            <wp:effectExtent l="0" t="0" r="127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0558" cy="194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BB" w:rsidRDefault="00E210BB" w:rsidP="00E210BB">
      <w:r>
        <w:t>5. COMPORTAMENTO POPULACIONAL E ADESÃO ÀS MEDIDAS</w:t>
      </w:r>
    </w:p>
    <w:p w:rsidR="00E210BB" w:rsidRDefault="00E210BB" w:rsidP="00E210BB">
      <w:r>
        <w:t>5.1 Medidas de Distanciamento</w:t>
      </w:r>
    </w:p>
    <w:p w:rsidR="00E210BB" w:rsidRDefault="00E210BB" w:rsidP="00E210BB">
      <w:r>
        <w:t>A população demonstrou boa adesão às medidas de distanciamento:</w:t>
      </w:r>
    </w:p>
    <w:p w:rsidR="00E210BB" w:rsidRDefault="00E210BB" w:rsidP="00196039">
      <w:pPr>
        <w:pStyle w:val="ListParagraph"/>
        <w:numPr>
          <w:ilvl w:val="0"/>
          <w:numId w:val="10"/>
        </w:numPr>
      </w:pPr>
      <w:r w:rsidRPr="00D14D48">
        <w:rPr>
          <w:b/>
        </w:rPr>
        <w:t>42%</w:t>
      </w:r>
      <w:r>
        <w:t xml:space="preserve"> reduziram contato social</w:t>
      </w:r>
    </w:p>
    <w:p w:rsidR="00E210BB" w:rsidRDefault="00E210BB" w:rsidP="00196039">
      <w:pPr>
        <w:pStyle w:val="ListParagraph"/>
        <w:numPr>
          <w:ilvl w:val="0"/>
          <w:numId w:val="10"/>
        </w:numPr>
      </w:pPr>
      <w:r w:rsidRPr="00D14D48">
        <w:rPr>
          <w:b/>
        </w:rPr>
        <w:t>40%</w:t>
      </w:r>
      <w:r>
        <w:t xml:space="preserve"> ficaram rigorosamente em casa</w:t>
      </w:r>
    </w:p>
    <w:p w:rsidR="00E210BB" w:rsidRDefault="00E210BB" w:rsidP="00196039">
      <w:pPr>
        <w:pStyle w:val="ListParagraph"/>
        <w:numPr>
          <w:ilvl w:val="0"/>
          <w:numId w:val="10"/>
        </w:numPr>
      </w:pPr>
      <w:r w:rsidRPr="00D14D48">
        <w:rPr>
          <w:b/>
        </w:rPr>
        <w:t>13%</w:t>
      </w:r>
      <w:r>
        <w:t xml:space="preserve"> ficaram em casa saindo apenas por necessidade</w:t>
      </w:r>
    </w:p>
    <w:p w:rsidR="00E210BB" w:rsidRDefault="00E210BB" w:rsidP="00196039">
      <w:pPr>
        <w:pStyle w:val="ListParagraph"/>
        <w:numPr>
          <w:ilvl w:val="0"/>
          <w:numId w:val="10"/>
        </w:numPr>
      </w:pPr>
      <w:r>
        <w:lastRenderedPageBreak/>
        <w:t xml:space="preserve">Apenas </w:t>
      </w:r>
      <w:r w:rsidRPr="00D14D48">
        <w:rPr>
          <w:b/>
        </w:rPr>
        <w:t xml:space="preserve">4% </w:t>
      </w:r>
      <w:r>
        <w:t>não fizeram restrições</w:t>
      </w:r>
    </w:p>
    <w:p w:rsidR="00BB5CDA" w:rsidRDefault="00BB5CDA" w:rsidP="00E210BB">
      <w:r w:rsidRPr="00BB5CDA">
        <w:drawing>
          <wp:inline distT="0" distB="0" distL="0" distR="0" wp14:anchorId="74470903" wp14:editId="5F7B4964">
            <wp:extent cx="3586654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124" cy="230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BB" w:rsidRDefault="00E210BB" w:rsidP="00E210BB">
      <w:r>
        <w:t>5.2 Comportamento por Vulnerabilidade Social</w:t>
      </w:r>
    </w:p>
    <w:p w:rsidR="00E210BB" w:rsidRDefault="00E210BB" w:rsidP="00E210BB">
      <w:r>
        <w:t>Observa-se diferença significativa no comportamento entre grupos:</w:t>
      </w:r>
    </w:p>
    <w:p w:rsidR="00E210BB" w:rsidRDefault="00E210BB" w:rsidP="00E210BB">
      <w:r w:rsidRPr="00196039">
        <w:rPr>
          <w:b/>
        </w:rPr>
        <w:t>Alta vulnerabilidade:</w:t>
      </w:r>
      <w:r>
        <w:t xml:space="preserve"> 29% ficaram em casa, 6% não fizeram restrições</w:t>
      </w:r>
    </w:p>
    <w:p w:rsidR="00E210BB" w:rsidRDefault="00E210BB" w:rsidP="00E210BB">
      <w:r w:rsidRPr="00196039">
        <w:rPr>
          <w:b/>
        </w:rPr>
        <w:t>Baixa vulnerabilidade:</w:t>
      </w:r>
      <w:r>
        <w:t xml:space="preserve"> 43% ficaram em casa, 20% não fizeram restrições</w:t>
      </w:r>
    </w:p>
    <w:p w:rsidR="00E210BB" w:rsidRDefault="00E210BB" w:rsidP="00E210BB">
      <w:r>
        <w:t>Esta disparidade sugere que populações vulneráveis tiveram menor capacidade de aderir ao isolamento, provavelmente devido a necessidades econômicas.</w:t>
      </w:r>
    </w:p>
    <w:p w:rsidR="00E210BB" w:rsidRDefault="00BB5CDA" w:rsidP="00E210BB">
      <w:r w:rsidRPr="00BB5CDA">
        <w:drawing>
          <wp:inline distT="0" distB="0" distL="0" distR="0" wp14:anchorId="3D13F8B2" wp14:editId="066ADA4C">
            <wp:extent cx="3625621" cy="231986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9023" cy="233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BB" w:rsidRDefault="00E210BB" w:rsidP="00E210BB">
      <w:r>
        <w:t>5.3 Testagem para COVID-19</w:t>
      </w:r>
    </w:p>
    <w:p w:rsidR="00E210BB" w:rsidRDefault="00E210BB" w:rsidP="00E210BB">
      <w:r>
        <w:t>O funil de testagem mostra:</w:t>
      </w:r>
    </w:p>
    <w:p w:rsidR="00E210BB" w:rsidRDefault="00E210BB" w:rsidP="00E210BB">
      <w:r w:rsidRPr="00196039">
        <w:rPr>
          <w:b/>
        </w:rPr>
        <w:t>133.542</w:t>
      </w:r>
      <w:r>
        <w:t xml:space="preserve"> pessoas fizeram teste (11,6% da amostra)</w:t>
      </w:r>
    </w:p>
    <w:p w:rsidR="00E210BB" w:rsidRDefault="00E210BB" w:rsidP="00E210BB">
      <w:r w:rsidRPr="00196039">
        <w:rPr>
          <w:b/>
        </w:rPr>
        <w:t>14.450</w:t>
      </w:r>
      <w:r>
        <w:t xml:space="preserve"> tiveram resultado positivo (10,8% dos testados)</w:t>
      </w:r>
    </w:p>
    <w:p w:rsidR="00E210BB" w:rsidRDefault="00E210BB" w:rsidP="00E210BB">
      <w:r>
        <w:t>Taxa de positividade relativamente baixa, indicando testagem preventiva</w:t>
      </w:r>
    </w:p>
    <w:p w:rsidR="00BB5CDA" w:rsidRDefault="00BB5CDA" w:rsidP="00E210BB">
      <w:r w:rsidRPr="00BB5CDA">
        <w:lastRenderedPageBreak/>
        <w:drawing>
          <wp:inline distT="0" distB="0" distL="0" distR="0" wp14:anchorId="25F8F7D1" wp14:editId="4BCEE8BF">
            <wp:extent cx="3369792" cy="1363133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84" cy="136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BB" w:rsidRDefault="00E210BB" w:rsidP="00E210BB">
      <w:r>
        <w:t>5.4 Evolução Temporal das Medidas</w:t>
      </w:r>
    </w:p>
    <w:p w:rsidR="00E210BB" w:rsidRDefault="00E210BB" w:rsidP="00E210BB">
      <w:r>
        <w:t>A análise temporal (setembro a novembro 2020) mostra estabilidade nas medidas de restrição, com ligeiro aumento na categoria "ficou em casa" ao longo dos meses, sugerindo aprendizado e adaptação populacional.</w:t>
      </w:r>
    </w:p>
    <w:p w:rsidR="00E210BB" w:rsidRDefault="00E210BB" w:rsidP="00E210BB">
      <w:r>
        <w:t>6. CARACTERÍSTICAS SOCIOECONÔMICAS E IMPACTO NO SISTEMA DE SAÚDE</w:t>
      </w:r>
    </w:p>
    <w:p w:rsidR="00E210BB" w:rsidRDefault="00E210BB" w:rsidP="00E210BB">
      <w:r>
        <w:t>6.1 Mercado de Trabalho</w:t>
      </w:r>
    </w:p>
    <w:p w:rsidR="00E210BB" w:rsidRDefault="00E210BB" w:rsidP="00E210BB">
      <w:r>
        <w:t>A pandemia impactou significativamente o mercado de trabalho:</w:t>
      </w:r>
    </w:p>
    <w:p w:rsidR="00E210BB" w:rsidRDefault="00E210BB" w:rsidP="00E210BB">
      <w:r>
        <w:t xml:space="preserve">55% </w:t>
      </w:r>
      <w:r w:rsidRPr="00196039">
        <w:rPr>
          <w:b/>
        </w:rPr>
        <w:t>não trabalharam</w:t>
      </w:r>
      <w:r>
        <w:t xml:space="preserve"> na semana de referência</w:t>
      </w:r>
    </w:p>
    <w:p w:rsidR="00E210BB" w:rsidRDefault="00E210BB" w:rsidP="00E210BB">
      <w:r>
        <w:t xml:space="preserve">45% </w:t>
      </w:r>
      <w:r w:rsidRPr="00196039">
        <w:rPr>
          <w:b/>
        </w:rPr>
        <w:t>mantiveram atividade</w:t>
      </w:r>
      <w:r>
        <w:t xml:space="preserve"> laboral</w:t>
      </w:r>
    </w:p>
    <w:p w:rsidR="00E210BB" w:rsidRDefault="00E210BB" w:rsidP="00E210BB">
      <w:r>
        <w:t xml:space="preserve">81% dos afastamentos duraram </w:t>
      </w:r>
      <w:r w:rsidRPr="00196039">
        <w:rPr>
          <w:b/>
        </w:rPr>
        <w:t>"de 1 mês a menos de 1 ano"</w:t>
      </w:r>
    </w:p>
    <w:p w:rsidR="00BB5CDA" w:rsidRDefault="00BB5CDA" w:rsidP="00E210BB">
      <w:r w:rsidRPr="00BB5CDA">
        <w:drawing>
          <wp:inline distT="0" distB="0" distL="0" distR="0" wp14:anchorId="441514FF" wp14:editId="15FC63DE">
            <wp:extent cx="3420971" cy="1820333"/>
            <wp:effectExtent l="0" t="0" r="825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0720" cy="183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DA" w:rsidRDefault="00BB5CDA" w:rsidP="00E210BB"/>
    <w:p w:rsidR="00BB5CDA" w:rsidRDefault="00BB5CDA" w:rsidP="00E210BB"/>
    <w:p w:rsidR="00BB5CDA" w:rsidRDefault="00BB5CDA" w:rsidP="00E210BB"/>
    <w:p w:rsidR="00BB5CDA" w:rsidRDefault="00BB5CDA" w:rsidP="00E210BB"/>
    <w:p w:rsidR="00BB5CDA" w:rsidRDefault="00BB5CDA" w:rsidP="00E210BB"/>
    <w:p w:rsidR="00BB5CDA" w:rsidRDefault="00BB5CDA" w:rsidP="00E210BB"/>
    <w:p w:rsidR="00BB5CDA" w:rsidRDefault="00BB5CDA" w:rsidP="00E210BB"/>
    <w:p w:rsidR="00BB5CDA" w:rsidRDefault="00BB5CDA" w:rsidP="00E210BB"/>
    <w:p w:rsidR="00BB5CDA" w:rsidRDefault="00BB5CDA" w:rsidP="00E210BB"/>
    <w:p w:rsidR="00BB5CDA" w:rsidRDefault="00BB5CDA" w:rsidP="00E210BB"/>
    <w:p w:rsidR="00E210BB" w:rsidRDefault="00E210BB" w:rsidP="00E210BB">
      <w:r>
        <w:lastRenderedPageBreak/>
        <w:t>6.2 Distribuição Socioeconômica dos Afastamentos</w:t>
      </w:r>
    </w:p>
    <w:p w:rsidR="00E210BB" w:rsidRDefault="00E210BB" w:rsidP="00E210BB">
      <w:r>
        <w:t>Análise revela que:</w:t>
      </w:r>
    </w:p>
    <w:p w:rsidR="00E210BB" w:rsidRDefault="00E210BB" w:rsidP="00E210BB">
      <w:r w:rsidRPr="00196039">
        <w:rPr>
          <w:b/>
        </w:rPr>
        <w:t>Alta vulnerabilidade:</w:t>
      </w:r>
      <w:r>
        <w:t xml:space="preserve"> 61% ficaram afastados por período prolongado</w:t>
      </w:r>
    </w:p>
    <w:p w:rsidR="00E210BB" w:rsidRDefault="00E210BB" w:rsidP="00E210BB">
      <w:r w:rsidRPr="00196039">
        <w:rPr>
          <w:b/>
        </w:rPr>
        <w:t>Baixa vulnerabilidade:</w:t>
      </w:r>
      <w:r>
        <w:t xml:space="preserve"> 12% tiveram afastamentos longos</w:t>
      </w:r>
    </w:p>
    <w:p w:rsidR="00E210BB" w:rsidRDefault="00E210BB" w:rsidP="00E210BB">
      <w:r>
        <w:t>Essa disparidade indica que populações vulneráveis sofreram maior impacto econômico, potencialmente afetando sua capacidade de buscar cuidados médicos.</w:t>
      </w:r>
    </w:p>
    <w:p w:rsidR="00E210BB" w:rsidRDefault="00BB5CDA" w:rsidP="00E210BB">
      <w:r w:rsidRPr="00BB5CDA">
        <w:drawing>
          <wp:inline distT="0" distB="0" distL="0" distR="0" wp14:anchorId="7404B3E5" wp14:editId="0A53D728">
            <wp:extent cx="3564467" cy="24788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4835" cy="249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BB" w:rsidRDefault="00E210BB" w:rsidP="00E210BB">
      <w:r>
        <w:t>6.3 Correlação Renda vs. Plano de Saúde</w:t>
      </w:r>
    </w:p>
    <w:p w:rsidR="00E210BB" w:rsidRDefault="00E210BB" w:rsidP="00E210BB">
      <w:r>
        <w:t>A análise scatter plot confirma forte correlação entre faixa salarial e posse de plano de saúde. Concentração significativa nas faixas de R$ 1.601-10.000 com planos privados, enquanto faixas inferiores dependem predominantemente do SUS.</w:t>
      </w:r>
    </w:p>
    <w:p w:rsidR="00E210BB" w:rsidRDefault="00BB5CDA" w:rsidP="00E210BB">
      <w:r w:rsidRPr="00BB5CDA">
        <w:drawing>
          <wp:inline distT="0" distB="0" distL="0" distR="0" wp14:anchorId="79295729" wp14:editId="58D72962">
            <wp:extent cx="3581400" cy="26298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300" cy="265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70" w:rsidRDefault="006F3A70" w:rsidP="00E210BB"/>
    <w:p w:rsidR="006F3A70" w:rsidRDefault="006F3A70" w:rsidP="00E210BB"/>
    <w:p w:rsidR="006F3A70" w:rsidRDefault="006F3A70" w:rsidP="00E210BB"/>
    <w:p w:rsidR="00E210BB" w:rsidRDefault="00E210BB" w:rsidP="00E210BB">
      <w:r>
        <w:lastRenderedPageBreak/>
        <w:t>7. VISÃO EXECUTIVA: SCORE DE RISCO POR UF</w:t>
      </w:r>
    </w:p>
    <w:p w:rsidR="00BB5CDA" w:rsidRDefault="00BB5CDA" w:rsidP="00E210BB">
      <w:r w:rsidRPr="00BB5CDA">
        <w:drawing>
          <wp:inline distT="0" distB="0" distL="0" distR="0" wp14:anchorId="4AD00DD1" wp14:editId="2799D6A0">
            <wp:extent cx="5400040" cy="3030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BB" w:rsidRDefault="00E210BB" w:rsidP="00E210BB">
      <w:r>
        <w:t>7.1 Metodologia do Score</w:t>
      </w:r>
    </w:p>
    <w:p w:rsidR="00E210BB" w:rsidRDefault="00E210BB" w:rsidP="00E210BB">
      <w:r>
        <w:t>Foi desenvolvido um Score UF composto que avalia três dimensões críticas:</w:t>
      </w:r>
    </w:p>
    <w:p w:rsidR="00E210BB" w:rsidRDefault="00E210BB" w:rsidP="00E210BB">
      <w:r w:rsidRPr="00BB5CDA">
        <w:rPr>
          <w:b/>
        </w:rPr>
        <w:t>Percentual de casos graves (33,3%):</w:t>
      </w:r>
      <w:r>
        <w:t xml:space="preserve"> Demanda direta por leitos hospitalares</w:t>
      </w:r>
    </w:p>
    <w:p w:rsidR="00E210BB" w:rsidRDefault="00E210BB" w:rsidP="00E210BB">
      <w:r w:rsidRPr="00BB5CDA">
        <w:rPr>
          <w:b/>
        </w:rPr>
        <w:t>Percentual sem plano de saúde (33,3%):</w:t>
      </w:r>
      <w:r>
        <w:t xml:space="preserve"> Pressão sobre o SUS</w:t>
      </w:r>
    </w:p>
    <w:p w:rsidR="00E210BB" w:rsidRDefault="00E210BB" w:rsidP="00E210BB">
      <w:r w:rsidRPr="00BB5CDA">
        <w:rPr>
          <w:b/>
        </w:rPr>
        <w:t>Percentual com baixa adesão (33,3%):</w:t>
      </w:r>
      <w:r>
        <w:t xml:space="preserve"> Risco de propagação</w:t>
      </w:r>
    </w:p>
    <w:p w:rsidR="00BB5CDA" w:rsidRDefault="00E210BB" w:rsidP="00E210BB">
      <w:r>
        <w:t>7.2 Ranking de Prioridades</w:t>
      </w:r>
    </w:p>
    <w:p w:rsidR="00E210BB" w:rsidRDefault="00E210BB" w:rsidP="00E210BB">
      <w:r>
        <w:t>Estados com Maior Score (Prioridade Máxima):</w:t>
      </w:r>
    </w:p>
    <w:p w:rsidR="00E210BB" w:rsidRDefault="00E210BB" w:rsidP="00196039">
      <w:pPr>
        <w:pStyle w:val="ListParagraph"/>
        <w:numPr>
          <w:ilvl w:val="0"/>
          <w:numId w:val="11"/>
        </w:numPr>
      </w:pPr>
      <w:r>
        <w:t>Amazonas: 50 pontos</w:t>
      </w:r>
    </w:p>
    <w:p w:rsidR="00E210BB" w:rsidRDefault="00E210BB" w:rsidP="00196039">
      <w:pPr>
        <w:pStyle w:val="ListParagraph"/>
        <w:numPr>
          <w:ilvl w:val="0"/>
          <w:numId w:val="11"/>
        </w:numPr>
      </w:pPr>
      <w:r>
        <w:t>Roraima: 48 pontos</w:t>
      </w:r>
    </w:p>
    <w:p w:rsidR="00E210BB" w:rsidRDefault="00E210BB" w:rsidP="00196039">
      <w:pPr>
        <w:pStyle w:val="ListParagraph"/>
        <w:numPr>
          <w:ilvl w:val="0"/>
          <w:numId w:val="11"/>
        </w:numPr>
      </w:pPr>
      <w:r>
        <w:t>Pará: 47 pontos</w:t>
      </w:r>
    </w:p>
    <w:p w:rsidR="00E210BB" w:rsidRDefault="00E210BB" w:rsidP="00196039">
      <w:pPr>
        <w:pStyle w:val="ListParagraph"/>
        <w:numPr>
          <w:ilvl w:val="0"/>
          <w:numId w:val="11"/>
        </w:numPr>
      </w:pPr>
      <w:r>
        <w:t>Maranhão: 47 pontos</w:t>
      </w:r>
    </w:p>
    <w:p w:rsidR="00BB5CDA" w:rsidRDefault="00BB5CDA" w:rsidP="00E210BB"/>
    <w:p w:rsidR="00E210BB" w:rsidRDefault="00E210BB" w:rsidP="00E210BB">
      <w:r>
        <w:t>Estados com Menor Score:</w:t>
      </w:r>
    </w:p>
    <w:p w:rsidR="00E210BB" w:rsidRDefault="00BB5CDA" w:rsidP="00196039">
      <w:pPr>
        <w:pStyle w:val="ListParagraph"/>
        <w:numPr>
          <w:ilvl w:val="0"/>
          <w:numId w:val="12"/>
        </w:numPr>
      </w:pPr>
      <w:r>
        <w:t>São Paulo</w:t>
      </w:r>
      <w:r w:rsidR="00E210BB">
        <w:t xml:space="preserve">: </w:t>
      </w:r>
      <w:r>
        <w:t>37</w:t>
      </w:r>
      <w:r w:rsidR="00E210BB">
        <w:t xml:space="preserve"> pontos</w:t>
      </w:r>
    </w:p>
    <w:p w:rsidR="00E210BB" w:rsidRDefault="00BB5CDA" w:rsidP="00196039">
      <w:pPr>
        <w:pStyle w:val="ListParagraph"/>
        <w:numPr>
          <w:ilvl w:val="0"/>
          <w:numId w:val="12"/>
        </w:numPr>
      </w:pPr>
      <w:r>
        <w:t>Distrito Federal</w:t>
      </w:r>
      <w:r w:rsidR="00E210BB">
        <w:t xml:space="preserve">: </w:t>
      </w:r>
      <w:r>
        <w:t>35</w:t>
      </w:r>
      <w:r w:rsidR="00E210BB">
        <w:t xml:space="preserve"> pontos</w:t>
      </w:r>
    </w:p>
    <w:p w:rsidR="00E210BB" w:rsidRDefault="00E210BB" w:rsidP="00E210BB">
      <w:r>
        <w:t>7.3 Matriz de Situação por UF</w:t>
      </w:r>
    </w:p>
    <w:p w:rsidR="00E210BB" w:rsidRDefault="00E210BB" w:rsidP="00E210BB">
      <w:r>
        <w:t>A matriz consolidada revela padrões regionais claros:</w:t>
      </w:r>
    </w:p>
    <w:p w:rsidR="00E210BB" w:rsidRDefault="00E210BB" w:rsidP="00E210BB">
      <w:r>
        <w:t>Norte: Altos scores devido à maior dependência do SUS (88-91% sem plano)</w:t>
      </w:r>
    </w:p>
    <w:p w:rsidR="00E210BB" w:rsidRDefault="00E210BB" w:rsidP="00E210BB">
      <w:r>
        <w:t>Nordeste: Scores médio-altos com variações significativas</w:t>
      </w:r>
    </w:p>
    <w:p w:rsidR="00E210BB" w:rsidRDefault="00E210BB" w:rsidP="00E210BB">
      <w:r>
        <w:t>Sul/Sudeste: Menores scores, melhor cobertura de planos privados</w:t>
      </w:r>
    </w:p>
    <w:p w:rsidR="00BB5CDA" w:rsidRDefault="00BB5CDA" w:rsidP="00E210BB">
      <w:r w:rsidRPr="00BB5CDA">
        <w:lastRenderedPageBreak/>
        <w:drawing>
          <wp:inline distT="0" distB="0" distL="0" distR="0" wp14:anchorId="7FB43DE3" wp14:editId="40B733F6">
            <wp:extent cx="3208867" cy="1689808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6545" cy="170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BB" w:rsidRDefault="00E210BB" w:rsidP="00E210BB">
      <w:r>
        <w:t>8. RECOMENDAÇÕES ESTRATÉGICAS PARA NOVOS SURTOS</w:t>
      </w:r>
    </w:p>
    <w:p w:rsidR="00BB5CDA" w:rsidRDefault="00E210BB" w:rsidP="00E210BB">
      <w:r>
        <w:t>8.1 Ações Imediatas (0-72h)</w:t>
      </w:r>
    </w:p>
    <w:p w:rsidR="00E210BB" w:rsidRDefault="00E210BB" w:rsidP="00E210BB">
      <w:r>
        <w:t>Para Estados com Score &gt; 47:</w:t>
      </w:r>
    </w:p>
    <w:p w:rsidR="00E210BB" w:rsidRDefault="00E210BB" w:rsidP="00E210BB">
      <w:r>
        <w:t>Ativar protocolos de emergência com foco em ampliar capacidade de leitos</w:t>
      </w:r>
    </w:p>
    <w:p w:rsidR="00E210BB" w:rsidRDefault="00E210BB" w:rsidP="00E210BB">
      <w:r>
        <w:t>Estabelecer centrais de triagem para otimizar fluxo de atendimento</w:t>
      </w:r>
    </w:p>
    <w:p w:rsidR="00E210BB" w:rsidRDefault="00E210BB" w:rsidP="00E210BB">
      <w:r>
        <w:t>Implementar telemedicina para reduzir demanda presencial</w:t>
      </w:r>
    </w:p>
    <w:p w:rsidR="00E210BB" w:rsidRDefault="00E210BB" w:rsidP="00E210BB">
      <w:r>
        <w:t>Mobilizar reservas estratégicas de equipamentos e medicamentos</w:t>
      </w:r>
    </w:p>
    <w:p w:rsidR="00E210BB" w:rsidRDefault="00E210BB" w:rsidP="00E210BB">
      <w:r>
        <w:t>8.2 Ações de Curto Prazo (1-2 semanas)</w:t>
      </w:r>
    </w:p>
    <w:p w:rsidR="00E210BB" w:rsidRDefault="00E210BB" w:rsidP="00E210BB">
      <w:r>
        <w:t>Para todos os estados:</w:t>
      </w:r>
    </w:p>
    <w:p w:rsidR="00E210BB" w:rsidRDefault="00E210BB" w:rsidP="00BB5CDA">
      <w:pPr>
        <w:pStyle w:val="ListParagraph"/>
        <w:numPr>
          <w:ilvl w:val="0"/>
          <w:numId w:val="3"/>
        </w:numPr>
      </w:pPr>
      <w:r>
        <w:t>Campanhas de comunicação direcionadas às populações vulneráveis</w:t>
      </w:r>
    </w:p>
    <w:p w:rsidR="00E210BB" w:rsidRDefault="00E210BB" w:rsidP="00BB5CDA">
      <w:pPr>
        <w:pStyle w:val="ListParagraph"/>
        <w:numPr>
          <w:ilvl w:val="0"/>
          <w:numId w:val="3"/>
        </w:numPr>
      </w:pPr>
      <w:r>
        <w:t>Parcerias SUS-Privado para ampliar capacidade em estados críticos</w:t>
      </w:r>
    </w:p>
    <w:p w:rsidR="00E210BB" w:rsidRDefault="00E210BB" w:rsidP="00BB5CDA">
      <w:pPr>
        <w:pStyle w:val="ListParagraph"/>
        <w:numPr>
          <w:ilvl w:val="0"/>
          <w:numId w:val="3"/>
        </w:numPr>
      </w:pPr>
      <w:r>
        <w:t>Postos de atendimento móveis em regiões de difícil acesso</w:t>
      </w:r>
    </w:p>
    <w:p w:rsidR="00E210BB" w:rsidRDefault="00E210BB" w:rsidP="00BB5CDA">
      <w:pPr>
        <w:pStyle w:val="ListParagraph"/>
        <w:numPr>
          <w:ilvl w:val="0"/>
          <w:numId w:val="3"/>
        </w:numPr>
      </w:pPr>
      <w:r>
        <w:t>Treinamento intensivo de equipes para protocolos COVID-19</w:t>
      </w:r>
    </w:p>
    <w:p w:rsidR="00E210BB" w:rsidRDefault="00E210BB" w:rsidP="00E210BB">
      <w:r>
        <w:t>8.3 Ações Estruturais (1-3 meses)</w:t>
      </w:r>
    </w:p>
    <w:p w:rsidR="00E210BB" w:rsidRDefault="00E210BB" w:rsidP="00BB5CDA">
      <w:pPr>
        <w:pStyle w:val="ListParagraph"/>
        <w:numPr>
          <w:ilvl w:val="0"/>
          <w:numId w:val="4"/>
        </w:numPr>
      </w:pPr>
      <w:r>
        <w:t>Expansão da rede SUS nos estados do Norte e Nordeste</w:t>
      </w:r>
    </w:p>
    <w:p w:rsidR="00E210BB" w:rsidRDefault="00E210BB" w:rsidP="00BB5CDA">
      <w:pPr>
        <w:pStyle w:val="ListParagraph"/>
        <w:numPr>
          <w:ilvl w:val="0"/>
          <w:numId w:val="4"/>
        </w:numPr>
      </w:pPr>
      <w:r>
        <w:t>Sistemas de monitoramento epidemiológico em tempo real</w:t>
      </w:r>
    </w:p>
    <w:p w:rsidR="00E210BB" w:rsidRDefault="00E210BB" w:rsidP="00BB5CDA">
      <w:pPr>
        <w:pStyle w:val="ListParagraph"/>
        <w:numPr>
          <w:ilvl w:val="0"/>
          <w:numId w:val="4"/>
        </w:numPr>
      </w:pPr>
      <w:r>
        <w:t>Programas de preparação comunitária para populações vulneráveis</w:t>
      </w:r>
    </w:p>
    <w:p w:rsidR="00E210BB" w:rsidRDefault="00E210BB" w:rsidP="00BB5CDA">
      <w:pPr>
        <w:pStyle w:val="ListParagraph"/>
        <w:numPr>
          <w:ilvl w:val="0"/>
          <w:numId w:val="4"/>
        </w:numPr>
      </w:pPr>
      <w:r>
        <w:t>Investimento em infraestrutura de saúde regional</w:t>
      </w:r>
    </w:p>
    <w:p w:rsidR="00E210BB" w:rsidRDefault="00E210BB" w:rsidP="00E210BB">
      <w:r>
        <w:t>8.4 Indicadores de Monitoramento Contínuo</w:t>
      </w:r>
    </w:p>
    <w:p w:rsidR="00E210BB" w:rsidRDefault="00E210BB" w:rsidP="00BB5CDA">
      <w:r>
        <w:t>KPIs Críticos para Acompanhamento:</w:t>
      </w:r>
    </w:p>
    <w:p w:rsidR="00E210BB" w:rsidRDefault="00E210BB" w:rsidP="00BB5CDA">
      <w:pPr>
        <w:pStyle w:val="ListParagraph"/>
        <w:numPr>
          <w:ilvl w:val="0"/>
          <w:numId w:val="5"/>
        </w:numPr>
      </w:pPr>
      <w:r>
        <w:t>Taxa de ocupação de leitos por região</w:t>
      </w:r>
    </w:p>
    <w:p w:rsidR="00E210BB" w:rsidRDefault="00E210BB" w:rsidP="00BB5CDA">
      <w:pPr>
        <w:pStyle w:val="ListParagraph"/>
        <w:numPr>
          <w:ilvl w:val="0"/>
          <w:numId w:val="5"/>
        </w:numPr>
      </w:pPr>
      <w:r>
        <w:t>Tempo médio de resposta do sistema de saúde</w:t>
      </w:r>
    </w:p>
    <w:p w:rsidR="00E210BB" w:rsidRDefault="00E210BB" w:rsidP="00BB5CDA">
      <w:pPr>
        <w:pStyle w:val="ListParagraph"/>
        <w:numPr>
          <w:ilvl w:val="0"/>
          <w:numId w:val="5"/>
        </w:numPr>
      </w:pPr>
      <w:r>
        <w:t>Cobertura de testagem populacional</w:t>
      </w:r>
    </w:p>
    <w:p w:rsidR="00E210BB" w:rsidRDefault="00E210BB" w:rsidP="00BB5CDA">
      <w:pPr>
        <w:pStyle w:val="ListParagraph"/>
        <w:numPr>
          <w:ilvl w:val="0"/>
          <w:numId w:val="5"/>
        </w:numPr>
      </w:pPr>
      <w:r>
        <w:t>Índice de adesão às medidas preventivas por UF</w:t>
      </w:r>
    </w:p>
    <w:p w:rsidR="00E210BB" w:rsidRDefault="00E210BB" w:rsidP="00BB5CDA">
      <w:pPr>
        <w:pStyle w:val="ListParagraph"/>
        <w:numPr>
          <w:ilvl w:val="0"/>
          <w:numId w:val="5"/>
        </w:numPr>
      </w:pPr>
      <w:r>
        <w:t>Capacidade disponível vs. demanda projetada</w:t>
      </w:r>
    </w:p>
    <w:p w:rsidR="00E210BB" w:rsidRDefault="00E210BB" w:rsidP="00E210BB">
      <w:r>
        <w:t xml:space="preserve">9. CONCLUSÕES </w:t>
      </w:r>
    </w:p>
    <w:p w:rsidR="00E210BB" w:rsidRDefault="00E210BB" w:rsidP="00E210BB">
      <w:r>
        <w:t xml:space="preserve">9.1 </w:t>
      </w:r>
      <w:r w:rsidR="00BB5CDA">
        <w:t>Análise Principal</w:t>
      </w:r>
    </w:p>
    <w:p w:rsidR="00E210BB" w:rsidRDefault="00E210BB" w:rsidP="00E210BB">
      <w:r>
        <w:lastRenderedPageBreak/>
        <w:t>Subnotificação Significativa: A baixa procura por atendimento (1,03%) sugere barreiras de acesso que mascaram a real dimensão dos casos graves.</w:t>
      </w:r>
    </w:p>
    <w:p w:rsidR="00E210BB" w:rsidRDefault="00E210BB" w:rsidP="00E210BB">
      <w:r>
        <w:t>Desigualdade Regional Extrema: Estados do Norte apresentam vulnerabilidade crítica com até 91% de dependência do SUS.</w:t>
      </w:r>
    </w:p>
    <w:p w:rsidR="00E210BB" w:rsidRDefault="00E210BB" w:rsidP="00E210BB">
      <w:r>
        <w:t>Impacto Socioeconômico Desproporcional: Populações vulneráveis sofreram maior impacto econômico e tiveram menor capacidade de isolamento.</w:t>
      </w:r>
    </w:p>
    <w:p w:rsidR="00E210BB" w:rsidRDefault="00E210BB" w:rsidP="00E210BB">
      <w:r>
        <w:t>Boa Adesão Geral às Medidas: Apesar das limitações socioeconômicas, 82% da população aderiu a alguma forma de distanciamento.</w:t>
      </w:r>
    </w:p>
    <w:p w:rsidR="00E210BB" w:rsidRDefault="00E210BB" w:rsidP="00E210BB">
      <w:r>
        <w:t>9.2 Fatores Críticos de Sucesso</w:t>
      </w:r>
    </w:p>
    <w:p w:rsidR="00E210BB" w:rsidRDefault="00E210BB" w:rsidP="00E210BB">
      <w:r>
        <w:t>Para enfrentamento de novos surtos, são essenciais:</w:t>
      </w:r>
    </w:p>
    <w:p w:rsidR="00E210BB" w:rsidRDefault="00E210BB" w:rsidP="00BB5CDA">
      <w:pPr>
        <w:pStyle w:val="ListParagraph"/>
        <w:numPr>
          <w:ilvl w:val="0"/>
          <w:numId w:val="1"/>
        </w:numPr>
      </w:pPr>
      <w:r>
        <w:t>Capacidade de resposta rápida nos primeiros dias</w:t>
      </w:r>
    </w:p>
    <w:p w:rsidR="00E210BB" w:rsidRDefault="00E210BB" w:rsidP="00BB5CDA">
      <w:pPr>
        <w:pStyle w:val="ListParagraph"/>
        <w:numPr>
          <w:ilvl w:val="0"/>
          <w:numId w:val="1"/>
        </w:numPr>
      </w:pPr>
      <w:r>
        <w:t>Comunicação efetiva com populações vulneráveis</w:t>
      </w:r>
    </w:p>
    <w:p w:rsidR="00E210BB" w:rsidRDefault="00E210BB" w:rsidP="00BB5CDA">
      <w:pPr>
        <w:pStyle w:val="ListParagraph"/>
        <w:numPr>
          <w:ilvl w:val="0"/>
          <w:numId w:val="1"/>
        </w:numPr>
      </w:pPr>
      <w:r>
        <w:t>Flexibilidade na alocação de recursos entre regiões</w:t>
      </w:r>
    </w:p>
    <w:p w:rsidR="00E210BB" w:rsidRDefault="00E210BB" w:rsidP="00BB5CDA">
      <w:pPr>
        <w:pStyle w:val="ListParagraph"/>
        <w:numPr>
          <w:ilvl w:val="0"/>
          <w:numId w:val="1"/>
        </w:numPr>
      </w:pPr>
      <w:r>
        <w:t>Parcerias público-privadas para ampliar capacidade</w:t>
      </w:r>
    </w:p>
    <w:p w:rsidR="00E210BB" w:rsidRDefault="00E210BB" w:rsidP="00BB5CDA">
      <w:pPr>
        <w:pStyle w:val="ListParagraph"/>
        <w:numPr>
          <w:ilvl w:val="0"/>
          <w:numId w:val="1"/>
        </w:numPr>
      </w:pPr>
      <w:r>
        <w:t>Sistemas de monitoramento em tempo real</w:t>
      </w:r>
    </w:p>
    <w:p w:rsidR="00E210BB" w:rsidRDefault="00E210BB" w:rsidP="00E210BB">
      <w:r>
        <w:t>9.3 Modelo de Preparação Proposto</w:t>
      </w:r>
    </w:p>
    <w:p w:rsidR="00E210BB" w:rsidRDefault="00E210BB" w:rsidP="00E210BB">
      <w:r>
        <w:t>Com base nos achados, recomenda-se a implementação de um Sistema Nacional de Alerta Precoce que monitore continuamente:</w:t>
      </w:r>
    </w:p>
    <w:p w:rsidR="00E210BB" w:rsidRDefault="00E210BB" w:rsidP="00BB5CDA">
      <w:pPr>
        <w:pStyle w:val="ListParagraph"/>
        <w:numPr>
          <w:ilvl w:val="0"/>
          <w:numId w:val="2"/>
        </w:numPr>
      </w:pPr>
      <w:r>
        <w:t>Indicadores epidemiológicos regionais</w:t>
      </w:r>
    </w:p>
    <w:p w:rsidR="00E210BB" w:rsidRDefault="00E210BB" w:rsidP="00BB5CDA">
      <w:pPr>
        <w:pStyle w:val="ListParagraph"/>
        <w:numPr>
          <w:ilvl w:val="0"/>
          <w:numId w:val="2"/>
        </w:numPr>
      </w:pPr>
      <w:r>
        <w:t>Capacidade hospitalar disponível</w:t>
      </w:r>
    </w:p>
    <w:p w:rsidR="00E210BB" w:rsidRDefault="00E210BB" w:rsidP="00BB5CDA">
      <w:pPr>
        <w:pStyle w:val="ListParagraph"/>
        <w:numPr>
          <w:ilvl w:val="0"/>
          <w:numId w:val="2"/>
        </w:numPr>
      </w:pPr>
      <w:r>
        <w:t>Vulnerabilidade socioeconômica populacional</w:t>
      </w:r>
    </w:p>
    <w:p w:rsidR="00E210BB" w:rsidRDefault="00E210BB" w:rsidP="00BB5CDA">
      <w:pPr>
        <w:pStyle w:val="ListParagraph"/>
        <w:numPr>
          <w:ilvl w:val="0"/>
          <w:numId w:val="2"/>
        </w:numPr>
      </w:pPr>
      <w:r>
        <w:t>Padrões de mobilidade e adesão às medidas</w:t>
      </w:r>
    </w:p>
    <w:p w:rsidR="00E210BB" w:rsidRDefault="00E210BB" w:rsidP="00E210BB">
      <w:r>
        <w:t>10. CONSIDERAÇÕES FINAIS</w:t>
      </w:r>
    </w:p>
    <w:p w:rsidR="00E210BB" w:rsidRDefault="00E210BB" w:rsidP="00E210BB">
      <w:r>
        <w:t>A análise dos dados da PNAD-COVID-19 fornece insights valiosos para o planejamento hospitalar em cenários de surtos epide</w:t>
      </w:r>
      <w:bookmarkStart w:id="0" w:name="_GoBack"/>
      <w:bookmarkEnd w:id="0"/>
      <w:r>
        <w:t>miológicos. O dashboard desenvolvido traduz mais de 1 milhão de registros em informações acionáveis, permitindo tomada de decisão baseada em evidências.</w:t>
      </w:r>
    </w:p>
    <w:p w:rsidR="00E210BB" w:rsidRDefault="00E210BB" w:rsidP="00E210BB">
      <w:r>
        <w:t>A metodologia aplicada, combinando análise descritiva com indicadores preditivos, demonstra como dados públicos de qualidade podem subsidiar estratégias de saúde pública efetivas. O Score UF desenvolvido oferece uma ferramenta objetiva para priorização de recursos, enquanto as análises comportamentais revelam padrões que podem ser antecipados em futuros surtos.</w:t>
      </w:r>
    </w:p>
    <w:p w:rsidR="00E210BB" w:rsidRDefault="00E210BB" w:rsidP="00E210BB">
      <w:r>
        <w:t>O principal valor desta análise reside na identificação de que preparação é mais efetiva que reação. Estados com maiores scores de vulnerabilidade devem receber investimentos preventivos contínuos, não apenas durante crises. A capacidade de resposta do sistema de saúde brasileiro depende fundamentalmente da redução das desigualdades regionais identificadas neste estudo.</w:t>
      </w:r>
    </w:p>
    <w:p w:rsidR="00E210BB" w:rsidRDefault="00E210BB" w:rsidP="00E210BB"/>
    <w:p w:rsidR="00CF3D36" w:rsidRDefault="00BB5CDA" w:rsidP="00E210BB">
      <w:r>
        <w:lastRenderedPageBreak/>
        <w:t>Proposta final por meio do Painel desenvolvido</w:t>
      </w:r>
      <w:r w:rsidR="00E210BB">
        <w:t>: Implementar este modelo de análise como ferramenta permanente de planejamento estratégico, atualizando periodicamente os dados e refinando os indicadores conforme novas evidências epidemiológicas e mudanças no perfil socioeconômico da população brasileira.</w:t>
      </w:r>
    </w:p>
    <w:sectPr w:rsidR="00CF3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4F55"/>
    <w:multiLevelType w:val="hybridMultilevel"/>
    <w:tmpl w:val="6D500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06020"/>
    <w:multiLevelType w:val="hybridMultilevel"/>
    <w:tmpl w:val="DA3CC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6EC5"/>
    <w:multiLevelType w:val="hybridMultilevel"/>
    <w:tmpl w:val="79B0E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77818"/>
    <w:multiLevelType w:val="hybridMultilevel"/>
    <w:tmpl w:val="F2AC7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6645B"/>
    <w:multiLevelType w:val="hybridMultilevel"/>
    <w:tmpl w:val="98AEE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20C68"/>
    <w:multiLevelType w:val="hybridMultilevel"/>
    <w:tmpl w:val="2CD08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F7295"/>
    <w:multiLevelType w:val="hybridMultilevel"/>
    <w:tmpl w:val="2FB6C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F2738"/>
    <w:multiLevelType w:val="hybridMultilevel"/>
    <w:tmpl w:val="81647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07B10"/>
    <w:multiLevelType w:val="hybridMultilevel"/>
    <w:tmpl w:val="C15ED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54C98"/>
    <w:multiLevelType w:val="hybridMultilevel"/>
    <w:tmpl w:val="43B02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475C7"/>
    <w:multiLevelType w:val="hybridMultilevel"/>
    <w:tmpl w:val="28A80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C1594"/>
    <w:multiLevelType w:val="hybridMultilevel"/>
    <w:tmpl w:val="21F4F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BB"/>
    <w:rsid w:val="00196039"/>
    <w:rsid w:val="002C3C40"/>
    <w:rsid w:val="006C5907"/>
    <w:rsid w:val="006F3A70"/>
    <w:rsid w:val="007E1A4B"/>
    <w:rsid w:val="00915B54"/>
    <w:rsid w:val="00BB5CDA"/>
    <w:rsid w:val="00CC672E"/>
    <w:rsid w:val="00CF3D36"/>
    <w:rsid w:val="00D14D48"/>
    <w:rsid w:val="00E2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7ADA"/>
  <w15:chartTrackingRefBased/>
  <w15:docId w15:val="{257002F3-8BA3-44AE-B41C-CEE43829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powerbi.com/view?r=eyJrIjoiNTc1OTNjMTYtNTdlMC00N2M3LWI5NzAtNjZlMjE2YzY5Zjc0IiwidCI6IjE2YjM4NmUyLWMzM2ItNDYxOS04MDkxLTFhODA0ZGViZGI3ZiJ9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1857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Farias</dc:creator>
  <cp:keywords/>
  <dc:description/>
  <cp:lastModifiedBy>Pedro Farias</cp:lastModifiedBy>
  <cp:revision>7</cp:revision>
  <dcterms:created xsi:type="dcterms:W3CDTF">2025-10-05T03:17:00Z</dcterms:created>
  <dcterms:modified xsi:type="dcterms:W3CDTF">2025-10-06T23:32:00Z</dcterms:modified>
</cp:coreProperties>
</file>