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07A2E"/>
          <w:sz w:val="20"/>
        </w:rPr>
        <w:t>THE URBAN MONK</w:t>
      </w:r>
    </w:p>
    <w:p>
      <w:pPr>
        <w:jc w:val="center"/>
      </w:pPr>
      <w:r>
        <w:rPr>
          <w:b/>
          <w:color w:val="154B36"/>
          <w:sz w:val="42"/>
        </w:rPr>
        <w:t>Interconnected Meta Attribution Handoff</w:t>
      </w:r>
    </w:p>
    <w:p>
      <w:pPr>
        <w:jc w:val="center"/>
      </w:pPr>
      <w:r>
        <w:rPr>
          <w:i/>
          <w:color w:val="5A5A5A"/>
          <w:sz w:val="20"/>
        </w:rPr>
        <w:t>Prepared for Curt | August 17, 2026</w:t>
      </w:r>
    </w:p>
    <w:p/>
    <w:p>
      <w:pPr>
        <w:pStyle w:val="Heading1"/>
      </w:pPr>
      <w:r>
        <w:t>What is happening</w:t>
      </w:r>
    </w:p>
    <w:p>
      <w:r>
        <w:t>Meta’s reported Lead total is not a one-to-one count of unique people who registered. For the August 10–16 reconciliation, Meta reported 4,939 lead actions while the first-party Kajabi-page registration bank contained 1,834 unique registrations. That is approximately 2.7 Meta lead actions for each unique captured registration.</w:t>
      </w:r>
    </w:p>
    <w:p>
      <w:r>
        <w:t>This gap is caused by multiple lead-related signals and platform reporting behavior—not evidence that Kajabi is losing registrations. For operating decisions, use unique first-party registrations as the lead denominator and direct Kajabi transactions as the revenue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4B36"/>
          </w:tcPr>
          <w:p>
            <w:r/>
            <w:r>
              <w:rPr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3408"/>
            <w:vAlign w:val="center"/>
            <w:shd w:fill="154B36"/>
          </w:tcPr>
          <w:p>
            <w:r/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408"/>
            <w:vAlign w:val="center"/>
            <w:shd w:fill="154B36"/>
          </w:tcPr>
          <w:p>
            <w:r/>
            <w:r>
              <w:rPr>
                <w:b/>
                <w:color w:val="FFFFFF"/>
                <w:sz w:val="18"/>
              </w:rPr>
              <w:t>Use for Decisions?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 reported Leads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Platform lead actions; may include multiple signals per person.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— diagnostic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First-party registrations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Unique captured registrations in the Kajabi-page lead bank.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Yes — lead denominator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Direct Kajabi purchases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Paid $67 and $199 transaction records.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Yes — revenue source</w:t>
            </w:r>
          </w:p>
        </w:tc>
      </w:tr>
    </w:tbl>
    <w:p>
      <w:pPr>
        <w:pStyle w:val="Heading1"/>
      </w:pPr>
      <w:r>
        <w:t>Curt’s required ad-level action</w:t>
      </w:r>
    </w:p>
    <w:p>
      <w:r>
        <w:t>Do not change the Meta pixel, campaign objective, ad set, creative, budget, or checkout. Only append the four campaign-identity parameters below to every active and future Agora → Interconnected destination URL.</w:t>
      </w:r>
    </w:p>
    <w:p>
      <w:pPr>
        <w:pStyle w:val="Heading2"/>
      </w:pPr>
      <w:r>
        <w:t>Copy-ready destination URL template</w:t>
      </w:r>
    </w:p>
    <w:p>
      <w:pPr/>
      <w:r>
        <w:rPr>
          <w:rFonts w:ascii="Consolas" w:hAnsi="Consolas"/>
          <w:color w:val="232323"/>
          <w:sz w:val="16"/>
        </w:rPr>
        <w:t>https://content.theurbanmonk.com/interconnected?utm_source=meta&amp;utm_medium=paid_social&amp;utm_campaign=agora_interconnected_us_2026_08&amp;utm_content={{ad.name}}&amp;meta_campaign_id={{campaign.id}}&amp;meta_adset_id={{adset.id}}&amp;meta_ad_id={{ad.id}}&amp;meta_campaign_key=agora_interconnected_us_2026_08</w:t>
      </w:r>
    </w:p>
    <w:p>
      <w:r>
        <w:t>If an ad already has the established UTM structure, keep it unchanged and append only the following suffix:</w:t>
      </w:r>
    </w:p>
    <w:p>
      <w:r>
        <w:rPr>
          <w:rFonts w:ascii="Consolas" w:hAnsi="Consolas"/>
          <w:sz w:val="16"/>
        </w:rPr>
        <w:t>&amp;meta_campaign_id={{campaign.id}}&amp;meta_adset_id={{adset.id}}&amp;meta_ad_id={{ad.id}}&amp;meta_campaign_key=agora_interconnected_us_2026_08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54B36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08"/>
            <w:vAlign w:val="center"/>
            <w:shd w:fill="154B36"/>
          </w:tcPr>
          <w:p>
            <w:r/>
            <w:r>
              <w:rPr>
                <w:b/>
                <w:color w:val="FFFFFF"/>
                <w:sz w:val="18"/>
              </w:rPr>
              <w:t>Value to Use</w:t>
            </w:r>
          </w:p>
        </w:tc>
        <w:tc>
          <w:tcPr>
            <w:tcW w:type="dxa" w:w="3408"/>
            <w:vAlign w:val="center"/>
            <w:shd w:fill="154B36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meta_campaign_id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{{campaign.id}}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Exact Meta campaign 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meta_adset_id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{{adset.id}}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Exact Meta ad-set 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meta_ad_id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{{ad.id}}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Exact Meta ad / creative 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meta_campaign_key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Stable lower-case label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Reporting family that survives name changes</w:t>
            </w:r>
          </w:p>
        </w:tc>
      </w:tr>
    </w:tbl>
    <w:p>
      <w:pPr>
        <w:pStyle w:val="Heading1"/>
      </w:pPr>
      <w:r>
        <w:t>Implementation checklist</w:t>
      </w:r>
    </w:p>
    <w:p>
      <w:pPr>
        <w:pStyle w:val="ListBullet"/>
      </w:pPr>
      <w:r>
        <w:t>Add the four meta_* parameters to every active Agora → Interconnected ad destination URL.</w:t>
      </w:r>
    </w:p>
    <w:p>
      <w:pPr>
        <w:pStyle w:val="ListBullet"/>
      </w:pPr>
      <w:r>
        <w:t>Use the same meta_campaign_key for variants in the same deliberate campaign family.</w:t>
      </w:r>
    </w:p>
    <w:p>
      <w:pPr>
        <w:pStyle w:val="ListBullet"/>
      </w:pPr>
      <w:r>
        <w:t>Use a different key for a new country, funnel, or dated test; do not use spaces.</w:t>
      </w:r>
    </w:p>
    <w:p>
      <w:pPr>
        <w:pStyle w:val="ListBullet"/>
      </w:pPr>
      <w:r>
        <w:t>Do not alter pixels, conversion events, budgets, audience targeting, or checkout behavior as part of this URL change.</w:t>
      </w:r>
    </w:p>
    <w:p>
      <w:pPr>
        <w:pStyle w:val="ListBullet"/>
      </w:pPr>
      <w:r>
        <w:t>After the first real opt-in from a tagged ad, notify the Content Hub operator for read-only validation.</w:t>
      </w:r>
    </w:p>
    <w:p>
      <w:pPr>
        <w:pStyle w:val="Heading1"/>
      </w:pPr>
      <w:r>
        <w:t>What will be validated after the first real opt-in</w:t>
      </w:r>
    </w:p>
    <w:p>
      <w:r>
        <w:t>The first-party lead record must contain campaign ID, ad-set ID, ad ID, and campaign key alongside the existing UTM/click data. Once present, operating reports can tie unique registrations, lead → $67 conversion, $67 → $199 attachment, and earnings per lead to actual campaign and ad-set identity.</w:t>
      </w:r>
    </w:p>
    <w:p>
      <w:pPr>
        <w:pStyle w:val="Heading1"/>
      </w:pPr>
      <w:r>
        <w:t>Current reporting rule</w:t>
      </w:r>
    </w:p>
    <w:p>
      <w:r>
        <w:t>Until every active ad carries this identity, do not optimize or scale from Meta’s raw Leads column alone. Use unique first-party registrations plus direct Kajabi revenue for performance decisions; Meta lead actions remain a platform diagnostic.</w:t>
      </w:r>
    </w:p>
    <w:p/>
    <w:p>
      <w:pPr>
        <w:jc w:val="center"/>
      </w:pPr>
      <w:r>
        <w:rPr>
          <w:i/>
          <w:color w:val="5A5A5A"/>
          <w:sz w:val="18"/>
        </w:rPr>
        <w:t>Questions or first-opt-in validation: contact the Content Hub operator before altering ad delivery settings.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B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B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