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brand"/>
        <w:bidi w:val="0"/>
        <w:jc w:val="start"/>
        <w:rPr/>
      </w:pPr>
      <w:r>
        <w:rPr/>
        <w:t>THE URBAN MONK ACADEMY</w:t>
      </w:r>
    </w:p>
    <w:p>
      <w:pPr>
        <w:pStyle w:val="Heading1"/>
        <w:bidi w:val="0"/>
        <w:jc w:val="start"/>
        <w:rPr/>
      </w:pPr>
      <w:r>
        <w:rPr/>
        <w:t>Kajabi Price-Test Setup</w:t>
        <w:br/>
        <w:t>VA Operating Manual</w:t>
      </w:r>
    </w:p>
    <w:p>
      <w:pPr>
        <w:pStyle w:val="BodyTextsubtitle"/>
        <w:bidi w:val="0"/>
        <w:jc w:val="start"/>
        <w:rPr/>
      </w:pPr>
      <w:r>
        <w:rPr/>
        <w:t>Draft-only configuration for the $49 / $67 / $99 Interconnected entry-price test</w:t>
      </w:r>
    </w:p>
    <w:tbl>
      <w:tblPr>
        <w:tblW w:w="6962" w:type="dxa"/>
        <w:jc w:val="start"/>
        <w:tblInd w:w="0" w:type="dxa"/>
        <w:tblLayout w:type="fixed"/>
        <w:tblCellMar>
          <w:top w:w="28" w:type="dxa"/>
          <w:start w:w="28" w:type="dxa"/>
          <w:bottom w:w="28" w:type="dxa"/>
          <w:end w:w="28" w:type="dxa"/>
        </w:tblCellMar>
      </w:tblPr>
      <w:tblGrid>
        <w:gridCol w:w="1741"/>
        <w:gridCol w:w="5221"/>
      </w:tblGrid>
      <w:tr>
        <w:trPr/>
        <w:tc>
          <w:tcPr>
            <w:tcW w:w="1741" w:type="dxa"/>
            <w:tcBorders/>
            <w:vAlign w:val="center"/>
          </w:tcPr>
          <w:p>
            <w:pPr>
              <w:pStyle w:val="TableContents"/>
              <w:bidi w:val="0"/>
              <w:spacing w:before="0" w:after="160"/>
              <w:jc w:val="start"/>
              <w:rPr/>
            </w:pPr>
            <w:r>
              <w:rPr/>
              <w:t>Prepared for</w:t>
            </w:r>
          </w:p>
        </w:tc>
        <w:tc>
          <w:tcPr>
            <w:tcW w:w="5221" w:type="dxa"/>
            <w:tcBorders/>
            <w:vAlign w:val="center"/>
          </w:tcPr>
          <w:p>
            <w:pPr>
              <w:pStyle w:val="TableContents"/>
              <w:bidi w:val="0"/>
              <w:spacing w:before="0" w:after="160"/>
              <w:jc w:val="start"/>
              <w:rPr/>
            </w:pPr>
            <w:r>
              <w:rPr/>
              <w:t>Virtual Assistant / Kajabi operator</w:t>
            </w:r>
          </w:p>
        </w:tc>
      </w:tr>
      <w:tr>
        <w:trPr/>
        <w:tc>
          <w:tcPr>
            <w:tcW w:w="1741" w:type="dxa"/>
            <w:tcBorders/>
            <w:vAlign w:val="center"/>
          </w:tcPr>
          <w:p>
            <w:pPr>
              <w:pStyle w:val="TableContents"/>
              <w:bidi w:val="0"/>
              <w:spacing w:before="0" w:after="160"/>
              <w:jc w:val="start"/>
              <w:rPr/>
            </w:pPr>
            <w:r>
              <w:rPr/>
              <w:t>Operating mode</w:t>
            </w:r>
          </w:p>
        </w:tc>
        <w:tc>
          <w:tcPr>
            <w:tcW w:w="5221" w:type="dxa"/>
            <w:tcBorders/>
            <w:vAlign w:val="center"/>
          </w:tcPr>
          <w:p>
            <w:pPr>
              <w:pStyle w:val="TableContents"/>
              <w:bidi w:val="0"/>
              <w:spacing w:before="0" w:after="160"/>
              <w:jc w:val="start"/>
              <w:rPr/>
            </w:pPr>
            <w:r>
              <w:rPr/>
              <w:t>Manual execution only — no AI or automation action</w:t>
            </w:r>
          </w:p>
        </w:tc>
      </w:tr>
      <w:tr>
        <w:trPr/>
        <w:tc>
          <w:tcPr>
            <w:tcW w:w="1741" w:type="dxa"/>
            <w:tcBorders/>
            <w:vAlign w:val="center"/>
          </w:tcPr>
          <w:p>
            <w:pPr>
              <w:pStyle w:val="TableContents"/>
              <w:bidi w:val="0"/>
              <w:spacing w:before="0" w:after="160"/>
              <w:jc w:val="start"/>
              <w:rPr/>
            </w:pPr>
            <w:r>
              <w:rPr/>
              <w:t>Status</w:t>
            </w:r>
          </w:p>
        </w:tc>
        <w:tc>
          <w:tcPr>
            <w:tcW w:w="5221" w:type="dxa"/>
            <w:tcBorders/>
            <w:vAlign w:val="center"/>
          </w:tcPr>
          <w:p>
            <w:pPr>
              <w:pStyle w:val="TableContents"/>
              <w:bidi w:val="0"/>
              <w:spacing w:before="0" w:after="160"/>
              <w:jc w:val="start"/>
              <w:rPr/>
            </w:pPr>
            <w:r>
              <w:rPr/>
              <w:t xml:space="preserve">Draft preparation only; traffic test is </w:t>
            </w:r>
            <w:r>
              <w:rPr>
                <w:rStyle w:val="Strong"/>
              </w:rPr>
              <w:t>not authorized</w:t>
            </w:r>
          </w:p>
        </w:tc>
      </w:tr>
      <w:tr>
        <w:trPr/>
        <w:tc>
          <w:tcPr>
            <w:tcW w:w="1741" w:type="dxa"/>
            <w:tcBorders/>
            <w:vAlign w:val="center"/>
          </w:tcPr>
          <w:p>
            <w:pPr>
              <w:pStyle w:val="TableContents"/>
              <w:bidi w:val="0"/>
              <w:spacing w:before="0" w:after="160"/>
              <w:jc w:val="start"/>
              <w:rPr/>
            </w:pPr>
            <w:r>
              <w:rPr/>
              <w:t>Document date</w:t>
            </w:r>
          </w:p>
        </w:tc>
        <w:tc>
          <w:tcPr>
            <w:tcW w:w="5221" w:type="dxa"/>
            <w:tcBorders/>
            <w:vAlign w:val="center"/>
          </w:tcPr>
          <w:p>
            <w:pPr>
              <w:pStyle w:val="TableContents"/>
              <w:bidi w:val="0"/>
              <w:spacing w:before="0" w:after="160"/>
              <w:jc w:val="start"/>
              <w:rPr/>
            </w:pPr>
            <w:r>
              <w:rPr/>
              <w:t>September 4, 2026</w:t>
            </w:r>
          </w:p>
        </w:tc>
      </w:tr>
    </w:tbl>
    <w:p>
      <w:pPr>
        <w:pStyle w:val="BodyText"/>
        <w:bidi w:val="0"/>
        <w:jc w:val="start"/>
        <w:rPr/>
      </w:pPr>
      <w:r>
        <w:rPr>
          <w:rStyle w:val="Strong"/>
        </w:rPr>
        <w:t>STOP BEFORE YOU START</w:t>
      </w:r>
      <w:r>
        <w:rPr/>
        <w:br/>
        <w:t xml:space="preserve">This manual authorizes only the creation and configuration of two </w:t>
      </w:r>
      <w:r>
        <w:rPr>
          <w:rStyle w:val="Strong"/>
        </w:rPr>
        <w:t>draft</w:t>
      </w:r>
      <w:r>
        <w:rPr/>
        <w:t xml:space="preserve"> Offers. It does not authorize publishing, sharing checkout links, activating a traffic split, exposing a test price, sending any email or SMS, changing Meta, changing a landing page, or taking a test payment. </w:t>
      </w:r>
    </w:p>
    <w:p>
      <w:pPr>
        <w:pStyle w:val="BodyText"/>
        <w:bidi w:val="0"/>
        <w:jc w:val="start"/>
        <w:rPr/>
      </w:pPr>
      <w:r>
        <w:rPr>
          <w:rStyle w:val="Emphasis"/>
        </w:rPr>
        <w:t>If any screen appears different from this guide, stop and ask the owner for direction.</w:t>
      </w:r>
    </w:p>
    <w:p>
      <w:pPr>
        <w:pStyle w:val="Heading2"/>
        <w:bidi w:val="0"/>
        <w:jc w:val="start"/>
        <w:rPr/>
      </w:pPr>
      <w:r>
        <w:rPr/>
        <w:t>1. Purpose and non-negotiable boundaries</w:t>
      </w:r>
    </w:p>
    <w:p>
      <w:pPr>
        <w:pStyle w:val="BodyText"/>
        <w:bidi w:val="0"/>
        <w:jc w:val="start"/>
        <w:rPr/>
      </w:pPr>
      <w:r>
        <w:rPr/>
        <w:t xml:space="preserve">The Academy is preparing a controlled entry-price experiment for the Interconnected offer. This manual shows how to create two draft Offers at </w:t>
      </w:r>
      <w:r>
        <w:rPr>
          <w:rStyle w:val="Strong"/>
        </w:rPr>
        <w:t>$49</w:t>
      </w:r>
      <w:r>
        <w:rPr/>
        <w:t xml:space="preserve"> and </w:t>
      </w:r>
      <w:r>
        <w:rPr>
          <w:rStyle w:val="Strong"/>
        </w:rPr>
        <w:t>$99</w:t>
      </w:r>
      <w:r>
        <w:rPr/>
        <w:t xml:space="preserve"> while preserving the existing </w:t>
      </w:r>
      <w:r>
        <w:rPr>
          <w:rStyle w:val="Strong"/>
        </w:rPr>
        <w:t>$67</w:t>
      </w:r>
      <w:r>
        <w:rPr/>
        <w:t xml:space="preserve"> control. The only intended difference across the three arms is the entry price. Do not make a customer-facing copy, product-access, checkout, upsell, email, automation, or channel change while completing this work.</w:t>
      </w:r>
    </w:p>
    <w:tbl>
      <w:tblPr>
        <w:tblW w:w="11339" w:type="dxa"/>
        <w:jc w:val="start"/>
        <w:tblInd w:w="0" w:type="dxa"/>
        <w:tblLayout w:type="fixed"/>
        <w:tblCellMar>
          <w:top w:w="28" w:type="dxa"/>
          <w:start w:w="28" w:type="dxa"/>
          <w:bottom w:w="28" w:type="dxa"/>
          <w:end w:w="28" w:type="dxa"/>
        </w:tblCellMar>
      </w:tblPr>
      <w:tblGrid>
        <w:gridCol w:w="5930"/>
        <w:gridCol w:w="5409"/>
      </w:tblGrid>
      <w:tr>
        <w:trPr/>
        <w:tc>
          <w:tcPr>
            <w:tcW w:w="5930" w:type="dxa"/>
            <w:tcBorders/>
            <w:vAlign w:val="center"/>
          </w:tcPr>
          <w:p>
            <w:pPr>
              <w:pStyle w:val="TableHeading"/>
              <w:suppressLineNumbers/>
              <w:shd w:fill="1F4F3D" w:val="clear"/>
              <w:bidi w:val="0"/>
              <w:spacing w:before="0" w:after="160"/>
              <w:jc w:val="start"/>
              <w:rPr/>
            </w:pPr>
            <w:r>
              <w:rPr/>
              <w:t>You MAY do</w:t>
            </w:r>
          </w:p>
        </w:tc>
        <w:tc>
          <w:tcPr>
            <w:tcW w:w="5409" w:type="dxa"/>
            <w:tcBorders/>
            <w:vAlign w:val="center"/>
          </w:tcPr>
          <w:p>
            <w:pPr>
              <w:pStyle w:val="TableHeading"/>
              <w:suppressLineNumbers/>
              <w:shd w:fill="1F4F3D" w:val="clear"/>
              <w:bidi w:val="0"/>
              <w:spacing w:before="0" w:after="160"/>
              <w:jc w:val="start"/>
              <w:rPr/>
            </w:pPr>
            <w:r>
              <w:rPr/>
              <w:t>You MUST NOT do</w:t>
            </w:r>
          </w:p>
        </w:tc>
      </w:tr>
      <w:tr>
        <w:trPr/>
        <w:tc>
          <w:tcPr>
            <w:tcW w:w="5930" w:type="dxa"/>
            <w:tcBorders/>
            <w:vAlign w:val="center"/>
          </w:tcPr>
          <w:p>
            <w:pPr>
              <w:pStyle w:val="TableContents"/>
              <w:bidi w:val="0"/>
              <w:spacing w:before="0" w:after="160"/>
              <w:ind w:hanging="0" w:start="0" w:end="0"/>
              <w:jc w:val="start"/>
              <w:rPr/>
            </w:pPr>
            <w:r>
              <w:rPr/>
              <w:t xml:space="preserve">• </w:t>
            </w:r>
            <w:r>
              <w:rPr/>
              <w:t xml:space="preserve">Create a new Kajabi Offer in </w:t>
            </w:r>
            <w:r>
              <w:rPr>
                <w:rStyle w:val="Strong"/>
              </w:rPr>
              <w:t>Draft</w:t>
            </w:r>
            <w:r>
              <w:rPr/>
              <w:t xml:space="preserve"> status.</w:t>
              <w:br/>
              <w:t>• Attach the same Interconnected product as the $67 control.</w:t>
              <w:br/>
              <w:t>• Set a one-time USD price of $49 or $99.</w:t>
              <w:br/>
              <w:t>• Mirror the $67 control’s purchase flow only where the screens clearly confirm the same setting.</w:t>
              <w:br/>
              <w:t>• Capture Offer IDs, URLs, and screenshots for owner review.</w:t>
            </w:r>
          </w:p>
        </w:tc>
        <w:tc>
          <w:tcPr>
            <w:tcW w:w="5409" w:type="dxa"/>
            <w:tcBorders/>
            <w:shd w:fill="FFF1EF" w:val="clear"/>
            <w:vAlign w:val="center"/>
          </w:tcPr>
          <w:p>
            <w:pPr>
              <w:pStyle w:val="TableContents"/>
              <w:bidi w:val="0"/>
              <w:spacing w:before="0" w:after="160"/>
              <w:jc w:val="start"/>
              <w:rPr/>
            </w:pPr>
            <w:r>
              <w:rPr/>
              <w:t xml:space="preserve">• </w:t>
            </w:r>
            <w:r>
              <w:rPr/>
              <w:t>Publish either new Offer or change the live $67 control.</w:t>
              <w:br/>
              <w:t xml:space="preserve">• Click </w:t>
            </w:r>
            <w:r>
              <w:rPr>
                <w:rStyle w:val="Strong"/>
              </w:rPr>
              <w:t>Activate New Checkouts</w:t>
            </w:r>
            <w:r>
              <w:rPr/>
              <w:t>, Enable, Publish, Go Live, or Share.</w:t>
              <w:br/>
              <w:t>• Create a coupon or a multi-price choice on one Offer.</w:t>
              <w:br/>
              <w:t>• Activate a split, route traffic, change a landing page, or edit UTM/tracking/pixel settings.</w:t>
              <w:br/>
              <w:t>• Edit Klaviyo, email, SMS, Meta campaigns, audiences, ads, or budgets.</w:t>
              <w:br/>
              <w:t>• Place a test purchase without separate explicit owner approval.</w:t>
            </w:r>
          </w:p>
        </w:tc>
      </w:tr>
    </w:tbl>
    <w:p>
      <w:pPr>
        <w:pStyle w:val="BodyText"/>
        <w:bidi w:val="0"/>
        <w:jc w:val="start"/>
        <w:rPr/>
      </w:pPr>
      <w:r>
        <w:rPr>
          <w:rStyle w:val="Strong"/>
        </w:rPr>
        <w:t>Hard stop rule</w:t>
      </w:r>
      <w:r>
        <w:rPr/>
        <w:br/>
        <w:t>If Kajabi asks you to activate a checkout template, publish an Offer, make a payment, send a message, enroll a contact, or turn on a traffic experience, do not proceed. Take a screenshot and send it to the owner.</w:t>
      </w:r>
    </w:p>
    <w:p>
      <w:pPr>
        <w:pStyle w:val="Heading2"/>
        <w:bidi w:val="0"/>
        <w:jc w:val="start"/>
        <w:rPr/>
      </w:pPr>
      <w:r>
        <w:rPr/>
        <w:t>2. Current confirmed baseline — do not edit</w:t>
      </w:r>
    </w:p>
    <w:p>
      <w:pPr>
        <w:pStyle w:val="BodyText"/>
        <w:bidi w:val="0"/>
        <w:jc w:val="start"/>
        <w:rPr/>
      </w:pPr>
      <w:r>
        <w:rPr/>
        <w:t>The following items were verified in the owner’s authenticated Kajabi workspace. They are the control settings to observe and mirror; the VA should not change them.</w:t>
      </w:r>
    </w:p>
    <w:tbl>
      <w:tblPr>
        <w:tblW w:w="11339" w:type="dxa"/>
        <w:jc w:val="start"/>
        <w:tblInd w:w="0" w:type="dxa"/>
        <w:tblLayout w:type="fixed"/>
        <w:tblCellMar>
          <w:top w:w="28" w:type="dxa"/>
          <w:start w:w="28" w:type="dxa"/>
          <w:bottom w:w="28" w:type="dxa"/>
          <w:end w:w="28" w:type="dxa"/>
        </w:tblCellMar>
      </w:tblPr>
      <w:tblGrid>
        <w:gridCol w:w="2666"/>
        <w:gridCol w:w="8673"/>
      </w:tblGrid>
      <w:tr>
        <w:trPr/>
        <w:tc>
          <w:tcPr>
            <w:tcW w:w="2666" w:type="dxa"/>
            <w:tcBorders/>
            <w:vAlign w:val="center"/>
          </w:tcPr>
          <w:p>
            <w:pPr>
              <w:pStyle w:val="TableHeading"/>
              <w:suppressLineNumbers/>
              <w:shd w:fill="1F4F3D" w:val="clear"/>
              <w:bidi w:val="0"/>
              <w:spacing w:before="0" w:after="160"/>
              <w:jc w:val="start"/>
              <w:rPr/>
            </w:pPr>
            <w:r>
              <w:rPr/>
              <w:t>Control element</w:t>
            </w:r>
          </w:p>
        </w:tc>
        <w:tc>
          <w:tcPr>
            <w:tcW w:w="8673" w:type="dxa"/>
            <w:tcBorders/>
            <w:vAlign w:val="center"/>
          </w:tcPr>
          <w:p>
            <w:pPr>
              <w:pStyle w:val="TableHeading"/>
              <w:bidi w:val="0"/>
              <w:spacing w:before="0" w:after="160"/>
              <w:ind w:hanging="0" w:start="0" w:end="0"/>
              <w:jc w:val="start"/>
              <w:rPr/>
            </w:pPr>
            <w:r>
              <w:rPr/>
              <w:t>Verified current state</w:t>
            </w:r>
          </w:p>
        </w:tc>
      </w:tr>
      <w:tr>
        <w:trPr/>
        <w:tc>
          <w:tcPr>
            <w:tcW w:w="2666" w:type="dxa"/>
            <w:tcBorders/>
            <w:shd w:fill="EAF3EC" w:val="clear"/>
            <w:vAlign w:val="center"/>
          </w:tcPr>
          <w:p>
            <w:pPr>
              <w:pStyle w:val="TableContents"/>
              <w:bidi w:val="0"/>
              <w:spacing w:before="0" w:after="160"/>
              <w:jc w:val="start"/>
              <w:rPr>
                <w:b/>
                <w:color w:val="1F4F3D"/>
              </w:rPr>
            </w:pPr>
            <w:r>
              <w:rPr>
                <w:b/>
                <w:color w:val="1F4F3D"/>
              </w:rPr>
              <w:t>Kajabi site</w:t>
            </w:r>
          </w:p>
        </w:tc>
        <w:tc>
          <w:tcPr>
            <w:tcW w:w="8673" w:type="dxa"/>
            <w:tcBorders/>
            <w:vAlign w:val="center"/>
          </w:tcPr>
          <w:p>
            <w:pPr>
              <w:pStyle w:val="TableContents"/>
              <w:bidi w:val="0"/>
              <w:spacing w:before="0" w:after="160"/>
              <w:ind w:hanging="0" w:start="0" w:end="0"/>
              <w:jc w:val="start"/>
              <w:rPr/>
            </w:pPr>
            <w:r>
              <w:rPr/>
              <w:t>The Urban Monk Academy</w:t>
            </w:r>
          </w:p>
        </w:tc>
      </w:tr>
      <w:tr>
        <w:trPr/>
        <w:tc>
          <w:tcPr>
            <w:tcW w:w="2666" w:type="dxa"/>
            <w:tcBorders/>
            <w:shd w:fill="EAF3EC" w:val="clear"/>
            <w:vAlign w:val="center"/>
          </w:tcPr>
          <w:p>
            <w:pPr>
              <w:pStyle w:val="TableContents"/>
              <w:bidi w:val="0"/>
              <w:spacing w:before="0" w:after="160"/>
              <w:jc w:val="start"/>
              <w:rPr>
                <w:b/>
                <w:color w:val="1F4F3D"/>
              </w:rPr>
            </w:pPr>
            <w:r>
              <w:rPr>
                <w:b/>
                <w:color w:val="1F4F3D"/>
              </w:rPr>
              <w:t>Control Offer ID</w:t>
            </w:r>
          </w:p>
        </w:tc>
        <w:tc>
          <w:tcPr>
            <w:tcW w:w="8673" w:type="dxa"/>
            <w:tcBorders/>
            <w:vAlign w:val="center"/>
          </w:tcPr>
          <w:p>
            <w:pPr>
              <w:pStyle w:val="TableContents"/>
              <w:bidi w:val="0"/>
              <w:spacing w:before="0" w:after="160"/>
              <w:ind w:hanging="0" w:start="0" w:end="0"/>
              <w:jc w:val="start"/>
              <w:rPr/>
            </w:pPr>
            <w:r>
              <w:rPr/>
              <w:t>2151314475</w:t>
            </w:r>
          </w:p>
        </w:tc>
      </w:tr>
      <w:tr>
        <w:trPr/>
        <w:tc>
          <w:tcPr>
            <w:tcW w:w="2666" w:type="dxa"/>
            <w:tcBorders/>
            <w:shd w:fill="EAF3EC" w:val="clear"/>
            <w:vAlign w:val="center"/>
          </w:tcPr>
          <w:p>
            <w:pPr>
              <w:pStyle w:val="TableContents"/>
              <w:bidi w:val="0"/>
              <w:spacing w:before="0" w:after="160"/>
              <w:jc w:val="start"/>
              <w:rPr>
                <w:b/>
                <w:color w:val="1F4F3D"/>
              </w:rPr>
            </w:pPr>
            <w:r>
              <w:rPr>
                <w:b/>
                <w:color w:val="1F4F3D"/>
              </w:rPr>
              <w:t>Control Offer internal title</w:t>
            </w:r>
          </w:p>
        </w:tc>
        <w:tc>
          <w:tcPr>
            <w:tcW w:w="8673" w:type="dxa"/>
            <w:tcBorders/>
            <w:vAlign w:val="center"/>
          </w:tcPr>
          <w:p>
            <w:pPr>
              <w:pStyle w:val="TableContents"/>
              <w:bidi w:val="0"/>
              <w:spacing w:before="0" w:after="160"/>
              <w:ind w:hanging="0" w:start="0" w:end="0"/>
              <w:jc w:val="start"/>
              <w:rPr/>
            </w:pPr>
            <w:r>
              <w:rPr/>
              <w:t>Interconnected $67 Bundle OTO</w:t>
            </w:r>
          </w:p>
        </w:tc>
      </w:tr>
      <w:tr>
        <w:trPr/>
        <w:tc>
          <w:tcPr>
            <w:tcW w:w="2666" w:type="dxa"/>
            <w:tcBorders/>
            <w:shd w:fill="EAF3EC" w:val="clear"/>
            <w:vAlign w:val="center"/>
          </w:tcPr>
          <w:p>
            <w:pPr>
              <w:pStyle w:val="TableContents"/>
              <w:bidi w:val="0"/>
              <w:spacing w:before="0" w:after="160"/>
              <w:jc w:val="start"/>
              <w:rPr>
                <w:b/>
                <w:color w:val="1F4F3D"/>
              </w:rPr>
            </w:pPr>
            <w:r>
              <w:rPr>
                <w:b/>
                <w:color w:val="1F4F3D"/>
              </w:rPr>
              <w:t>Control customer-facing title</w:t>
            </w:r>
          </w:p>
        </w:tc>
        <w:tc>
          <w:tcPr>
            <w:tcW w:w="8673" w:type="dxa"/>
            <w:tcBorders/>
            <w:vAlign w:val="center"/>
          </w:tcPr>
          <w:p>
            <w:pPr>
              <w:pStyle w:val="TableContents"/>
              <w:bidi w:val="0"/>
              <w:spacing w:before="0" w:after="160"/>
              <w:ind w:hanging="0" w:start="0" w:end="0"/>
              <w:jc w:val="start"/>
              <w:rPr/>
            </w:pPr>
            <w:r>
              <w:rPr/>
              <w:t>Interconnected: The Complete Healing Protocol</w:t>
            </w:r>
          </w:p>
        </w:tc>
      </w:tr>
      <w:tr>
        <w:trPr/>
        <w:tc>
          <w:tcPr>
            <w:tcW w:w="2666" w:type="dxa"/>
            <w:tcBorders/>
            <w:shd w:fill="EAF3EC" w:val="clear"/>
            <w:vAlign w:val="center"/>
          </w:tcPr>
          <w:p>
            <w:pPr>
              <w:pStyle w:val="TableContents"/>
              <w:bidi w:val="0"/>
              <w:spacing w:before="0" w:after="160"/>
              <w:jc w:val="start"/>
              <w:rPr>
                <w:b/>
                <w:color w:val="1F4F3D"/>
              </w:rPr>
            </w:pPr>
            <w:r>
              <w:rPr>
                <w:b/>
                <w:color w:val="1F4F3D"/>
              </w:rPr>
              <w:t>Control price</w:t>
            </w:r>
          </w:p>
        </w:tc>
        <w:tc>
          <w:tcPr>
            <w:tcW w:w="8673" w:type="dxa"/>
            <w:tcBorders/>
            <w:vAlign w:val="center"/>
          </w:tcPr>
          <w:p>
            <w:pPr>
              <w:pStyle w:val="TableContents"/>
              <w:bidi w:val="0"/>
              <w:spacing w:before="0" w:after="160"/>
              <w:ind w:hanging="0" w:start="0" w:end="0"/>
              <w:jc w:val="start"/>
              <w:rPr/>
            </w:pPr>
            <w:r>
              <w:rPr/>
              <w:t>$67.00 USD; one-time payment; Published</w:t>
            </w:r>
          </w:p>
        </w:tc>
      </w:tr>
      <w:tr>
        <w:trPr/>
        <w:tc>
          <w:tcPr>
            <w:tcW w:w="2666" w:type="dxa"/>
            <w:tcBorders/>
            <w:shd w:fill="EAF3EC" w:val="clear"/>
            <w:vAlign w:val="center"/>
          </w:tcPr>
          <w:p>
            <w:pPr>
              <w:pStyle w:val="TableContents"/>
              <w:bidi w:val="0"/>
              <w:spacing w:before="0" w:after="160"/>
              <w:jc w:val="start"/>
              <w:rPr>
                <w:b/>
                <w:color w:val="1F4F3D"/>
              </w:rPr>
            </w:pPr>
            <w:r>
              <w:rPr>
                <w:b/>
                <w:color w:val="1F4F3D"/>
              </w:rPr>
              <w:t>Control product access</w:t>
            </w:r>
          </w:p>
        </w:tc>
        <w:tc>
          <w:tcPr>
            <w:tcW w:w="8673" w:type="dxa"/>
            <w:tcBorders/>
            <w:vAlign w:val="center"/>
          </w:tcPr>
          <w:p>
            <w:pPr>
              <w:pStyle w:val="TableContents"/>
              <w:bidi w:val="0"/>
              <w:spacing w:before="0" w:after="160"/>
              <w:ind w:hanging="0" w:start="0" w:end="0"/>
              <w:jc w:val="start"/>
              <w:rPr/>
            </w:pPr>
            <w:r>
              <w:rPr/>
              <w:t>Interconnected Series Self Guided — one product</w:t>
            </w:r>
          </w:p>
        </w:tc>
      </w:tr>
      <w:tr>
        <w:trPr/>
        <w:tc>
          <w:tcPr>
            <w:tcW w:w="2666" w:type="dxa"/>
            <w:tcBorders/>
            <w:shd w:fill="EAF3EC" w:val="clear"/>
            <w:vAlign w:val="center"/>
          </w:tcPr>
          <w:p>
            <w:pPr>
              <w:pStyle w:val="TableContents"/>
              <w:bidi w:val="0"/>
              <w:spacing w:before="0" w:after="160"/>
              <w:jc w:val="start"/>
              <w:rPr>
                <w:b/>
                <w:color w:val="1F4F3D"/>
              </w:rPr>
            </w:pPr>
            <w:r>
              <w:rPr>
                <w:b/>
                <w:color w:val="1F4F3D"/>
              </w:rPr>
              <w:t>Control post-purchase page</w:t>
            </w:r>
          </w:p>
        </w:tc>
        <w:tc>
          <w:tcPr>
            <w:tcW w:w="8673" w:type="dxa"/>
            <w:tcBorders/>
            <w:vAlign w:val="center"/>
          </w:tcPr>
          <w:p>
            <w:pPr>
              <w:pStyle w:val="TableContents"/>
              <w:bidi w:val="0"/>
              <w:spacing w:before="0" w:after="160"/>
              <w:ind w:hanging="0" w:start="0" w:end="0"/>
              <w:jc w:val="start"/>
              <w:rPr/>
            </w:pPr>
            <w:r>
              <w:rPr/>
              <w:t>Existing Landing Page: Interconnected Purchased — Redirect</w:t>
            </w:r>
          </w:p>
        </w:tc>
      </w:tr>
      <w:tr>
        <w:trPr/>
        <w:tc>
          <w:tcPr>
            <w:tcW w:w="2666" w:type="dxa"/>
            <w:tcBorders/>
            <w:shd w:fill="EAF3EC" w:val="clear"/>
            <w:vAlign w:val="center"/>
          </w:tcPr>
          <w:p>
            <w:pPr>
              <w:pStyle w:val="TableContents"/>
              <w:bidi w:val="0"/>
              <w:spacing w:before="0" w:after="160"/>
              <w:jc w:val="start"/>
              <w:rPr>
                <w:b/>
                <w:color w:val="1F4F3D"/>
              </w:rPr>
            </w:pPr>
            <w:r>
              <w:rPr>
                <w:b/>
                <w:color w:val="1F4F3D"/>
              </w:rPr>
              <w:t>Control $199 upsell</w:t>
            </w:r>
          </w:p>
        </w:tc>
        <w:tc>
          <w:tcPr>
            <w:tcW w:w="8673" w:type="dxa"/>
            <w:tcBorders/>
            <w:vAlign w:val="center"/>
          </w:tcPr>
          <w:p>
            <w:pPr>
              <w:pStyle w:val="TableContents"/>
              <w:bidi w:val="0"/>
              <w:spacing w:before="0" w:after="160"/>
              <w:ind w:hanging="0" w:start="0" w:end="0"/>
              <w:jc w:val="start"/>
              <w:rPr/>
            </w:pPr>
            <w:r>
              <w:rPr/>
              <w:t>Gut Permeability and Food Sensitivity Testing w/ Coach Consultation [OCUS DISCOUNT] New Upsell — $199.00 one-time payment; Published</w:t>
            </w:r>
          </w:p>
        </w:tc>
      </w:tr>
      <w:tr>
        <w:trPr/>
        <w:tc>
          <w:tcPr>
            <w:tcW w:w="2666" w:type="dxa"/>
            <w:tcBorders/>
            <w:shd w:fill="EAF3EC" w:val="clear"/>
            <w:vAlign w:val="center"/>
          </w:tcPr>
          <w:p>
            <w:pPr>
              <w:pStyle w:val="TableContents"/>
              <w:bidi w:val="0"/>
              <w:spacing w:before="0" w:after="160"/>
              <w:jc w:val="start"/>
              <w:rPr>
                <w:b/>
                <w:color w:val="1F4F3D"/>
              </w:rPr>
            </w:pPr>
            <w:r>
              <w:rPr>
                <w:b/>
                <w:color w:val="1F4F3D"/>
              </w:rPr>
              <w:t>Control purchaser automation</w:t>
            </w:r>
          </w:p>
        </w:tc>
        <w:tc>
          <w:tcPr>
            <w:tcW w:w="8673" w:type="dxa"/>
            <w:tcBorders/>
            <w:vAlign w:val="center"/>
          </w:tcPr>
          <w:p>
            <w:pPr>
              <w:pStyle w:val="TableContents"/>
              <w:bidi w:val="0"/>
              <w:spacing w:before="0" w:after="160"/>
              <w:jc w:val="start"/>
              <w:rPr/>
            </w:pPr>
            <w:r>
              <w:rPr/>
              <w:t>Offer is purchased → add tag: Interconnected Purchased —</w:t>
            </w:r>
          </w:p>
        </w:tc>
      </w:tr>
    </w:tbl>
    <w:p>
      <w:pPr>
        <w:pStyle w:val="BodyText"/>
        <w:bidi w:val="0"/>
        <w:jc w:val="start"/>
        <w:rPr/>
      </w:pPr>
      <w:r>
        <w:rPr>
          <w:rStyle w:val="Strong"/>
        </w:rPr>
        <w:t>Important:</w:t>
      </w:r>
      <w:r>
        <w:rPr/>
        <w:t xml:space="preserve"> the $199 upsell relationship is confirmed for the existing $67 control only. The new $49 and $99 draft Offers do not inherit it automatically. You must compare their Purchase flow tabs against the control after creating each draft.</w:t>
      </w:r>
    </w:p>
    <w:p>
      <w:pPr>
        <w:pStyle w:val="Heading2"/>
        <w:bidi w:val="0"/>
        <w:jc w:val="start"/>
        <w:rPr/>
      </w:pPr>
      <w:r>
        <w:rPr/>
        <w:t>3. Test structure and exact naming</w:t>
      </w:r>
    </w:p>
    <w:p>
      <w:pPr>
        <w:pStyle w:val="BodyText"/>
        <w:bidi w:val="0"/>
        <w:jc w:val="start"/>
        <w:rPr/>
      </w:pPr>
      <w:r>
        <w:rPr/>
        <w:t>Use a separate Kajabi Offer for each price. Do not put multiple prices on a single Offer and do not use a coupon to simulate a price arm. The customer-facing title should remain identical so that the price test does not become a messaging test.</w:t>
      </w:r>
    </w:p>
    <w:tbl>
      <w:tblPr>
        <w:tblW w:w="11339" w:type="dxa"/>
        <w:jc w:val="start"/>
        <w:tblInd w:w="0" w:type="dxa"/>
        <w:tblLayout w:type="fixed"/>
        <w:tblCellMar>
          <w:top w:w="28" w:type="dxa"/>
          <w:start w:w="28" w:type="dxa"/>
          <w:bottom w:w="28" w:type="dxa"/>
          <w:end w:w="28" w:type="dxa"/>
        </w:tblCellMar>
      </w:tblPr>
      <w:tblGrid>
        <w:gridCol w:w="2069"/>
        <w:gridCol w:w="3733"/>
        <w:gridCol w:w="3681"/>
        <w:gridCol w:w="1856"/>
      </w:tblGrid>
      <w:tr>
        <w:trPr/>
        <w:tc>
          <w:tcPr>
            <w:tcW w:w="2069" w:type="dxa"/>
            <w:tcBorders/>
            <w:vAlign w:val="center"/>
          </w:tcPr>
          <w:p>
            <w:pPr>
              <w:pStyle w:val="TableHeading"/>
              <w:suppressLineNumbers/>
              <w:shd w:fill="1F4F3D" w:val="clear"/>
              <w:bidi w:val="0"/>
              <w:spacing w:before="0" w:after="160"/>
              <w:jc w:val="start"/>
              <w:rPr/>
            </w:pPr>
            <w:r>
              <w:rPr/>
              <w:t>Test arm</w:t>
            </w:r>
          </w:p>
        </w:tc>
        <w:tc>
          <w:tcPr>
            <w:tcW w:w="3733" w:type="dxa"/>
            <w:tcBorders/>
            <w:vAlign w:val="center"/>
          </w:tcPr>
          <w:p>
            <w:pPr>
              <w:pStyle w:val="TableHeading"/>
              <w:suppressLineNumbers/>
              <w:shd w:fill="1F4F3D" w:val="clear"/>
              <w:bidi w:val="0"/>
              <w:spacing w:before="0" w:after="160"/>
              <w:jc w:val="start"/>
              <w:rPr/>
            </w:pPr>
            <w:r>
              <w:rPr/>
              <w:t>Customer-facing Offer title</w:t>
            </w:r>
          </w:p>
        </w:tc>
        <w:tc>
          <w:tcPr>
            <w:tcW w:w="3681" w:type="dxa"/>
            <w:tcBorders/>
            <w:vAlign w:val="center"/>
          </w:tcPr>
          <w:p>
            <w:pPr>
              <w:pStyle w:val="TableHeading"/>
              <w:suppressLineNumbers/>
              <w:shd w:fill="1F4F3D" w:val="clear"/>
              <w:bidi w:val="0"/>
              <w:spacing w:before="0" w:after="160"/>
              <w:jc w:val="start"/>
              <w:rPr/>
            </w:pPr>
            <w:r>
              <w:rPr/>
              <w:t>Internal title</w:t>
            </w:r>
          </w:p>
        </w:tc>
        <w:tc>
          <w:tcPr>
            <w:tcW w:w="1856" w:type="dxa"/>
            <w:tcBorders/>
            <w:vAlign w:val="center"/>
          </w:tcPr>
          <w:p>
            <w:pPr>
              <w:pStyle w:val="TableHeading"/>
              <w:suppressLineNumbers/>
              <w:shd w:fill="1F4F3D" w:val="clear"/>
              <w:bidi w:val="0"/>
              <w:spacing w:before="0" w:after="160"/>
              <w:jc w:val="start"/>
              <w:rPr/>
            </w:pPr>
            <w:r>
              <w:rPr/>
              <w:t>Price / status</w:t>
            </w:r>
          </w:p>
        </w:tc>
      </w:tr>
      <w:tr>
        <w:trPr/>
        <w:tc>
          <w:tcPr>
            <w:tcW w:w="2069" w:type="dxa"/>
            <w:tcBorders/>
            <w:vAlign w:val="center"/>
          </w:tcPr>
          <w:p>
            <w:pPr>
              <w:pStyle w:val="TableContents"/>
              <w:bidi w:val="0"/>
              <w:spacing w:before="0" w:after="160"/>
              <w:jc w:val="start"/>
              <w:rPr/>
            </w:pPr>
            <w:r>
              <w:rPr/>
              <w:t>$49 treatment — P1</w:t>
            </w:r>
          </w:p>
        </w:tc>
        <w:tc>
          <w:tcPr>
            <w:tcW w:w="3733" w:type="dxa"/>
            <w:tcBorders/>
            <w:vAlign w:val="center"/>
          </w:tcPr>
          <w:p>
            <w:pPr>
              <w:pStyle w:val="TableContents"/>
              <w:bidi w:val="0"/>
              <w:spacing w:before="0" w:after="160"/>
              <w:jc w:val="start"/>
              <w:rPr/>
            </w:pPr>
            <w:r>
              <w:rPr/>
              <w:t>Interconnected: The Complete Healing Protocol</w:t>
            </w:r>
          </w:p>
        </w:tc>
        <w:tc>
          <w:tcPr>
            <w:tcW w:w="3681" w:type="dxa"/>
            <w:tcBorders/>
            <w:vAlign w:val="center"/>
          </w:tcPr>
          <w:p>
            <w:pPr>
              <w:pStyle w:val="TableContents"/>
              <w:bidi w:val="0"/>
              <w:spacing w:before="0" w:after="160"/>
              <w:jc w:val="start"/>
              <w:rPr/>
            </w:pPr>
            <w:r>
              <w:rPr/>
              <w:t>Interconnected $49 Bundle OTO — Price Test P1</w:t>
            </w:r>
          </w:p>
        </w:tc>
        <w:tc>
          <w:tcPr>
            <w:tcW w:w="1856" w:type="dxa"/>
            <w:tcBorders/>
            <w:vAlign w:val="center"/>
          </w:tcPr>
          <w:p>
            <w:pPr>
              <w:pStyle w:val="TableContents"/>
              <w:bidi w:val="0"/>
              <w:spacing w:before="0" w:after="160"/>
              <w:jc w:val="start"/>
              <w:rPr/>
            </w:pPr>
            <w:r>
              <w:rPr/>
              <w:t>$49.00 USD; Draft</w:t>
            </w:r>
          </w:p>
        </w:tc>
      </w:tr>
      <w:tr>
        <w:trPr/>
        <w:tc>
          <w:tcPr>
            <w:tcW w:w="2069" w:type="dxa"/>
            <w:tcBorders/>
            <w:vAlign w:val="center"/>
          </w:tcPr>
          <w:p>
            <w:pPr>
              <w:pStyle w:val="TableContents"/>
              <w:bidi w:val="0"/>
              <w:spacing w:before="0" w:after="160"/>
              <w:jc w:val="start"/>
              <w:rPr/>
            </w:pPr>
            <w:r>
              <w:rPr/>
              <w:t>$67 control — do not edit</w:t>
            </w:r>
          </w:p>
        </w:tc>
        <w:tc>
          <w:tcPr>
            <w:tcW w:w="3733" w:type="dxa"/>
            <w:tcBorders/>
            <w:vAlign w:val="center"/>
          </w:tcPr>
          <w:p>
            <w:pPr>
              <w:pStyle w:val="TableContents"/>
              <w:bidi w:val="0"/>
              <w:spacing w:before="0" w:after="160"/>
              <w:jc w:val="start"/>
              <w:rPr/>
            </w:pPr>
            <w:r>
              <w:rPr/>
              <w:t>Interconnected: The Complete Healing Protocol</w:t>
            </w:r>
          </w:p>
        </w:tc>
        <w:tc>
          <w:tcPr>
            <w:tcW w:w="3681" w:type="dxa"/>
            <w:tcBorders/>
            <w:vAlign w:val="center"/>
          </w:tcPr>
          <w:p>
            <w:pPr>
              <w:pStyle w:val="TableContents"/>
              <w:bidi w:val="0"/>
              <w:spacing w:before="0" w:after="160"/>
              <w:jc w:val="start"/>
              <w:rPr/>
            </w:pPr>
            <w:r>
              <w:rPr/>
              <w:t>Interconnected $67 Bundle OTO</w:t>
            </w:r>
          </w:p>
        </w:tc>
        <w:tc>
          <w:tcPr>
            <w:tcW w:w="1856" w:type="dxa"/>
            <w:tcBorders/>
            <w:vAlign w:val="center"/>
          </w:tcPr>
          <w:p>
            <w:pPr>
              <w:pStyle w:val="TableContents"/>
              <w:bidi w:val="0"/>
              <w:spacing w:before="0" w:after="160"/>
              <w:jc w:val="start"/>
              <w:rPr/>
            </w:pPr>
            <w:r>
              <w:rPr/>
              <w:t>$67.00 USD; Published</w:t>
            </w:r>
          </w:p>
        </w:tc>
      </w:tr>
      <w:tr>
        <w:trPr/>
        <w:tc>
          <w:tcPr>
            <w:tcW w:w="2069" w:type="dxa"/>
            <w:tcBorders/>
            <w:vAlign w:val="center"/>
          </w:tcPr>
          <w:p>
            <w:pPr>
              <w:pStyle w:val="TableContents"/>
              <w:bidi w:val="0"/>
              <w:spacing w:before="0" w:after="160"/>
              <w:jc w:val="start"/>
              <w:rPr/>
            </w:pPr>
            <w:r>
              <w:rPr/>
              <w:t>$99 treatment — P2</w:t>
            </w:r>
          </w:p>
        </w:tc>
        <w:tc>
          <w:tcPr>
            <w:tcW w:w="3733" w:type="dxa"/>
            <w:tcBorders/>
            <w:vAlign w:val="center"/>
          </w:tcPr>
          <w:p>
            <w:pPr>
              <w:pStyle w:val="TableContents"/>
              <w:bidi w:val="0"/>
              <w:spacing w:before="0" w:after="160"/>
              <w:jc w:val="start"/>
              <w:rPr/>
            </w:pPr>
            <w:r>
              <w:rPr/>
              <w:t>Interconnected: The Complete Healing Protocol</w:t>
            </w:r>
          </w:p>
        </w:tc>
        <w:tc>
          <w:tcPr>
            <w:tcW w:w="3681" w:type="dxa"/>
            <w:tcBorders/>
            <w:vAlign w:val="center"/>
          </w:tcPr>
          <w:p>
            <w:pPr>
              <w:pStyle w:val="TableContents"/>
              <w:bidi w:val="0"/>
              <w:spacing w:before="0" w:after="160"/>
              <w:jc w:val="start"/>
              <w:rPr/>
            </w:pPr>
            <w:r>
              <w:rPr/>
              <w:t>Interconnected $99 Bundle OTO — Price Test P2</w:t>
            </w:r>
          </w:p>
        </w:tc>
        <w:tc>
          <w:tcPr>
            <w:tcW w:w="1856" w:type="dxa"/>
            <w:tcBorders/>
            <w:vAlign w:val="center"/>
          </w:tcPr>
          <w:p>
            <w:pPr>
              <w:pStyle w:val="TableContents"/>
              <w:bidi w:val="0"/>
              <w:spacing w:before="0" w:after="160"/>
              <w:jc w:val="start"/>
              <w:rPr/>
            </w:pPr>
            <w:r>
              <w:rPr/>
              <w:t>$99.00 USD; Draft</w:t>
            </w:r>
          </w:p>
        </w:tc>
      </w:tr>
    </w:tbl>
    <w:p>
      <w:pPr>
        <w:pStyle w:val="BodyText"/>
        <w:bidi w:val="0"/>
        <w:spacing w:before="240" w:after="240"/>
        <w:ind w:hanging="0" w:start="240" w:end="240"/>
        <w:jc w:val="start"/>
        <w:rPr/>
      </w:pPr>
      <w:r>
        <w:rPr>
          <w:rStyle w:val="Strong"/>
          <w:bdr w:val="single" w:sz="30" w:space="12" w:color="1F4F3D"/>
          <w:shd w:fill="EAF3EC" w:val="clear"/>
        </w:rPr>
        <w:t>Why the $99 Offer stays draft</w:t>
      </w:r>
      <w:r>
        <w:rPr>
          <w:bdr w:val="single" w:sz="30" w:space="12" w:color="1F4F3D"/>
          <w:shd w:fill="EAF3EC" w:val="clear"/>
        </w:rPr>
        <w:br/>
        <w:t>The documented plan runs $49 versus $67 first. The $99 arm is prepared only as a future draft. It must remain off until the owner reviews the Phase 1 result and explicitly authorizes Phase 2.</w:t>
      </w:r>
    </w:p>
    <w:p>
      <w:pPr>
        <w:pStyle w:val="Heading2"/>
        <w:bidi w:val="0"/>
        <w:jc w:val="start"/>
        <w:rPr/>
      </w:pPr>
      <w:r>
        <w:rPr/>
        <w:t>4. Work sequence at a glance</w:t>
      </w:r>
    </w:p>
    <w:tbl>
      <w:tblPr>
        <w:tblW w:w="11339" w:type="dxa"/>
        <w:jc w:val="start"/>
        <w:tblInd w:w="0" w:type="dxa"/>
        <w:tblLayout w:type="fixed"/>
        <w:tblCellMar>
          <w:top w:w="28" w:type="dxa"/>
          <w:start w:w="28" w:type="dxa"/>
          <w:bottom w:w="28" w:type="dxa"/>
          <w:end w:w="28" w:type="dxa"/>
        </w:tblCellMar>
      </w:tblPr>
      <w:tblGrid>
        <w:gridCol w:w="571"/>
        <w:gridCol w:w="2687"/>
        <w:gridCol w:w="3822"/>
        <w:gridCol w:w="4259"/>
      </w:tblGrid>
      <w:tr>
        <w:trPr/>
        <w:tc>
          <w:tcPr>
            <w:tcW w:w="571" w:type="dxa"/>
            <w:tcBorders/>
            <w:vAlign w:val="center"/>
          </w:tcPr>
          <w:p>
            <w:pPr>
              <w:pStyle w:val="TableHeading"/>
              <w:suppressLineNumbers/>
              <w:shd w:fill="1F4F3D" w:val="clear"/>
              <w:bidi w:val="0"/>
              <w:spacing w:before="0" w:after="160"/>
              <w:jc w:val="start"/>
              <w:rPr/>
            </w:pPr>
            <w:r>
              <w:rPr/>
              <w:t>Step</w:t>
            </w:r>
          </w:p>
        </w:tc>
        <w:tc>
          <w:tcPr>
            <w:tcW w:w="2687" w:type="dxa"/>
            <w:tcBorders/>
            <w:vAlign w:val="center"/>
          </w:tcPr>
          <w:p>
            <w:pPr>
              <w:pStyle w:val="TableHeading"/>
              <w:suppressLineNumbers/>
              <w:shd w:fill="1F4F3D" w:val="clear"/>
              <w:bidi w:val="0"/>
              <w:spacing w:before="0" w:after="160"/>
              <w:jc w:val="start"/>
              <w:rPr/>
            </w:pPr>
            <w:r>
              <w:rPr/>
              <w:t>Action</w:t>
            </w:r>
          </w:p>
        </w:tc>
        <w:tc>
          <w:tcPr>
            <w:tcW w:w="3822" w:type="dxa"/>
            <w:tcBorders/>
            <w:vAlign w:val="center"/>
          </w:tcPr>
          <w:p>
            <w:pPr>
              <w:pStyle w:val="TableHeading"/>
              <w:suppressLineNumbers/>
              <w:shd w:fill="1F4F3D" w:val="clear"/>
              <w:bidi w:val="0"/>
              <w:spacing w:before="0" w:after="160"/>
              <w:jc w:val="start"/>
              <w:rPr/>
            </w:pPr>
            <w:r>
              <w:rPr/>
              <w:t>Expected state</w:t>
            </w:r>
          </w:p>
        </w:tc>
        <w:tc>
          <w:tcPr>
            <w:tcW w:w="4259" w:type="dxa"/>
            <w:tcBorders/>
            <w:vAlign w:val="center"/>
          </w:tcPr>
          <w:p>
            <w:pPr>
              <w:pStyle w:val="TableHeading"/>
              <w:suppressLineNumbers/>
              <w:shd w:fill="1F4F3D" w:val="clear"/>
              <w:bidi w:val="0"/>
              <w:spacing w:before="0" w:after="160"/>
              <w:jc w:val="start"/>
              <w:rPr/>
            </w:pPr>
            <w:r>
              <w:rPr/>
              <w:t>Stop if</w:t>
            </w:r>
          </w:p>
        </w:tc>
      </w:tr>
      <w:tr>
        <w:trPr/>
        <w:tc>
          <w:tcPr>
            <w:tcW w:w="571" w:type="dxa"/>
            <w:tcBorders/>
            <w:vAlign w:val="center"/>
          </w:tcPr>
          <w:p>
            <w:pPr>
              <w:pStyle w:val="TableContents"/>
              <w:bidi w:val="0"/>
              <w:spacing w:before="0" w:after="160"/>
              <w:jc w:val="start"/>
              <w:rPr/>
            </w:pPr>
            <w:r>
              <w:rPr/>
              <w:t>A</w:t>
            </w:r>
          </w:p>
        </w:tc>
        <w:tc>
          <w:tcPr>
            <w:tcW w:w="2687" w:type="dxa"/>
            <w:tcBorders/>
            <w:vAlign w:val="center"/>
          </w:tcPr>
          <w:p>
            <w:pPr>
              <w:pStyle w:val="TableContents"/>
              <w:bidi w:val="0"/>
              <w:spacing w:before="0" w:after="160"/>
              <w:jc w:val="start"/>
              <w:rPr/>
            </w:pPr>
            <w:r>
              <w:rPr/>
              <w:t>Open the Pricing workspace</w:t>
            </w:r>
          </w:p>
        </w:tc>
        <w:tc>
          <w:tcPr>
            <w:tcW w:w="3822" w:type="dxa"/>
            <w:tcBorders/>
            <w:vAlign w:val="center"/>
          </w:tcPr>
          <w:p>
            <w:pPr>
              <w:pStyle w:val="TableContents"/>
              <w:bidi w:val="0"/>
              <w:spacing w:before="0" w:after="160"/>
              <w:jc w:val="start"/>
              <w:rPr/>
            </w:pPr>
            <w:r>
              <w:rPr/>
              <w:t>Sales → Pricing; locate control Offer</w:t>
            </w:r>
          </w:p>
        </w:tc>
        <w:tc>
          <w:tcPr>
            <w:tcW w:w="4259" w:type="dxa"/>
            <w:tcBorders/>
            <w:vAlign w:val="center"/>
          </w:tcPr>
          <w:p>
            <w:pPr>
              <w:pStyle w:val="TableContents"/>
              <w:bidi w:val="0"/>
              <w:spacing w:before="0" w:after="160"/>
              <w:jc w:val="start"/>
              <w:rPr/>
            </w:pPr>
            <w:r>
              <w:rPr/>
              <w:t>You are in a different Kajabi site or cannot see the control</w:t>
            </w:r>
          </w:p>
        </w:tc>
      </w:tr>
      <w:tr>
        <w:trPr/>
        <w:tc>
          <w:tcPr>
            <w:tcW w:w="571" w:type="dxa"/>
            <w:tcBorders/>
            <w:vAlign w:val="center"/>
          </w:tcPr>
          <w:p>
            <w:pPr>
              <w:pStyle w:val="TableContents"/>
              <w:bidi w:val="0"/>
              <w:spacing w:before="0" w:after="160"/>
              <w:jc w:val="start"/>
              <w:rPr/>
            </w:pPr>
            <w:r>
              <w:rPr/>
              <w:t>B</w:t>
            </w:r>
          </w:p>
        </w:tc>
        <w:tc>
          <w:tcPr>
            <w:tcW w:w="2687" w:type="dxa"/>
            <w:tcBorders/>
            <w:vAlign w:val="center"/>
          </w:tcPr>
          <w:p>
            <w:pPr>
              <w:pStyle w:val="TableContents"/>
              <w:bidi w:val="0"/>
              <w:spacing w:before="0" w:after="160"/>
              <w:jc w:val="start"/>
              <w:rPr/>
            </w:pPr>
            <w:r>
              <w:rPr/>
              <w:t>Record control settings</w:t>
            </w:r>
          </w:p>
        </w:tc>
        <w:tc>
          <w:tcPr>
            <w:tcW w:w="3822" w:type="dxa"/>
            <w:tcBorders/>
            <w:vAlign w:val="center"/>
          </w:tcPr>
          <w:p>
            <w:pPr>
              <w:pStyle w:val="TableContents"/>
              <w:bidi w:val="0"/>
              <w:spacing w:before="0" w:after="160"/>
              <w:jc w:val="start"/>
              <w:rPr/>
            </w:pPr>
            <w:r>
              <w:rPr/>
              <w:t>$67 Offer remains unchanged</w:t>
            </w:r>
          </w:p>
        </w:tc>
        <w:tc>
          <w:tcPr>
            <w:tcW w:w="4259" w:type="dxa"/>
            <w:tcBorders/>
            <w:vAlign w:val="center"/>
          </w:tcPr>
          <w:p>
            <w:pPr>
              <w:pStyle w:val="TableContents"/>
              <w:bidi w:val="0"/>
              <w:spacing w:before="0" w:after="160"/>
              <w:jc w:val="start"/>
              <w:rPr/>
            </w:pPr>
            <w:r>
              <w:rPr/>
              <w:t>Any unsaved control change appears</w:t>
            </w:r>
          </w:p>
        </w:tc>
      </w:tr>
      <w:tr>
        <w:trPr/>
        <w:tc>
          <w:tcPr>
            <w:tcW w:w="571" w:type="dxa"/>
            <w:tcBorders/>
            <w:vAlign w:val="center"/>
          </w:tcPr>
          <w:p>
            <w:pPr>
              <w:pStyle w:val="TableContents"/>
              <w:bidi w:val="0"/>
              <w:spacing w:before="0" w:after="160"/>
              <w:jc w:val="start"/>
              <w:rPr/>
            </w:pPr>
            <w:r>
              <w:rPr/>
              <w:t>C</w:t>
            </w:r>
          </w:p>
        </w:tc>
        <w:tc>
          <w:tcPr>
            <w:tcW w:w="2687" w:type="dxa"/>
            <w:tcBorders/>
            <w:vAlign w:val="center"/>
          </w:tcPr>
          <w:p>
            <w:pPr>
              <w:pStyle w:val="TableContents"/>
              <w:bidi w:val="0"/>
              <w:spacing w:before="0" w:after="160"/>
              <w:jc w:val="start"/>
              <w:rPr/>
            </w:pPr>
            <w:r>
              <w:rPr/>
              <w:t>Create $49 Offer</w:t>
            </w:r>
          </w:p>
        </w:tc>
        <w:tc>
          <w:tcPr>
            <w:tcW w:w="3822" w:type="dxa"/>
            <w:tcBorders/>
            <w:vAlign w:val="center"/>
          </w:tcPr>
          <w:p>
            <w:pPr>
              <w:pStyle w:val="TableContents"/>
              <w:bidi w:val="0"/>
              <w:spacing w:before="0" w:after="160"/>
              <w:jc w:val="start"/>
              <w:rPr/>
            </w:pPr>
            <w:r>
              <w:rPr/>
              <w:t>New Offer is Draft, same product, $49 only</w:t>
            </w:r>
          </w:p>
        </w:tc>
        <w:tc>
          <w:tcPr>
            <w:tcW w:w="4259" w:type="dxa"/>
            <w:tcBorders/>
            <w:vAlign w:val="center"/>
          </w:tcPr>
          <w:p>
            <w:pPr>
              <w:pStyle w:val="TableContents"/>
              <w:bidi w:val="0"/>
              <w:spacing w:before="0" w:after="160"/>
              <w:jc w:val="start"/>
              <w:rPr/>
            </w:pPr>
            <w:r>
              <w:rPr/>
              <w:t>The system proposes publishing or activating</w:t>
            </w:r>
          </w:p>
        </w:tc>
      </w:tr>
      <w:tr>
        <w:trPr/>
        <w:tc>
          <w:tcPr>
            <w:tcW w:w="571" w:type="dxa"/>
            <w:tcBorders/>
            <w:vAlign w:val="center"/>
          </w:tcPr>
          <w:p>
            <w:pPr>
              <w:pStyle w:val="TableContents"/>
              <w:bidi w:val="0"/>
              <w:spacing w:before="0" w:after="160"/>
              <w:jc w:val="start"/>
              <w:rPr/>
            </w:pPr>
            <w:r>
              <w:rPr/>
              <w:t>D</w:t>
            </w:r>
          </w:p>
        </w:tc>
        <w:tc>
          <w:tcPr>
            <w:tcW w:w="2687" w:type="dxa"/>
            <w:tcBorders/>
            <w:vAlign w:val="center"/>
          </w:tcPr>
          <w:p>
            <w:pPr>
              <w:pStyle w:val="TableContents"/>
              <w:bidi w:val="0"/>
              <w:spacing w:before="0" w:after="160"/>
              <w:jc w:val="start"/>
              <w:rPr/>
            </w:pPr>
            <w:r>
              <w:rPr/>
              <w:t>Mirror $67 purchase flow</w:t>
            </w:r>
          </w:p>
        </w:tc>
        <w:tc>
          <w:tcPr>
            <w:tcW w:w="3822" w:type="dxa"/>
            <w:tcBorders/>
            <w:vAlign w:val="center"/>
          </w:tcPr>
          <w:p>
            <w:pPr>
              <w:pStyle w:val="TableContents"/>
              <w:bidi w:val="0"/>
              <w:spacing w:before="0" w:after="160"/>
              <w:jc w:val="start"/>
              <w:rPr/>
            </w:pPr>
            <w:r>
              <w:rPr/>
              <w:t>Same redirect, $199 upsell, tag—if clearly available</w:t>
            </w:r>
          </w:p>
        </w:tc>
        <w:tc>
          <w:tcPr>
            <w:tcW w:w="4259" w:type="dxa"/>
            <w:tcBorders/>
            <w:vAlign w:val="center"/>
          </w:tcPr>
          <w:p>
            <w:pPr>
              <w:pStyle w:val="TableContents"/>
              <w:bidi w:val="0"/>
              <w:spacing w:before="0" w:after="160"/>
              <w:jc w:val="start"/>
              <w:rPr/>
            </w:pPr>
            <w:r>
              <w:rPr/>
              <w:t>Any setting differs or is unclear</w:t>
            </w:r>
          </w:p>
        </w:tc>
      </w:tr>
      <w:tr>
        <w:trPr/>
        <w:tc>
          <w:tcPr>
            <w:tcW w:w="571" w:type="dxa"/>
            <w:tcBorders/>
            <w:vAlign w:val="center"/>
          </w:tcPr>
          <w:p>
            <w:pPr>
              <w:pStyle w:val="TableContents"/>
              <w:bidi w:val="0"/>
              <w:spacing w:before="0" w:after="160"/>
              <w:jc w:val="start"/>
              <w:rPr/>
            </w:pPr>
            <w:r>
              <w:rPr/>
              <w:t>E</w:t>
            </w:r>
          </w:p>
        </w:tc>
        <w:tc>
          <w:tcPr>
            <w:tcW w:w="2687" w:type="dxa"/>
            <w:tcBorders/>
            <w:vAlign w:val="center"/>
          </w:tcPr>
          <w:p>
            <w:pPr>
              <w:pStyle w:val="TableContents"/>
              <w:bidi w:val="0"/>
              <w:spacing w:before="0" w:after="160"/>
              <w:jc w:val="start"/>
              <w:rPr/>
            </w:pPr>
            <w:r>
              <w:rPr/>
              <w:t>Create $99 Offer</w:t>
            </w:r>
          </w:p>
        </w:tc>
        <w:tc>
          <w:tcPr>
            <w:tcW w:w="3822" w:type="dxa"/>
            <w:tcBorders/>
            <w:vAlign w:val="center"/>
          </w:tcPr>
          <w:p>
            <w:pPr>
              <w:pStyle w:val="TableContents"/>
              <w:bidi w:val="0"/>
              <w:spacing w:before="0" w:after="160"/>
              <w:jc w:val="start"/>
              <w:rPr/>
            </w:pPr>
            <w:r>
              <w:rPr/>
              <w:t>New Offer is Draft, same product, $99 only</w:t>
            </w:r>
          </w:p>
        </w:tc>
        <w:tc>
          <w:tcPr>
            <w:tcW w:w="4259" w:type="dxa"/>
            <w:tcBorders/>
            <w:vAlign w:val="center"/>
          </w:tcPr>
          <w:p>
            <w:pPr>
              <w:pStyle w:val="TableContents"/>
              <w:bidi w:val="0"/>
              <w:spacing w:before="0" w:after="160"/>
              <w:jc w:val="start"/>
              <w:rPr/>
            </w:pPr>
            <w:r>
              <w:rPr/>
              <w:t>The system proposes publishing or activating</w:t>
            </w:r>
          </w:p>
        </w:tc>
      </w:tr>
      <w:tr>
        <w:trPr/>
        <w:tc>
          <w:tcPr>
            <w:tcW w:w="571" w:type="dxa"/>
            <w:tcBorders/>
            <w:vAlign w:val="center"/>
          </w:tcPr>
          <w:p>
            <w:pPr>
              <w:pStyle w:val="TableContents"/>
              <w:bidi w:val="0"/>
              <w:spacing w:before="0" w:after="160"/>
              <w:jc w:val="start"/>
              <w:rPr/>
            </w:pPr>
            <w:r>
              <w:rPr/>
              <w:t>F</w:t>
            </w:r>
          </w:p>
        </w:tc>
        <w:tc>
          <w:tcPr>
            <w:tcW w:w="2687" w:type="dxa"/>
            <w:tcBorders/>
            <w:vAlign w:val="center"/>
          </w:tcPr>
          <w:p>
            <w:pPr>
              <w:pStyle w:val="TableContents"/>
              <w:bidi w:val="0"/>
              <w:spacing w:before="0" w:after="160"/>
              <w:jc w:val="start"/>
              <w:rPr/>
            </w:pPr>
            <w:r>
              <w:rPr/>
              <w:t>Capture records and screenshots</w:t>
            </w:r>
          </w:p>
        </w:tc>
        <w:tc>
          <w:tcPr>
            <w:tcW w:w="3822" w:type="dxa"/>
            <w:tcBorders/>
            <w:vAlign w:val="center"/>
          </w:tcPr>
          <w:p>
            <w:pPr>
              <w:pStyle w:val="TableContents"/>
              <w:bidi w:val="0"/>
              <w:spacing w:before="0" w:after="160"/>
              <w:jc w:val="start"/>
              <w:rPr/>
            </w:pPr>
            <w:r>
              <w:rPr/>
              <w:t>Owner has evidence for review</w:t>
            </w:r>
          </w:p>
        </w:tc>
        <w:tc>
          <w:tcPr>
            <w:tcW w:w="4259" w:type="dxa"/>
            <w:tcBorders/>
            <w:vAlign w:val="center"/>
          </w:tcPr>
          <w:p>
            <w:pPr>
              <w:pStyle w:val="TableContents"/>
              <w:bidi w:val="0"/>
              <w:spacing w:before="0" w:after="160"/>
              <w:jc w:val="start"/>
              <w:rPr/>
            </w:pPr>
            <w:r>
              <w:rPr/>
              <w:t>You are asked to share a public checkout</w:t>
            </w:r>
          </w:p>
        </w:tc>
      </w:tr>
      <w:tr>
        <w:trPr/>
        <w:tc>
          <w:tcPr>
            <w:tcW w:w="571" w:type="dxa"/>
            <w:tcBorders/>
            <w:vAlign w:val="center"/>
          </w:tcPr>
          <w:p>
            <w:pPr>
              <w:pStyle w:val="TableContents"/>
              <w:bidi w:val="0"/>
              <w:spacing w:before="0" w:after="160"/>
              <w:jc w:val="start"/>
              <w:rPr/>
            </w:pPr>
            <w:r>
              <w:rPr/>
              <w:t>G</w:t>
            </w:r>
          </w:p>
        </w:tc>
        <w:tc>
          <w:tcPr>
            <w:tcW w:w="2687" w:type="dxa"/>
            <w:tcBorders/>
            <w:vAlign w:val="center"/>
          </w:tcPr>
          <w:p>
            <w:pPr>
              <w:pStyle w:val="TableContents"/>
              <w:bidi w:val="0"/>
              <w:spacing w:before="0" w:after="160"/>
              <w:jc w:val="start"/>
              <w:rPr/>
            </w:pPr>
            <w:r>
              <w:rPr/>
              <w:t>Stop and hand off</w:t>
            </w:r>
          </w:p>
        </w:tc>
        <w:tc>
          <w:tcPr>
            <w:tcW w:w="3822" w:type="dxa"/>
            <w:tcBorders/>
            <w:vAlign w:val="center"/>
          </w:tcPr>
          <w:p>
            <w:pPr>
              <w:pStyle w:val="TableContents"/>
              <w:bidi w:val="0"/>
              <w:spacing w:before="0" w:after="160"/>
              <w:jc w:val="start"/>
              <w:rPr/>
            </w:pPr>
            <w:r>
              <w:rPr/>
              <w:t>No price test is active</w:t>
            </w:r>
          </w:p>
        </w:tc>
        <w:tc>
          <w:tcPr>
            <w:tcW w:w="4259" w:type="dxa"/>
            <w:tcBorders/>
            <w:vAlign w:val="center"/>
          </w:tcPr>
          <w:p>
            <w:pPr>
              <w:pStyle w:val="TableContents"/>
              <w:bidi w:val="0"/>
              <w:spacing w:before="0" w:after="160"/>
              <w:jc w:val="start"/>
              <w:rPr/>
            </w:pPr>
            <w:r>
              <w:rPr/>
              <w:t>Anyone requests live routing without owner approval</w:t>
            </w:r>
          </w:p>
        </w:tc>
      </w:tr>
    </w:tbl>
    <w:p>
      <w:pPr>
        <w:pStyle w:val="Heading2"/>
        <w:bidi w:val="0"/>
        <w:jc w:val="start"/>
        <w:rPr/>
      </w:pPr>
      <w:r>
        <w:rPr/>
        <w:t>5. Detailed procedure — create the $49 draft Offer</w:t>
      </w:r>
    </w:p>
    <w:p>
      <w:pPr>
        <w:pStyle w:val="BodyText"/>
        <w:numPr>
          <w:ilvl w:val="0"/>
          <w:numId w:val="1"/>
        </w:numPr>
        <w:tabs>
          <w:tab w:val="clear" w:pos="1134"/>
          <w:tab w:val="left" w:pos="709" w:leader="none"/>
        </w:tabs>
        <w:bidi w:val="0"/>
        <w:spacing w:before="0" w:after="0"/>
        <w:ind w:hanging="283" w:start="709"/>
        <w:jc w:val="start"/>
        <w:rPr/>
      </w:pPr>
      <w:r>
        <w:rPr/>
        <w:t xml:space="preserve">Log in to Kajabi and confirm the selected site is </w:t>
      </w:r>
      <w:r>
        <w:rPr>
          <w:rStyle w:val="Strong"/>
        </w:rPr>
        <w:t>The Urban Monk Academy</w:t>
      </w:r>
      <w:r>
        <w:rPr/>
        <w:t xml:space="preserve">. </w:t>
      </w:r>
    </w:p>
    <w:p>
      <w:pPr>
        <w:pStyle w:val="BodyText"/>
        <w:numPr>
          <w:ilvl w:val="0"/>
          <w:numId w:val="1"/>
        </w:numPr>
        <w:tabs>
          <w:tab w:val="clear" w:pos="1134"/>
          <w:tab w:val="left" w:pos="709" w:leader="none"/>
        </w:tabs>
        <w:bidi w:val="0"/>
        <w:spacing w:before="0" w:after="0"/>
        <w:ind w:hanging="283" w:start="709"/>
        <w:jc w:val="start"/>
        <w:rPr/>
      </w:pPr>
      <w:r>
        <w:rPr/>
        <w:t xml:space="preserve">Go to </w:t>
      </w:r>
      <w:r>
        <w:rPr>
          <w:rStyle w:val="Strong"/>
        </w:rPr>
        <w:t>Sales → Pricing</w:t>
      </w:r>
      <w:r>
        <w:rPr/>
        <w:t xml:space="preserve">. Do not use the global </w:t>
      </w:r>
      <w:r>
        <w:rPr>
          <w:rStyle w:val="Strong"/>
        </w:rPr>
        <w:t>Activate New Checkouts</w:t>
      </w:r>
      <w:r>
        <w:rPr/>
        <w:t xml:space="preserve"> button. </w:t>
      </w:r>
    </w:p>
    <w:p>
      <w:pPr>
        <w:pStyle w:val="BodyText"/>
        <w:numPr>
          <w:ilvl w:val="0"/>
          <w:numId w:val="1"/>
        </w:numPr>
        <w:tabs>
          <w:tab w:val="clear" w:pos="1134"/>
          <w:tab w:val="left" w:pos="709" w:leader="none"/>
        </w:tabs>
        <w:bidi w:val="0"/>
        <w:spacing w:before="0" w:after="0"/>
        <w:ind w:hanging="283" w:start="709"/>
        <w:jc w:val="start"/>
        <w:rPr/>
      </w:pPr>
      <w:r>
        <w:rPr/>
        <w:t xml:space="preserve">Find the existing published control, </w:t>
      </w:r>
      <w:r>
        <w:rPr>
          <w:rStyle w:val="Strong"/>
        </w:rPr>
        <w:t>Interconnected $67 Bundle OTO</w:t>
      </w:r>
      <w:r>
        <w:rPr/>
        <w:t xml:space="preserve">. Open it only to read the Details, Pricing, and Purchase flow settings. Do not press Save. </w:t>
      </w:r>
    </w:p>
    <w:p>
      <w:pPr>
        <w:pStyle w:val="BodyText"/>
        <w:numPr>
          <w:ilvl w:val="0"/>
          <w:numId w:val="1"/>
        </w:numPr>
        <w:tabs>
          <w:tab w:val="clear" w:pos="1134"/>
          <w:tab w:val="left" w:pos="709" w:leader="none"/>
        </w:tabs>
        <w:bidi w:val="0"/>
        <w:spacing w:before="0" w:after="0"/>
        <w:ind w:hanging="283" w:start="709"/>
        <w:jc w:val="start"/>
        <w:rPr/>
      </w:pPr>
      <w:r>
        <w:rPr/>
        <w:t xml:space="preserve">Return to Sales → Pricing and choose </w:t>
      </w:r>
      <w:r>
        <w:rPr>
          <w:rStyle w:val="Strong"/>
        </w:rPr>
        <w:t>New Offer</w:t>
      </w:r>
      <w:r>
        <w:rPr/>
        <w:t xml:space="preserve">. </w:t>
      </w:r>
    </w:p>
    <w:p>
      <w:pPr>
        <w:pStyle w:val="BodyText"/>
        <w:numPr>
          <w:ilvl w:val="0"/>
          <w:numId w:val="1"/>
        </w:numPr>
        <w:tabs>
          <w:tab w:val="clear" w:pos="1134"/>
          <w:tab w:val="left" w:pos="709" w:leader="none"/>
        </w:tabs>
        <w:bidi w:val="0"/>
        <w:spacing w:before="0" w:after="0"/>
        <w:ind w:hanging="283" w:start="709"/>
        <w:jc w:val="start"/>
        <w:rPr/>
      </w:pPr>
      <w:r>
        <w:rPr/>
        <w:t xml:space="preserve">For the customer-facing Offer title, enter: </w:t>
      </w:r>
      <w:r>
        <w:rPr>
          <w:rStyle w:val="Strong"/>
        </w:rPr>
        <w:t>Interconnected: The Complete Healing Protocol</w:t>
      </w:r>
      <w:r>
        <w:rPr/>
        <w:t xml:space="preserve">. Do not include “test,” “$49,” or “P1” in the customer-facing title. </w:t>
      </w:r>
    </w:p>
    <w:p>
      <w:pPr>
        <w:pStyle w:val="BodyText"/>
        <w:numPr>
          <w:ilvl w:val="0"/>
          <w:numId w:val="1"/>
        </w:numPr>
        <w:tabs>
          <w:tab w:val="clear" w:pos="1134"/>
          <w:tab w:val="left" w:pos="709" w:leader="none"/>
        </w:tabs>
        <w:bidi w:val="0"/>
        <w:spacing w:before="0" w:after="0"/>
        <w:ind w:hanging="283" w:start="709"/>
        <w:jc w:val="start"/>
        <w:rPr/>
      </w:pPr>
      <w:r>
        <w:rPr/>
        <w:t xml:space="preserve">Select </w:t>
      </w:r>
      <w:r>
        <w:rPr>
          <w:rStyle w:val="Strong"/>
        </w:rPr>
        <w:t>Interconnected Series Self Guided</w:t>
      </w:r>
      <w:r>
        <w:rPr/>
        <w:t xml:space="preserve"> as the only product. Confirm the product count is one before continuing. </w:t>
      </w:r>
    </w:p>
    <w:p>
      <w:pPr>
        <w:pStyle w:val="BodyText"/>
        <w:numPr>
          <w:ilvl w:val="0"/>
          <w:numId w:val="1"/>
        </w:numPr>
        <w:tabs>
          <w:tab w:val="clear" w:pos="1134"/>
          <w:tab w:val="left" w:pos="709" w:leader="none"/>
        </w:tabs>
        <w:bidi w:val="0"/>
        <w:spacing w:before="0" w:after="0"/>
        <w:ind w:hanging="283" w:start="709"/>
        <w:jc w:val="start"/>
        <w:rPr/>
      </w:pPr>
      <w:r>
        <w:rPr/>
        <w:t xml:space="preserve">Set the internal title to: </w:t>
      </w:r>
      <w:r>
        <w:rPr>
          <w:rStyle w:val="Strong"/>
        </w:rPr>
        <w:t>Interconnected $49 Bundle OTO — Price Test P1</w:t>
      </w:r>
      <w:r>
        <w:rPr/>
        <w:t xml:space="preserve">. </w:t>
      </w:r>
    </w:p>
    <w:p>
      <w:pPr>
        <w:pStyle w:val="BodyText"/>
        <w:numPr>
          <w:ilvl w:val="0"/>
          <w:numId w:val="1"/>
        </w:numPr>
        <w:tabs>
          <w:tab w:val="clear" w:pos="1134"/>
          <w:tab w:val="left" w:pos="709" w:leader="none"/>
        </w:tabs>
        <w:bidi w:val="0"/>
        <w:spacing w:before="0" w:after="0"/>
        <w:ind w:hanging="283" w:start="709"/>
        <w:jc w:val="start"/>
        <w:rPr/>
      </w:pPr>
      <w:r>
        <w:rPr/>
        <w:t xml:space="preserve">Set payment type to </w:t>
      </w:r>
      <w:r>
        <w:rPr>
          <w:rStyle w:val="Strong"/>
        </w:rPr>
        <w:t>One-time Payment</w:t>
      </w:r>
      <w:r>
        <w:rPr/>
        <w:t xml:space="preserve">, currency to </w:t>
      </w:r>
      <w:r>
        <w:rPr>
          <w:rStyle w:val="Strong"/>
        </w:rPr>
        <w:t>USD</w:t>
      </w:r>
      <w:r>
        <w:rPr/>
        <w:t xml:space="preserve">, and price to </w:t>
      </w:r>
      <w:r>
        <w:rPr>
          <w:rStyle w:val="Strong"/>
        </w:rPr>
        <w:t>49.00</w:t>
      </w:r>
      <w:r>
        <w:rPr/>
        <w:t xml:space="preserve">. Do not add another pricing option, coupon, subscription, payment plan, or pay-what-you-want setting. </w:t>
      </w:r>
    </w:p>
    <w:p>
      <w:pPr>
        <w:pStyle w:val="BodyText"/>
        <w:numPr>
          <w:ilvl w:val="0"/>
          <w:numId w:val="1"/>
        </w:numPr>
        <w:tabs>
          <w:tab w:val="clear" w:pos="1134"/>
          <w:tab w:val="left" w:pos="709" w:leader="none"/>
        </w:tabs>
        <w:bidi w:val="0"/>
        <w:spacing w:before="0" w:after="0"/>
        <w:ind w:hanging="283" w:start="709"/>
        <w:jc w:val="start"/>
        <w:rPr/>
      </w:pPr>
      <w:r>
        <w:rPr/>
        <w:t xml:space="preserve">Compare remaining pricing and checkout options to the $67 control. Match the control exactly. If you cannot verify a setting, leave the new Offer in Draft and flag it for the owner instead of guessing. </w:t>
      </w:r>
    </w:p>
    <w:p>
      <w:pPr>
        <w:pStyle w:val="BodyText"/>
        <w:numPr>
          <w:ilvl w:val="0"/>
          <w:numId w:val="1"/>
        </w:numPr>
        <w:tabs>
          <w:tab w:val="clear" w:pos="1134"/>
          <w:tab w:val="left" w:pos="709" w:leader="none"/>
        </w:tabs>
        <w:bidi w:val="0"/>
        <w:ind w:hanging="283" w:start="709"/>
        <w:jc w:val="start"/>
        <w:rPr/>
      </w:pPr>
      <w:r>
        <w:rPr/>
        <w:t xml:space="preserve">Keep Offer Status set to </w:t>
      </w:r>
      <w:r>
        <w:rPr>
          <w:rStyle w:val="Strong"/>
        </w:rPr>
        <w:t>Draft</w:t>
      </w:r>
      <w:r>
        <w:rPr/>
        <w:t xml:space="preserve">. Save the draft only. Do not publish, activate a checkout template, copy/share a customer link, or route traffic. </w:t>
      </w:r>
    </w:p>
    <w:p>
      <w:pPr>
        <w:pStyle w:val="Heading2"/>
        <w:bidi w:val="0"/>
        <w:jc w:val="start"/>
        <w:rPr/>
      </w:pPr>
      <w:r>
        <w:rPr/>
        <w:t>6. Mirror the $67 control’s purchase flow — $49 Offer</w:t>
      </w:r>
    </w:p>
    <w:p>
      <w:pPr>
        <w:pStyle w:val="BodyText"/>
        <w:bidi w:val="0"/>
        <w:jc w:val="start"/>
        <w:rPr/>
      </w:pPr>
      <w:r>
        <w:rPr/>
        <w:t xml:space="preserve">The price test is valid only if the post-purchase experience remains comparable. From the new $49 draft Offer, open </w:t>
      </w:r>
      <w:r>
        <w:rPr>
          <w:rStyle w:val="Strong"/>
        </w:rPr>
        <w:t>Purchase flow</w:t>
      </w:r>
      <w:r>
        <w:rPr/>
        <w:t xml:space="preserve"> and compare every visible item against the $67 control.</w:t>
      </w:r>
    </w:p>
    <w:tbl>
      <w:tblPr>
        <w:tblW w:w="11339" w:type="dxa"/>
        <w:jc w:val="start"/>
        <w:tblInd w:w="0" w:type="dxa"/>
        <w:tblLayout w:type="fixed"/>
        <w:tblCellMar>
          <w:top w:w="28" w:type="dxa"/>
          <w:start w:w="28" w:type="dxa"/>
          <w:bottom w:w="28" w:type="dxa"/>
          <w:end w:w="28" w:type="dxa"/>
        </w:tblCellMar>
      </w:tblPr>
      <w:tblGrid>
        <w:gridCol w:w="1776"/>
        <w:gridCol w:w="3732"/>
        <w:gridCol w:w="3170"/>
        <w:gridCol w:w="2661"/>
      </w:tblGrid>
      <w:tr>
        <w:trPr/>
        <w:tc>
          <w:tcPr>
            <w:tcW w:w="1776" w:type="dxa"/>
            <w:tcBorders/>
            <w:vAlign w:val="center"/>
          </w:tcPr>
          <w:p>
            <w:pPr>
              <w:pStyle w:val="TableHeading"/>
              <w:suppressLineNumbers/>
              <w:shd w:fill="1F4F3D" w:val="clear"/>
              <w:bidi w:val="0"/>
              <w:spacing w:before="0" w:after="160"/>
              <w:jc w:val="start"/>
              <w:rPr/>
            </w:pPr>
            <w:r>
              <w:rPr/>
              <w:t>Check</w:t>
            </w:r>
          </w:p>
        </w:tc>
        <w:tc>
          <w:tcPr>
            <w:tcW w:w="3732" w:type="dxa"/>
            <w:tcBorders/>
            <w:vAlign w:val="center"/>
          </w:tcPr>
          <w:p>
            <w:pPr>
              <w:pStyle w:val="TableHeading"/>
              <w:suppressLineNumbers/>
              <w:shd w:fill="1F4F3D" w:val="clear"/>
              <w:bidi w:val="0"/>
              <w:spacing w:before="0" w:after="160"/>
              <w:jc w:val="start"/>
              <w:rPr/>
            </w:pPr>
            <w:r>
              <w:rPr/>
              <w:t>Control setting</w:t>
            </w:r>
          </w:p>
        </w:tc>
        <w:tc>
          <w:tcPr>
            <w:tcW w:w="3170" w:type="dxa"/>
            <w:tcBorders/>
            <w:vAlign w:val="center"/>
          </w:tcPr>
          <w:p>
            <w:pPr>
              <w:pStyle w:val="TableHeading"/>
              <w:suppressLineNumbers/>
              <w:shd w:fill="1F4F3D" w:val="clear"/>
              <w:bidi w:val="0"/>
              <w:spacing w:before="0" w:after="160"/>
              <w:jc w:val="start"/>
              <w:rPr/>
            </w:pPr>
            <w:r>
              <w:rPr/>
              <w:t>What the VA should do</w:t>
            </w:r>
          </w:p>
        </w:tc>
        <w:tc>
          <w:tcPr>
            <w:tcW w:w="2661" w:type="dxa"/>
            <w:tcBorders/>
            <w:vAlign w:val="center"/>
          </w:tcPr>
          <w:p>
            <w:pPr>
              <w:pStyle w:val="TableHeading"/>
              <w:suppressLineNumbers/>
              <w:shd w:fill="1F4F3D" w:val="clear"/>
              <w:bidi w:val="0"/>
              <w:spacing w:before="0" w:after="160"/>
              <w:jc w:val="start"/>
              <w:rPr/>
            </w:pPr>
            <w:r>
              <w:rPr/>
              <w:t>Stop condition</w:t>
            </w:r>
          </w:p>
        </w:tc>
      </w:tr>
      <w:tr>
        <w:trPr/>
        <w:tc>
          <w:tcPr>
            <w:tcW w:w="1776" w:type="dxa"/>
            <w:tcBorders/>
            <w:vAlign w:val="center"/>
          </w:tcPr>
          <w:p>
            <w:pPr>
              <w:pStyle w:val="TableContents"/>
              <w:bidi w:val="0"/>
              <w:spacing w:before="0" w:after="160"/>
              <w:jc w:val="start"/>
              <w:rPr/>
            </w:pPr>
            <w:r>
              <w:rPr/>
              <w:t>Post-purchase destination</w:t>
            </w:r>
          </w:p>
        </w:tc>
        <w:tc>
          <w:tcPr>
            <w:tcW w:w="3732" w:type="dxa"/>
            <w:tcBorders/>
            <w:vAlign w:val="center"/>
          </w:tcPr>
          <w:p>
            <w:pPr>
              <w:pStyle w:val="TableContents"/>
              <w:bidi w:val="0"/>
              <w:spacing w:before="0" w:after="160"/>
              <w:jc w:val="start"/>
              <w:rPr/>
            </w:pPr>
            <w:r>
              <w:rPr/>
              <w:t>Existing Landing Page: Interconnected Purchased — Redirect</w:t>
            </w:r>
          </w:p>
        </w:tc>
        <w:tc>
          <w:tcPr>
            <w:tcW w:w="3170" w:type="dxa"/>
            <w:tcBorders/>
            <w:vAlign w:val="center"/>
          </w:tcPr>
          <w:p>
            <w:pPr>
              <w:pStyle w:val="TableContents"/>
              <w:bidi w:val="0"/>
              <w:spacing w:before="0" w:after="160"/>
              <w:jc w:val="start"/>
              <w:rPr/>
            </w:pPr>
            <w:r>
              <w:rPr/>
              <w:t>Select the identical existing landing page if it is clearly available.</w:t>
            </w:r>
          </w:p>
        </w:tc>
        <w:tc>
          <w:tcPr>
            <w:tcW w:w="2661" w:type="dxa"/>
            <w:tcBorders/>
            <w:vAlign w:val="center"/>
          </w:tcPr>
          <w:p>
            <w:pPr>
              <w:pStyle w:val="TableContents"/>
              <w:bidi w:val="0"/>
              <w:spacing w:before="0" w:after="160"/>
              <w:jc w:val="start"/>
              <w:rPr/>
            </w:pPr>
            <w:r>
              <w:rPr/>
              <w:t>Different page name, missing option, or uncertain selection</w:t>
            </w:r>
          </w:p>
        </w:tc>
      </w:tr>
      <w:tr>
        <w:trPr/>
        <w:tc>
          <w:tcPr>
            <w:tcW w:w="1776" w:type="dxa"/>
            <w:tcBorders/>
            <w:vAlign w:val="center"/>
          </w:tcPr>
          <w:p>
            <w:pPr>
              <w:pStyle w:val="TableContents"/>
              <w:bidi w:val="0"/>
              <w:spacing w:before="0" w:after="160"/>
              <w:jc w:val="start"/>
              <w:rPr/>
            </w:pPr>
            <w:r>
              <w:rPr/>
              <w:t>Post-purchase email</w:t>
            </w:r>
          </w:p>
        </w:tc>
        <w:tc>
          <w:tcPr>
            <w:tcW w:w="3732" w:type="dxa"/>
            <w:tcBorders/>
            <w:vAlign w:val="center"/>
          </w:tcPr>
          <w:p>
            <w:pPr>
              <w:pStyle w:val="TableContents"/>
              <w:bidi w:val="0"/>
              <w:spacing w:before="0" w:after="160"/>
              <w:jc w:val="start"/>
              <w:rPr/>
            </w:pPr>
            <w:r>
              <w:rPr/>
              <w:t>Default email selected</w:t>
            </w:r>
          </w:p>
        </w:tc>
        <w:tc>
          <w:tcPr>
            <w:tcW w:w="3170" w:type="dxa"/>
            <w:tcBorders/>
            <w:vAlign w:val="center"/>
          </w:tcPr>
          <w:p>
            <w:pPr>
              <w:pStyle w:val="TableContents"/>
              <w:bidi w:val="0"/>
              <w:spacing w:before="0" w:after="160"/>
              <w:jc w:val="start"/>
              <w:rPr/>
            </w:pPr>
            <w:r>
              <w:rPr/>
              <w:t>Match the control preference only. Do not open or edit email content.</w:t>
            </w:r>
          </w:p>
        </w:tc>
        <w:tc>
          <w:tcPr>
            <w:tcW w:w="2661" w:type="dxa"/>
            <w:tcBorders/>
            <w:vAlign w:val="center"/>
          </w:tcPr>
          <w:p>
            <w:pPr>
              <w:pStyle w:val="TableContents"/>
              <w:bidi w:val="0"/>
              <w:spacing w:before="0" w:after="160"/>
              <w:jc w:val="start"/>
              <w:rPr/>
            </w:pPr>
            <w:r>
              <w:rPr/>
              <w:t>An email editor opens or any send/enrollment action is requested</w:t>
            </w:r>
          </w:p>
        </w:tc>
      </w:tr>
      <w:tr>
        <w:trPr/>
        <w:tc>
          <w:tcPr>
            <w:tcW w:w="1776" w:type="dxa"/>
            <w:tcBorders/>
            <w:vAlign w:val="center"/>
          </w:tcPr>
          <w:p>
            <w:pPr>
              <w:pStyle w:val="TableContents"/>
              <w:bidi w:val="0"/>
              <w:spacing w:before="0" w:after="160"/>
              <w:jc w:val="start"/>
              <w:rPr/>
            </w:pPr>
            <w:r>
              <w:rPr/>
              <w:t>$199 upsell</w:t>
            </w:r>
          </w:p>
        </w:tc>
        <w:tc>
          <w:tcPr>
            <w:tcW w:w="3732" w:type="dxa"/>
            <w:tcBorders/>
            <w:vAlign w:val="center"/>
          </w:tcPr>
          <w:p>
            <w:pPr>
              <w:pStyle w:val="TableContents"/>
              <w:bidi w:val="0"/>
              <w:spacing w:before="0" w:after="160"/>
              <w:jc w:val="start"/>
              <w:rPr/>
            </w:pPr>
            <w:r>
              <w:rPr/>
              <w:t>Gut Permeability and Food Sensitivity Testing w/ Coach Consultation [OCUS DISCOUNT] New Upsell; $199.00 one-time; Published</w:t>
            </w:r>
          </w:p>
        </w:tc>
        <w:tc>
          <w:tcPr>
            <w:tcW w:w="3170" w:type="dxa"/>
            <w:tcBorders/>
            <w:vAlign w:val="center"/>
          </w:tcPr>
          <w:p>
            <w:pPr>
              <w:pStyle w:val="TableContents"/>
              <w:bidi w:val="0"/>
              <w:spacing w:before="0" w:after="160"/>
              <w:jc w:val="start"/>
              <w:rPr/>
            </w:pPr>
            <w:r>
              <w:rPr/>
              <w:t>Add/select the exact same upsell and confirm the listed price is $199.00.</w:t>
            </w:r>
          </w:p>
        </w:tc>
        <w:tc>
          <w:tcPr>
            <w:tcW w:w="2661" w:type="dxa"/>
            <w:tcBorders/>
            <w:vAlign w:val="center"/>
          </w:tcPr>
          <w:p>
            <w:pPr>
              <w:pStyle w:val="TableContents"/>
              <w:bidi w:val="0"/>
              <w:spacing w:before="0" w:after="160"/>
              <w:jc w:val="start"/>
              <w:rPr/>
            </w:pPr>
            <w:r>
              <w:rPr/>
              <w:t>Different upsell, price, copy, sequence, or unavailable configuration</w:t>
            </w:r>
          </w:p>
        </w:tc>
      </w:tr>
      <w:tr>
        <w:trPr/>
        <w:tc>
          <w:tcPr>
            <w:tcW w:w="1776" w:type="dxa"/>
            <w:tcBorders/>
            <w:vAlign w:val="center"/>
          </w:tcPr>
          <w:p>
            <w:pPr>
              <w:pStyle w:val="TableContents"/>
              <w:bidi w:val="0"/>
              <w:spacing w:before="0" w:after="160"/>
              <w:jc w:val="start"/>
              <w:rPr/>
            </w:pPr>
            <w:r>
              <w:rPr/>
              <w:t>Purchaser automation</w:t>
            </w:r>
          </w:p>
        </w:tc>
        <w:tc>
          <w:tcPr>
            <w:tcW w:w="3732" w:type="dxa"/>
            <w:tcBorders/>
            <w:vAlign w:val="center"/>
          </w:tcPr>
          <w:p>
            <w:pPr>
              <w:pStyle w:val="TableContents"/>
              <w:bidi w:val="0"/>
              <w:spacing w:before="0" w:after="160"/>
              <w:jc w:val="start"/>
              <w:rPr/>
            </w:pPr>
            <w:r>
              <w:rPr/>
              <w:t>Offer is purchased → add tag: Interconnected Purchased —</w:t>
            </w:r>
          </w:p>
        </w:tc>
        <w:tc>
          <w:tcPr>
            <w:tcW w:w="3170" w:type="dxa"/>
            <w:tcBorders/>
            <w:vAlign w:val="center"/>
          </w:tcPr>
          <w:p>
            <w:pPr>
              <w:pStyle w:val="TableContents"/>
              <w:bidi w:val="0"/>
              <w:spacing w:before="0" w:after="160"/>
              <w:jc w:val="start"/>
              <w:rPr/>
            </w:pPr>
            <w:r>
              <w:rPr/>
              <w:t>Mirror only if it can be selected exactly and remains part of the draft Offer. Do not edit a live automation.</w:t>
            </w:r>
          </w:p>
        </w:tc>
        <w:tc>
          <w:tcPr>
            <w:tcW w:w="2661" w:type="dxa"/>
            <w:tcBorders/>
            <w:vAlign w:val="center"/>
          </w:tcPr>
          <w:p>
            <w:pPr>
              <w:pStyle w:val="TableContents"/>
              <w:bidi w:val="0"/>
              <w:spacing w:before="0" w:after="160"/>
              <w:jc w:val="start"/>
              <w:rPr/>
            </w:pPr>
            <w:r>
              <w:rPr/>
              <w:t>A change would edit a live automation or apply a tag to existing contacts</w:t>
            </w:r>
          </w:p>
        </w:tc>
      </w:tr>
    </w:tbl>
    <w:p>
      <w:pPr>
        <w:pStyle w:val="BodyText"/>
        <w:bidi w:val="0"/>
        <w:jc w:val="start"/>
        <w:rPr/>
      </w:pPr>
      <w:r>
        <w:rPr>
          <w:rStyle w:val="Strong"/>
        </w:rPr>
        <w:t>Do not guess at upsell parity</w:t>
      </w:r>
      <w:r>
        <w:rPr/>
        <w:br/>
        <w:t>If the $199 upsell cannot be matched exactly, leave the $49 Offer as Draft and report “OCUS parity not verified.” Do not substitute another upsell and do not remove it from only one arm.</w:t>
      </w:r>
    </w:p>
    <w:p>
      <w:pPr>
        <w:pStyle w:val="Heading2"/>
        <w:bidi w:val="0"/>
        <w:jc w:val="start"/>
        <w:rPr/>
      </w:pPr>
      <w:r>
        <w:rPr/>
        <w:t>7. Create the $99 draft Offer</w:t>
      </w:r>
    </w:p>
    <w:p>
      <w:pPr>
        <w:pStyle w:val="BodyText"/>
        <w:bidi w:val="0"/>
        <w:jc w:val="start"/>
        <w:rPr/>
      </w:pPr>
      <w:r>
        <w:rPr/>
        <w:t>Repeat the same workflow for the $99 draft. The customer-facing title, product access, checkout configuration, post-purchase page, email preference, upsell, and automation must match the $67 control. The only intended differences are the entry price and internal title.</w:t>
      </w:r>
    </w:p>
    <w:p>
      <w:pPr>
        <w:pStyle w:val="BodyText"/>
        <w:numPr>
          <w:ilvl w:val="0"/>
          <w:numId w:val="2"/>
        </w:numPr>
        <w:tabs>
          <w:tab w:val="clear" w:pos="1134"/>
          <w:tab w:val="left" w:pos="709" w:leader="none"/>
        </w:tabs>
        <w:bidi w:val="0"/>
        <w:spacing w:before="0" w:after="0"/>
        <w:ind w:hanging="283" w:start="709"/>
        <w:jc w:val="start"/>
        <w:rPr/>
      </w:pPr>
      <w:r>
        <w:rPr/>
        <w:t xml:space="preserve">Return to Sales → Pricing and select </w:t>
      </w:r>
      <w:r>
        <w:rPr>
          <w:rStyle w:val="Strong"/>
        </w:rPr>
        <w:t>New Offer</w:t>
      </w:r>
      <w:r>
        <w:rPr/>
        <w:t xml:space="preserve">. </w:t>
      </w:r>
    </w:p>
    <w:p>
      <w:pPr>
        <w:pStyle w:val="BodyText"/>
        <w:numPr>
          <w:ilvl w:val="0"/>
          <w:numId w:val="2"/>
        </w:numPr>
        <w:tabs>
          <w:tab w:val="clear" w:pos="1134"/>
          <w:tab w:val="left" w:pos="709" w:leader="none"/>
        </w:tabs>
        <w:bidi w:val="0"/>
        <w:spacing w:before="0" w:after="0"/>
        <w:ind w:hanging="283" w:start="709"/>
        <w:jc w:val="start"/>
        <w:rPr/>
      </w:pPr>
      <w:r>
        <w:rPr/>
        <w:t xml:space="preserve">Use customer-facing title: </w:t>
      </w:r>
      <w:r>
        <w:rPr>
          <w:rStyle w:val="Strong"/>
        </w:rPr>
        <w:t>Interconnected: The Complete Healing Protocol</w:t>
      </w:r>
      <w:r>
        <w:rPr/>
        <w:t xml:space="preserve">. </w:t>
      </w:r>
    </w:p>
    <w:p>
      <w:pPr>
        <w:pStyle w:val="BodyText"/>
        <w:numPr>
          <w:ilvl w:val="0"/>
          <w:numId w:val="2"/>
        </w:numPr>
        <w:tabs>
          <w:tab w:val="clear" w:pos="1134"/>
          <w:tab w:val="left" w:pos="709" w:leader="none"/>
        </w:tabs>
        <w:bidi w:val="0"/>
        <w:spacing w:before="0" w:after="0"/>
        <w:ind w:hanging="283" w:start="709"/>
        <w:jc w:val="start"/>
        <w:rPr/>
      </w:pPr>
      <w:r>
        <w:rPr/>
        <w:t xml:space="preserve">Attach only </w:t>
      </w:r>
      <w:r>
        <w:rPr>
          <w:rStyle w:val="Strong"/>
        </w:rPr>
        <w:t>Interconnected Series Self Guided</w:t>
      </w:r>
      <w:r>
        <w:rPr/>
        <w:t xml:space="preserve">. </w:t>
      </w:r>
    </w:p>
    <w:p>
      <w:pPr>
        <w:pStyle w:val="BodyText"/>
        <w:numPr>
          <w:ilvl w:val="0"/>
          <w:numId w:val="2"/>
        </w:numPr>
        <w:tabs>
          <w:tab w:val="clear" w:pos="1134"/>
          <w:tab w:val="left" w:pos="709" w:leader="none"/>
        </w:tabs>
        <w:bidi w:val="0"/>
        <w:spacing w:before="0" w:after="0"/>
        <w:ind w:hanging="283" w:start="709"/>
        <w:jc w:val="start"/>
        <w:rPr/>
      </w:pPr>
      <w:r>
        <w:rPr/>
        <w:t xml:space="preserve">Set internal title: </w:t>
      </w:r>
      <w:r>
        <w:rPr>
          <w:rStyle w:val="Strong"/>
        </w:rPr>
        <w:t>Interconnected $99 Bundle OTO — Price Test P2</w:t>
      </w:r>
      <w:r>
        <w:rPr/>
        <w:t xml:space="preserve">. </w:t>
      </w:r>
    </w:p>
    <w:p>
      <w:pPr>
        <w:pStyle w:val="BodyText"/>
        <w:numPr>
          <w:ilvl w:val="0"/>
          <w:numId w:val="2"/>
        </w:numPr>
        <w:tabs>
          <w:tab w:val="clear" w:pos="1134"/>
          <w:tab w:val="left" w:pos="709" w:leader="none"/>
        </w:tabs>
        <w:bidi w:val="0"/>
        <w:spacing w:before="0" w:after="0"/>
        <w:ind w:hanging="283" w:start="709"/>
        <w:jc w:val="start"/>
        <w:rPr/>
      </w:pPr>
      <w:r>
        <w:rPr/>
        <w:t xml:space="preserve">Set </w:t>
      </w:r>
      <w:r>
        <w:rPr>
          <w:rStyle w:val="Strong"/>
        </w:rPr>
        <w:t>One-time Payment</w:t>
      </w:r>
      <w:r>
        <w:rPr/>
        <w:t xml:space="preserve">, </w:t>
      </w:r>
      <w:r>
        <w:rPr>
          <w:rStyle w:val="Strong"/>
        </w:rPr>
        <w:t>USD</w:t>
      </w:r>
      <w:r>
        <w:rPr/>
        <w:t xml:space="preserve">, and price </w:t>
      </w:r>
      <w:r>
        <w:rPr>
          <w:rStyle w:val="Strong"/>
        </w:rPr>
        <w:t>99.00</w:t>
      </w:r>
      <w:r>
        <w:rPr/>
        <w:t xml:space="preserve">. </w:t>
      </w:r>
    </w:p>
    <w:p>
      <w:pPr>
        <w:pStyle w:val="BodyText"/>
        <w:numPr>
          <w:ilvl w:val="0"/>
          <w:numId w:val="2"/>
        </w:numPr>
        <w:tabs>
          <w:tab w:val="clear" w:pos="1134"/>
          <w:tab w:val="left" w:pos="709" w:leader="none"/>
        </w:tabs>
        <w:bidi w:val="0"/>
        <w:spacing w:before="0" w:after="0"/>
        <w:ind w:hanging="283" w:start="709"/>
        <w:jc w:val="start"/>
        <w:rPr/>
      </w:pPr>
      <w:r>
        <w:rPr/>
        <w:t xml:space="preserve">Mirror the $67 control Purchase flow using the same verification table in Section 6. </w:t>
      </w:r>
    </w:p>
    <w:p>
      <w:pPr>
        <w:pStyle w:val="BodyText"/>
        <w:numPr>
          <w:ilvl w:val="0"/>
          <w:numId w:val="2"/>
        </w:numPr>
        <w:tabs>
          <w:tab w:val="clear" w:pos="1134"/>
          <w:tab w:val="left" w:pos="709" w:leader="none"/>
        </w:tabs>
        <w:bidi w:val="0"/>
        <w:ind w:hanging="283" w:start="709"/>
        <w:jc w:val="start"/>
        <w:rPr/>
      </w:pPr>
      <w:r>
        <w:rPr/>
        <w:t xml:space="preserve">Keep this Offer in </w:t>
      </w:r>
      <w:r>
        <w:rPr>
          <w:rStyle w:val="Strong"/>
        </w:rPr>
        <w:t>Draft</w:t>
      </w:r>
      <w:r>
        <w:rPr/>
        <w:t xml:space="preserve">. This is preparation only; the $99 test does not run until Phase 1 completes and the owner separately approves Phase 2. </w:t>
      </w:r>
    </w:p>
    <w:p>
      <w:pPr>
        <w:pStyle w:val="Heading2"/>
        <w:bidi w:val="0"/>
        <w:jc w:val="start"/>
        <w:rPr/>
      </w:pPr>
      <w:r>
        <w:rPr/>
        <w:t>8. Required verification before you hand it back</w:t>
      </w:r>
    </w:p>
    <w:p>
      <w:pPr>
        <w:pStyle w:val="BodyText"/>
        <w:bidi w:val="0"/>
        <w:jc w:val="start"/>
        <w:rPr/>
      </w:pPr>
      <w:r>
        <w:rPr/>
        <w:t>Complete this checklist for the $49 Offer and again for the $99 Offer. Do not change the status from Draft while completing these checks.</w:t>
      </w:r>
    </w:p>
    <w:tbl>
      <w:tblPr>
        <w:tblW w:w="11339" w:type="dxa"/>
        <w:jc w:val="start"/>
        <w:tblInd w:w="0" w:type="dxa"/>
        <w:tblLayout w:type="fixed"/>
        <w:tblCellMar>
          <w:top w:w="28" w:type="dxa"/>
          <w:start w:w="28" w:type="dxa"/>
          <w:bottom w:w="28" w:type="dxa"/>
          <w:end w:w="28" w:type="dxa"/>
        </w:tblCellMar>
      </w:tblPr>
      <w:tblGrid>
        <w:gridCol w:w="661"/>
        <w:gridCol w:w="7113"/>
        <w:gridCol w:w="3565"/>
      </w:tblGrid>
      <w:tr>
        <w:trPr/>
        <w:tc>
          <w:tcPr>
            <w:tcW w:w="661" w:type="dxa"/>
            <w:tcBorders/>
            <w:vAlign w:val="center"/>
          </w:tcPr>
          <w:p>
            <w:pPr>
              <w:pStyle w:val="TableHeading"/>
              <w:bidi w:val="0"/>
              <w:spacing w:before="0" w:after="160"/>
              <w:ind w:hanging="0" w:start="0" w:end="0"/>
              <w:jc w:val="start"/>
              <w:rPr/>
            </w:pPr>
            <w:r>
              <w:rPr/>
              <w:t>Done</w:t>
            </w:r>
          </w:p>
        </w:tc>
        <w:tc>
          <w:tcPr>
            <w:tcW w:w="7113" w:type="dxa"/>
            <w:tcBorders/>
            <w:vAlign w:val="center"/>
          </w:tcPr>
          <w:p>
            <w:pPr>
              <w:pStyle w:val="TableHeading"/>
              <w:suppressLineNumbers/>
              <w:shd w:fill="1F4F3D" w:val="clear"/>
              <w:bidi w:val="0"/>
              <w:spacing w:before="0" w:after="160"/>
              <w:jc w:val="start"/>
              <w:rPr/>
            </w:pPr>
            <w:r>
              <w:rPr/>
              <w:t>Verification item</w:t>
            </w:r>
          </w:p>
        </w:tc>
        <w:tc>
          <w:tcPr>
            <w:tcW w:w="3565" w:type="dxa"/>
            <w:tcBorders/>
            <w:vAlign w:val="center"/>
          </w:tcPr>
          <w:p>
            <w:pPr>
              <w:pStyle w:val="TableHeading"/>
              <w:suppressLineNumbers/>
              <w:shd w:fill="1F4F3D" w:val="clear"/>
              <w:bidi w:val="0"/>
              <w:spacing w:before="0" w:after="160"/>
              <w:jc w:val="start"/>
              <w:rPr/>
            </w:pPr>
            <w:r>
              <w:rPr/>
              <w:t>Evidence to send the owner</w:t>
            </w:r>
          </w:p>
        </w:tc>
      </w:tr>
      <w:tr>
        <w:trPr/>
        <w:tc>
          <w:tcPr>
            <w:tcW w:w="661" w:type="dxa"/>
            <w:tcBorders/>
            <w:vAlign w:val="center"/>
          </w:tcPr>
          <w:p>
            <w:pPr>
              <w:pStyle w:val="TableContents"/>
              <w:bidi w:val="0"/>
              <w:spacing w:before="0" w:after="160"/>
              <w:jc w:val="start"/>
              <w:rPr/>
            </w:pPr>
            <w:r>
              <w:rPr/>
              <w:t>☐</w:t>
            </w:r>
          </w:p>
        </w:tc>
        <w:tc>
          <w:tcPr>
            <w:tcW w:w="7113" w:type="dxa"/>
            <w:tcBorders/>
            <w:vAlign w:val="center"/>
          </w:tcPr>
          <w:p>
            <w:pPr>
              <w:pStyle w:val="TableContents"/>
              <w:bidi w:val="0"/>
              <w:spacing w:before="0" w:after="160"/>
              <w:jc w:val="start"/>
              <w:rPr/>
            </w:pPr>
            <w:r>
              <w:rPr/>
              <w:t>Offer status reads Draft.</w:t>
            </w:r>
          </w:p>
        </w:tc>
        <w:tc>
          <w:tcPr>
            <w:tcW w:w="3565" w:type="dxa"/>
            <w:tcBorders/>
            <w:vAlign w:val="center"/>
          </w:tcPr>
          <w:p>
            <w:pPr>
              <w:pStyle w:val="TableContents"/>
              <w:bidi w:val="0"/>
              <w:spacing w:before="0" w:after="160"/>
              <w:jc w:val="start"/>
              <w:rPr/>
            </w:pPr>
            <w:r>
              <w:rPr/>
              <w:t>Screenshot of Details showing Draft status.</w:t>
            </w:r>
          </w:p>
        </w:tc>
      </w:tr>
      <w:tr>
        <w:trPr/>
        <w:tc>
          <w:tcPr>
            <w:tcW w:w="661" w:type="dxa"/>
            <w:tcBorders/>
            <w:vAlign w:val="center"/>
          </w:tcPr>
          <w:p>
            <w:pPr>
              <w:pStyle w:val="TableContents"/>
              <w:bidi w:val="0"/>
              <w:spacing w:before="0" w:after="160"/>
              <w:jc w:val="start"/>
              <w:rPr/>
            </w:pPr>
            <w:r>
              <w:rPr/>
              <w:t>☐</w:t>
            </w:r>
          </w:p>
        </w:tc>
        <w:tc>
          <w:tcPr>
            <w:tcW w:w="7113" w:type="dxa"/>
            <w:tcBorders/>
            <w:vAlign w:val="center"/>
          </w:tcPr>
          <w:p>
            <w:pPr>
              <w:pStyle w:val="TableContents"/>
              <w:bidi w:val="0"/>
              <w:spacing w:before="0" w:after="160"/>
              <w:jc w:val="start"/>
              <w:rPr/>
            </w:pPr>
            <w:r>
              <w:rPr/>
              <w:t>Customer-facing title matches the $67 control exactly.</w:t>
            </w:r>
          </w:p>
        </w:tc>
        <w:tc>
          <w:tcPr>
            <w:tcW w:w="3565" w:type="dxa"/>
            <w:tcBorders/>
            <w:vAlign w:val="center"/>
          </w:tcPr>
          <w:p>
            <w:pPr>
              <w:pStyle w:val="TableContents"/>
              <w:bidi w:val="0"/>
              <w:spacing w:before="0" w:after="160"/>
              <w:jc w:val="start"/>
              <w:rPr/>
            </w:pPr>
            <w:r>
              <w:rPr/>
              <w:t>Screenshot of title field.</w:t>
            </w:r>
          </w:p>
        </w:tc>
      </w:tr>
      <w:tr>
        <w:trPr/>
        <w:tc>
          <w:tcPr>
            <w:tcW w:w="661" w:type="dxa"/>
            <w:tcBorders/>
            <w:vAlign w:val="center"/>
          </w:tcPr>
          <w:p>
            <w:pPr>
              <w:pStyle w:val="TableContents"/>
              <w:bidi w:val="0"/>
              <w:spacing w:before="0" w:after="160"/>
              <w:jc w:val="start"/>
              <w:rPr/>
            </w:pPr>
            <w:r>
              <w:rPr/>
              <w:t>☐</w:t>
            </w:r>
          </w:p>
        </w:tc>
        <w:tc>
          <w:tcPr>
            <w:tcW w:w="7113" w:type="dxa"/>
            <w:tcBorders/>
            <w:vAlign w:val="center"/>
          </w:tcPr>
          <w:p>
            <w:pPr>
              <w:pStyle w:val="TableContents"/>
              <w:bidi w:val="0"/>
              <w:spacing w:before="0" w:after="160"/>
              <w:jc w:val="start"/>
              <w:rPr/>
            </w:pPr>
            <w:r>
              <w:rPr/>
              <w:t>Internal title follows the $49 P1 or $99 P2 naming convention.</w:t>
            </w:r>
          </w:p>
        </w:tc>
        <w:tc>
          <w:tcPr>
            <w:tcW w:w="3565" w:type="dxa"/>
            <w:tcBorders/>
            <w:vAlign w:val="center"/>
          </w:tcPr>
          <w:p>
            <w:pPr>
              <w:pStyle w:val="TableContents"/>
              <w:bidi w:val="0"/>
              <w:spacing w:before="0" w:after="160"/>
              <w:jc w:val="start"/>
              <w:rPr/>
            </w:pPr>
            <w:r>
              <w:rPr/>
              <w:t>Screenshot of internal title field.</w:t>
            </w:r>
          </w:p>
        </w:tc>
      </w:tr>
      <w:tr>
        <w:trPr/>
        <w:tc>
          <w:tcPr>
            <w:tcW w:w="661" w:type="dxa"/>
            <w:tcBorders/>
            <w:vAlign w:val="center"/>
          </w:tcPr>
          <w:p>
            <w:pPr>
              <w:pStyle w:val="TableContents"/>
              <w:bidi w:val="0"/>
              <w:spacing w:before="0" w:after="160"/>
              <w:jc w:val="start"/>
              <w:rPr/>
            </w:pPr>
            <w:r>
              <w:rPr/>
              <w:t>☐</w:t>
            </w:r>
          </w:p>
        </w:tc>
        <w:tc>
          <w:tcPr>
            <w:tcW w:w="7113" w:type="dxa"/>
            <w:tcBorders/>
            <w:vAlign w:val="center"/>
          </w:tcPr>
          <w:p>
            <w:pPr>
              <w:pStyle w:val="TableContents"/>
              <w:bidi w:val="0"/>
              <w:spacing w:before="0" w:after="160"/>
              <w:jc w:val="start"/>
              <w:rPr/>
            </w:pPr>
            <w:r>
              <w:rPr/>
              <w:t>Only product attached is Interconnected Series Self Guided.</w:t>
            </w:r>
          </w:p>
        </w:tc>
        <w:tc>
          <w:tcPr>
            <w:tcW w:w="3565" w:type="dxa"/>
            <w:tcBorders/>
            <w:vAlign w:val="center"/>
          </w:tcPr>
          <w:p>
            <w:pPr>
              <w:pStyle w:val="TableContents"/>
              <w:bidi w:val="0"/>
              <w:spacing w:before="0" w:after="160"/>
              <w:jc w:val="start"/>
              <w:rPr/>
            </w:pPr>
            <w:r>
              <w:rPr/>
              <w:t>Screenshot of Products in this Offer.</w:t>
            </w:r>
          </w:p>
        </w:tc>
      </w:tr>
      <w:tr>
        <w:trPr/>
        <w:tc>
          <w:tcPr>
            <w:tcW w:w="661" w:type="dxa"/>
            <w:tcBorders/>
            <w:vAlign w:val="center"/>
          </w:tcPr>
          <w:p>
            <w:pPr>
              <w:pStyle w:val="TableContents"/>
              <w:bidi w:val="0"/>
              <w:spacing w:before="0" w:after="160"/>
              <w:jc w:val="start"/>
              <w:rPr/>
            </w:pPr>
            <w:r>
              <w:rPr/>
              <w:t>☐</w:t>
            </w:r>
          </w:p>
        </w:tc>
        <w:tc>
          <w:tcPr>
            <w:tcW w:w="7113" w:type="dxa"/>
            <w:tcBorders/>
            <w:vAlign w:val="center"/>
          </w:tcPr>
          <w:p>
            <w:pPr>
              <w:pStyle w:val="TableContents"/>
              <w:bidi w:val="0"/>
              <w:spacing w:before="0" w:after="160"/>
              <w:jc w:val="start"/>
              <w:rPr/>
            </w:pPr>
            <w:r>
              <w:rPr/>
              <w:t>Price is a one-time USD payment and equals exactly $49.00 or $99.00.</w:t>
            </w:r>
          </w:p>
        </w:tc>
        <w:tc>
          <w:tcPr>
            <w:tcW w:w="3565" w:type="dxa"/>
            <w:tcBorders/>
            <w:vAlign w:val="center"/>
          </w:tcPr>
          <w:p>
            <w:pPr>
              <w:pStyle w:val="TableContents"/>
              <w:bidi w:val="0"/>
              <w:spacing w:before="0" w:after="160"/>
              <w:jc w:val="start"/>
              <w:rPr/>
            </w:pPr>
            <w:r>
              <w:rPr/>
              <w:t>Screenshot of Pricing tab.</w:t>
            </w:r>
          </w:p>
        </w:tc>
      </w:tr>
      <w:tr>
        <w:trPr/>
        <w:tc>
          <w:tcPr>
            <w:tcW w:w="661" w:type="dxa"/>
            <w:tcBorders/>
            <w:vAlign w:val="center"/>
          </w:tcPr>
          <w:p>
            <w:pPr>
              <w:pStyle w:val="TableContents"/>
              <w:bidi w:val="0"/>
              <w:spacing w:before="0" w:after="160"/>
              <w:jc w:val="start"/>
              <w:rPr/>
            </w:pPr>
            <w:r>
              <w:rPr/>
              <w:t>☐</w:t>
            </w:r>
          </w:p>
        </w:tc>
        <w:tc>
          <w:tcPr>
            <w:tcW w:w="7113" w:type="dxa"/>
            <w:tcBorders/>
            <w:vAlign w:val="center"/>
          </w:tcPr>
          <w:p>
            <w:pPr>
              <w:pStyle w:val="TableContents"/>
              <w:bidi w:val="0"/>
              <w:spacing w:before="0" w:after="160"/>
              <w:jc w:val="start"/>
              <w:rPr/>
            </w:pPr>
            <w:r>
              <w:rPr/>
              <w:t>All non-price checkout/payment settings match the $67 control, or a mismatch is explicitly listed.</w:t>
            </w:r>
          </w:p>
        </w:tc>
        <w:tc>
          <w:tcPr>
            <w:tcW w:w="3565" w:type="dxa"/>
            <w:tcBorders/>
            <w:vAlign w:val="center"/>
          </w:tcPr>
          <w:p>
            <w:pPr>
              <w:pStyle w:val="TableContents"/>
              <w:bidi w:val="0"/>
              <w:spacing w:before="0" w:after="160"/>
              <w:jc w:val="start"/>
              <w:rPr/>
            </w:pPr>
            <w:r>
              <w:rPr/>
              <w:t>Notes plus a control comparison screenshot if needed.</w:t>
            </w:r>
          </w:p>
        </w:tc>
      </w:tr>
      <w:tr>
        <w:trPr/>
        <w:tc>
          <w:tcPr>
            <w:tcW w:w="661" w:type="dxa"/>
            <w:tcBorders/>
            <w:vAlign w:val="center"/>
          </w:tcPr>
          <w:p>
            <w:pPr>
              <w:pStyle w:val="TableContents"/>
              <w:bidi w:val="0"/>
              <w:spacing w:before="0" w:after="160"/>
              <w:jc w:val="start"/>
              <w:rPr/>
            </w:pPr>
            <w:r>
              <w:rPr/>
              <w:t>☐</w:t>
            </w:r>
          </w:p>
        </w:tc>
        <w:tc>
          <w:tcPr>
            <w:tcW w:w="7113" w:type="dxa"/>
            <w:tcBorders/>
            <w:vAlign w:val="center"/>
          </w:tcPr>
          <w:p>
            <w:pPr>
              <w:pStyle w:val="TableContents"/>
              <w:bidi w:val="0"/>
              <w:spacing w:before="0" w:after="160"/>
              <w:jc w:val="start"/>
              <w:rPr/>
            </w:pPr>
            <w:r>
              <w:rPr/>
              <w:t>Purchase flow has the same redirect, default email setting, $199 upsell, and purchaser tag—or a precise blocker is listed.</w:t>
            </w:r>
          </w:p>
        </w:tc>
        <w:tc>
          <w:tcPr>
            <w:tcW w:w="3565" w:type="dxa"/>
            <w:tcBorders/>
            <w:vAlign w:val="center"/>
          </w:tcPr>
          <w:p>
            <w:pPr>
              <w:pStyle w:val="TableContents"/>
              <w:bidi w:val="0"/>
              <w:spacing w:before="0" w:after="160"/>
              <w:jc w:val="start"/>
              <w:rPr/>
            </w:pPr>
            <w:r>
              <w:rPr/>
              <w:t>Screenshot of Purchase flow tab.</w:t>
            </w:r>
          </w:p>
        </w:tc>
      </w:tr>
      <w:tr>
        <w:trPr/>
        <w:tc>
          <w:tcPr>
            <w:tcW w:w="661" w:type="dxa"/>
            <w:tcBorders/>
            <w:vAlign w:val="center"/>
          </w:tcPr>
          <w:p>
            <w:pPr>
              <w:pStyle w:val="TableContents"/>
              <w:bidi w:val="0"/>
              <w:spacing w:before="0" w:after="160"/>
              <w:jc w:val="start"/>
              <w:rPr/>
            </w:pPr>
            <w:r>
              <w:rPr/>
              <w:t>☐</w:t>
            </w:r>
          </w:p>
        </w:tc>
        <w:tc>
          <w:tcPr>
            <w:tcW w:w="7113" w:type="dxa"/>
            <w:tcBorders/>
            <w:vAlign w:val="center"/>
          </w:tcPr>
          <w:p>
            <w:pPr>
              <w:pStyle w:val="TableContents"/>
              <w:bidi w:val="0"/>
              <w:spacing w:before="0" w:after="160"/>
              <w:jc w:val="start"/>
              <w:rPr/>
            </w:pPr>
            <w:r>
              <w:rPr/>
              <w:t>No public checkout link has been shared; no traffic, test purchase, Meta, Klaviyo, or SMS action occurred.</w:t>
            </w:r>
          </w:p>
        </w:tc>
        <w:tc>
          <w:tcPr>
            <w:tcW w:w="3565" w:type="dxa"/>
            <w:tcBorders/>
            <w:vAlign w:val="center"/>
          </w:tcPr>
          <w:p>
            <w:pPr>
              <w:pStyle w:val="TableContents"/>
              <w:bidi w:val="0"/>
              <w:spacing w:before="0" w:after="160"/>
              <w:jc w:val="start"/>
              <w:rPr/>
            </w:pPr>
            <w:r>
              <w:rPr/>
              <w:t>Written confirmation in handoff note.</w:t>
            </w:r>
          </w:p>
        </w:tc>
      </w:tr>
    </w:tbl>
    <w:p>
      <w:pPr>
        <w:pStyle w:val="Heading2"/>
        <w:bidi w:val="0"/>
        <w:jc w:val="start"/>
        <w:rPr/>
      </w:pPr>
      <w:r>
        <w:rPr/>
        <w:t>9. Handoff record — complete this and send it to the owner</w:t>
      </w:r>
    </w:p>
    <w:p>
      <w:pPr>
        <w:pStyle w:val="BodyText"/>
        <w:bidi w:val="0"/>
        <w:jc w:val="start"/>
        <w:rPr/>
      </w:pPr>
      <w:r>
        <w:rPr/>
        <w:t>Complete the following table in your handoff message or in this document.</w:t>
      </w:r>
    </w:p>
    <w:tbl>
      <w:tblPr>
        <w:tblW w:w="8358" w:type="dxa"/>
        <w:jc w:val="start"/>
        <w:tblInd w:w="0" w:type="dxa"/>
        <w:tblLayout w:type="fixed"/>
        <w:tblCellMar>
          <w:top w:w="28" w:type="dxa"/>
          <w:start w:w="28" w:type="dxa"/>
          <w:bottom w:w="28" w:type="dxa"/>
          <w:end w:w="28" w:type="dxa"/>
        </w:tblCellMar>
      </w:tblPr>
      <w:tblGrid>
        <w:gridCol w:w="5641"/>
        <w:gridCol w:w="1336"/>
        <w:gridCol w:w="1381"/>
      </w:tblGrid>
      <w:tr>
        <w:trPr/>
        <w:tc>
          <w:tcPr>
            <w:tcW w:w="5641" w:type="dxa"/>
            <w:tcBorders/>
            <w:vAlign w:val="center"/>
          </w:tcPr>
          <w:p>
            <w:pPr>
              <w:pStyle w:val="TableHeading"/>
              <w:suppressLineNumbers/>
              <w:shd w:fill="1F4F3D" w:val="clear"/>
              <w:bidi w:val="0"/>
              <w:spacing w:before="0" w:after="160"/>
              <w:jc w:val="start"/>
              <w:rPr/>
            </w:pPr>
            <w:r>
              <w:rPr/>
              <w:t>Field</w:t>
            </w:r>
          </w:p>
        </w:tc>
        <w:tc>
          <w:tcPr>
            <w:tcW w:w="1336" w:type="dxa"/>
            <w:tcBorders/>
            <w:vAlign w:val="center"/>
          </w:tcPr>
          <w:p>
            <w:pPr>
              <w:pStyle w:val="TableHeading"/>
              <w:suppressLineNumbers/>
              <w:shd w:fill="1F4F3D" w:val="clear"/>
              <w:bidi w:val="0"/>
              <w:spacing w:before="0" w:after="160"/>
              <w:jc w:val="start"/>
              <w:rPr/>
            </w:pPr>
            <w:r>
              <w:rPr/>
              <w:t>$49 P1 Offer</w:t>
            </w:r>
          </w:p>
        </w:tc>
        <w:tc>
          <w:tcPr>
            <w:tcW w:w="1381" w:type="dxa"/>
            <w:tcBorders/>
            <w:vAlign w:val="center"/>
          </w:tcPr>
          <w:p>
            <w:pPr>
              <w:pStyle w:val="TableHeading"/>
              <w:bidi w:val="0"/>
              <w:spacing w:before="0" w:after="160"/>
              <w:ind w:hanging="0" w:start="0" w:end="0"/>
              <w:jc w:val="start"/>
              <w:rPr/>
            </w:pPr>
            <w:r>
              <w:rPr/>
              <w:t>$99 P2 Offer</w:t>
            </w:r>
          </w:p>
        </w:tc>
      </w:tr>
      <w:tr>
        <w:trPr/>
        <w:tc>
          <w:tcPr>
            <w:tcW w:w="5641" w:type="dxa"/>
            <w:tcBorders/>
            <w:shd w:fill="EAF3EC" w:val="clear"/>
            <w:vAlign w:val="center"/>
          </w:tcPr>
          <w:p>
            <w:pPr>
              <w:pStyle w:val="TableContents"/>
              <w:bidi w:val="0"/>
              <w:spacing w:before="0" w:after="160"/>
              <w:jc w:val="start"/>
              <w:rPr>
                <w:b/>
                <w:color w:val="1F4F3D"/>
              </w:rPr>
            </w:pPr>
            <w:r>
              <w:rPr>
                <w:b/>
                <w:color w:val="1F4F3D"/>
              </w:rPr>
              <w:t>Exact Kajabi Offer ID</w:t>
            </w:r>
          </w:p>
        </w:tc>
        <w:tc>
          <w:tcPr>
            <w:tcW w:w="1336" w:type="dxa"/>
            <w:tcBorders/>
            <w:vAlign w:val="center"/>
          </w:tcPr>
          <w:p>
            <w:pPr>
              <w:pStyle w:val="TableContents"/>
              <w:bidi w:val="0"/>
              <w:spacing w:before="0" w:after="160"/>
              <w:jc w:val="start"/>
              <w:rPr>
                <w:sz w:val="4"/>
                <w:szCs w:val="4"/>
              </w:rPr>
            </w:pPr>
            <w:r>
              <w:rPr>
                <w:sz w:val="4"/>
                <w:szCs w:val="4"/>
              </w:rPr>
            </w:r>
          </w:p>
        </w:tc>
        <w:tc>
          <w:tcPr>
            <w:tcW w:w="1381" w:type="dxa"/>
            <w:tcBorders/>
            <w:vAlign w:val="center"/>
          </w:tcPr>
          <w:p>
            <w:pPr>
              <w:pStyle w:val="TableContents"/>
              <w:bidi w:val="0"/>
              <w:spacing w:before="0" w:after="160"/>
              <w:ind w:hanging="0" w:start="0" w:end="0"/>
              <w:jc w:val="start"/>
              <w:rPr>
                <w:sz w:val="4"/>
                <w:szCs w:val="4"/>
              </w:rPr>
            </w:pPr>
            <w:r>
              <w:rPr>
                <w:sz w:val="4"/>
                <w:szCs w:val="4"/>
              </w:rPr>
            </w:r>
          </w:p>
        </w:tc>
      </w:tr>
      <w:tr>
        <w:trPr/>
        <w:tc>
          <w:tcPr>
            <w:tcW w:w="5641" w:type="dxa"/>
            <w:tcBorders/>
            <w:shd w:fill="EAF3EC" w:val="clear"/>
            <w:vAlign w:val="center"/>
          </w:tcPr>
          <w:p>
            <w:pPr>
              <w:pStyle w:val="TableContents"/>
              <w:bidi w:val="0"/>
              <w:spacing w:before="0" w:after="160"/>
              <w:jc w:val="start"/>
              <w:rPr>
                <w:b/>
                <w:color w:val="1F4F3D"/>
              </w:rPr>
            </w:pPr>
            <w:r>
              <w:rPr>
                <w:b/>
                <w:color w:val="1F4F3D"/>
              </w:rPr>
              <w:t>Offer status (must be Draft)</w:t>
            </w:r>
          </w:p>
        </w:tc>
        <w:tc>
          <w:tcPr>
            <w:tcW w:w="1336" w:type="dxa"/>
            <w:tcBorders/>
            <w:vAlign w:val="center"/>
          </w:tcPr>
          <w:p>
            <w:pPr>
              <w:pStyle w:val="TableContents"/>
              <w:bidi w:val="0"/>
              <w:spacing w:before="0" w:after="160"/>
              <w:jc w:val="start"/>
              <w:rPr>
                <w:sz w:val="4"/>
                <w:szCs w:val="4"/>
              </w:rPr>
            </w:pPr>
            <w:r>
              <w:rPr>
                <w:sz w:val="4"/>
                <w:szCs w:val="4"/>
              </w:rPr>
            </w:r>
          </w:p>
        </w:tc>
        <w:tc>
          <w:tcPr>
            <w:tcW w:w="1381" w:type="dxa"/>
            <w:tcBorders/>
            <w:vAlign w:val="center"/>
          </w:tcPr>
          <w:p>
            <w:pPr>
              <w:pStyle w:val="TableContents"/>
              <w:bidi w:val="0"/>
              <w:spacing w:before="0" w:after="160"/>
              <w:ind w:hanging="0" w:start="0" w:end="0"/>
              <w:jc w:val="start"/>
              <w:rPr>
                <w:sz w:val="4"/>
                <w:szCs w:val="4"/>
              </w:rPr>
            </w:pPr>
            <w:r>
              <w:rPr>
                <w:sz w:val="4"/>
                <w:szCs w:val="4"/>
              </w:rPr>
            </w:r>
          </w:p>
        </w:tc>
      </w:tr>
      <w:tr>
        <w:trPr/>
        <w:tc>
          <w:tcPr>
            <w:tcW w:w="5641" w:type="dxa"/>
            <w:tcBorders/>
            <w:shd w:fill="EAF3EC" w:val="clear"/>
            <w:vAlign w:val="center"/>
          </w:tcPr>
          <w:p>
            <w:pPr>
              <w:pStyle w:val="TableContents"/>
              <w:bidi w:val="0"/>
              <w:spacing w:before="0" w:after="160"/>
              <w:jc w:val="start"/>
              <w:rPr>
                <w:b/>
                <w:color w:val="1F4F3D"/>
              </w:rPr>
            </w:pPr>
            <w:r>
              <w:rPr>
                <w:b/>
                <w:color w:val="1F4F3D"/>
              </w:rPr>
              <w:t>Customer-facing title</w:t>
            </w:r>
          </w:p>
        </w:tc>
        <w:tc>
          <w:tcPr>
            <w:tcW w:w="1336" w:type="dxa"/>
            <w:tcBorders/>
            <w:vAlign w:val="center"/>
          </w:tcPr>
          <w:p>
            <w:pPr>
              <w:pStyle w:val="TableContents"/>
              <w:bidi w:val="0"/>
              <w:spacing w:before="0" w:after="160"/>
              <w:jc w:val="start"/>
              <w:rPr>
                <w:sz w:val="4"/>
                <w:szCs w:val="4"/>
              </w:rPr>
            </w:pPr>
            <w:r>
              <w:rPr>
                <w:sz w:val="4"/>
                <w:szCs w:val="4"/>
              </w:rPr>
            </w:r>
          </w:p>
        </w:tc>
        <w:tc>
          <w:tcPr>
            <w:tcW w:w="1381" w:type="dxa"/>
            <w:tcBorders/>
            <w:vAlign w:val="center"/>
          </w:tcPr>
          <w:p>
            <w:pPr>
              <w:pStyle w:val="TableContents"/>
              <w:bidi w:val="0"/>
              <w:spacing w:before="0" w:after="160"/>
              <w:ind w:hanging="0" w:start="0" w:end="0"/>
              <w:jc w:val="start"/>
              <w:rPr>
                <w:sz w:val="4"/>
                <w:szCs w:val="4"/>
              </w:rPr>
            </w:pPr>
            <w:r>
              <w:rPr>
                <w:sz w:val="4"/>
                <w:szCs w:val="4"/>
              </w:rPr>
            </w:r>
          </w:p>
        </w:tc>
      </w:tr>
      <w:tr>
        <w:trPr/>
        <w:tc>
          <w:tcPr>
            <w:tcW w:w="5641" w:type="dxa"/>
            <w:tcBorders/>
            <w:shd w:fill="EAF3EC" w:val="clear"/>
            <w:vAlign w:val="center"/>
          </w:tcPr>
          <w:p>
            <w:pPr>
              <w:pStyle w:val="TableContents"/>
              <w:bidi w:val="0"/>
              <w:spacing w:before="0" w:after="160"/>
              <w:jc w:val="start"/>
              <w:rPr>
                <w:b/>
                <w:color w:val="1F4F3D"/>
              </w:rPr>
            </w:pPr>
            <w:r>
              <w:rPr>
                <w:b/>
                <w:color w:val="1F4F3D"/>
              </w:rPr>
              <w:t>Internal title</w:t>
            </w:r>
          </w:p>
        </w:tc>
        <w:tc>
          <w:tcPr>
            <w:tcW w:w="1336" w:type="dxa"/>
            <w:tcBorders/>
            <w:vAlign w:val="center"/>
          </w:tcPr>
          <w:p>
            <w:pPr>
              <w:pStyle w:val="TableContents"/>
              <w:bidi w:val="0"/>
              <w:spacing w:before="0" w:after="160"/>
              <w:jc w:val="start"/>
              <w:rPr>
                <w:sz w:val="4"/>
                <w:szCs w:val="4"/>
              </w:rPr>
            </w:pPr>
            <w:r>
              <w:rPr>
                <w:sz w:val="4"/>
                <w:szCs w:val="4"/>
              </w:rPr>
            </w:r>
          </w:p>
        </w:tc>
        <w:tc>
          <w:tcPr>
            <w:tcW w:w="1381" w:type="dxa"/>
            <w:tcBorders/>
            <w:vAlign w:val="center"/>
          </w:tcPr>
          <w:p>
            <w:pPr>
              <w:pStyle w:val="TableContents"/>
              <w:bidi w:val="0"/>
              <w:spacing w:before="0" w:after="160"/>
              <w:ind w:hanging="0" w:start="0" w:end="0"/>
              <w:jc w:val="start"/>
              <w:rPr>
                <w:sz w:val="4"/>
                <w:szCs w:val="4"/>
              </w:rPr>
            </w:pPr>
            <w:r>
              <w:rPr>
                <w:sz w:val="4"/>
                <w:szCs w:val="4"/>
              </w:rPr>
            </w:r>
          </w:p>
        </w:tc>
      </w:tr>
      <w:tr>
        <w:trPr/>
        <w:tc>
          <w:tcPr>
            <w:tcW w:w="5641" w:type="dxa"/>
            <w:tcBorders/>
            <w:shd w:fill="EAF3EC" w:val="clear"/>
            <w:vAlign w:val="center"/>
          </w:tcPr>
          <w:p>
            <w:pPr>
              <w:pStyle w:val="TableContents"/>
              <w:bidi w:val="0"/>
              <w:spacing w:before="0" w:after="160"/>
              <w:jc w:val="start"/>
              <w:rPr>
                <w:b/>
                <w:color w:val="1F4F3D"/>
              </w:rPr>
            </w:pPr>
            <w:r>
              <w:rPr>
                <w:b/>
                <w:color w:val="1F4F3D"/>
              </w:rPr>
              <w:t>Attached product(s)</w:t>
            </w:r>
          </w:p>
        </w:tc>
        <w:tc>
          <w:tcPr>
            <w:tcW w:w="1336" w:type="dxa"/>
            <w:tcBorders/>
            <w:vAlign w:val="center"/>
          </w:tcPr>
          <w:p>
            <w:pPr>
              <w:pStyle w:val="TableContents"/>
              <w:bidi w:val="0"/>
              <w:spacing w:before="0" w:after="160"/>
              <w:jc w:val="start"/>
              <w:rPr>
                <w:sz w:val="4"/>
                <w:szCs w:val="4"/>
              </w:rPr>
            </w:pPr>
            <w:r>
              <w:rPr>
                <w:sz w:val="4"/>
                <w:szCs w:val="4"/>
              </w:rPr>
            </w:r>
          </w:p>
        </w:tc>
        <w:tc>
          <w:tcPr>
            <w:tcW w:w="1381" w:type="dxa"/>
            <w:tcBorders/>
            <w:vAlign w:val="center"/>
          </w:tcPr>
          <w:p>
            <w:pPr>
              <w:pStyle w:val="TableContents"/>
              <w:bidi w:val="0"/>
              <w:spacing w:before="0" w:after="160"/>
              <w:ind w:hanging="0" w:start="0" w:end="0"/>
              <w:jc w:val="start"/>
              <w:rPr>
                <w:sz w:val="4"/>
                <w:szCs w:val="4"/>
              </w:rPr>
            </w:pPr>
            <w:r>
              <w:rPr>
                <w:sz w:val="4"/>
                <w:szCs w:val="4"/>
              </w:rPr>
            </w:r>
          </w:p>
        </w:tc>
      </w:tr>
      <w:tr>
        <w:trPr/>
        <w:tc>
          <w:tcPr>
            <w:tcW w:w="5641" w:type="dxa"/>
            <w:tcBorders/>
            <w:shd w:fill="EAF3EC" w:val="clear"/>
            <w:vAlign w:val="center"/>
          </w:tcPr>
          <w:p>
            <w:pPr>
              <w:pStyle w:val="TableContents"/>
              <w:bidi w:val="0"/>
              <w:spacing w:before="0" w:after="160"/>
              <w:jc w:val="start"/>
              <w:rPr>
                <w:b/>
                <w:color w:val="1F4F3D"/>
              </w:rPr>
            </w:pPr>
            <w:r>
              <w:rPr>
                <w:b/>
                <w:color w:val="1F4F3D"/>
              </w:rPr>
              <w:t>One-time price and currency</w:t>
            </w:r>
          </w:p>
        </w:tc>
        <w:tc>
          <w:tcPr>
            <w:tcW w:w="1336" w:type="dxa"/>
            <w:tcBorders/>
            <w:vAlign w:val="center"/>
          </w:tcPr>
          <w:p>
            <w:pPr>
              <w:pStyle w:val="TableContents"/>
              <w:bidi w:val="0"/>
              <w:spacing w:before="0" w:after="160"/>
              <w:jc w:val="start"/>
              <w:rPr>
                <w:sz w:val="4"/>
                <w:szCs w:val="4"/>
              </w:rPr>
            </w:pPr>
            <w:r>
              <w:rPr>
                <w:sz w:val="4"/>
                <w:szCs w:val="4"/>
              </w:rPr>
            </w:r>
          </w:p>
        </w:tc>
        <w:tc>
          <w:tcPr>
            <w:tcW w:w="1381" w:type="dxa"/>
            <w:tcBorders/>
            <w:vAlign w:val="center"/>
          </w:tcPr>
          <w:p>
            <w:pPr>
              <w:pStyle w:val="TableContents"/>
              <w:bidi w:val="0"/>
              <w:spacing w:before="0" w:after="160"/>
              <w:ind w:hanging="0" w:start="0" w:end="0"/>
              <w:jc w:val="start"/>
              <w:rPr>
                <w:sz w:val="4"/>
                <w:szCs w:val="4"/>
              </w:rPr>
            </w:pPr>
            <w:r>
              <w:rPr>
                <w:sz w:val="4"/>
                <w:szCs w:val="4"/>
              </w:rPr>
            </w:r>
          </w:p>
        </w:tc>
      </w:tr>
      <w:tr>
        <w:trPr/>
        <w:tc>
          <w:tcPr>
            <w:tcW w:w="5641" w:type="dxa"/>
            <w:tcBorders/>
            <w:shd w:fill="EAF3EC" w:val="clear"/>
            <w:vAlign w:val="center"/>
          </w:tcPr>
          <w:p>
            <w:pPr>
              <w:pStyle w:val="TableContents"/>
              <w:bidi w:val="0"/>
              <w:spacing w:before="0" w:after="160"/>
              <w:jc w:val="start"/>
              <w:rPr>
                <w:b/>
                <w:color w:val="1F4F3D"/>
              </w:rPr>
            </w:pPr>
            <w:r>
              <w:rPr>
                <w:b/>
                <w:color w:val="1F4F3D"/>
              </w:rPr>
              <w:t>Checkout URL (record only; do not share publicly)</w:t>
            </w:r>
          </w:p>
        </w:tc>
        <w:tc>
          <w:tcPr>
            <w:tcW w:w="1336" w:type="dxa"/>
            <w:tcBorders/>
            <w:vAlign w:val="center"/>
          </w:tcPr>
          <w:p>
            <w:pPr>
              <w:pStyle w:val="TableContents"/>
              <w:bidi w:val="0"/>
              <w:spacing w:before="0" w:after="160"/>
              <w:jc w:val="start"/>
              <w:rPr>
                <w:sz w:val="4"/>
                <w:szCs w:val="4"/>
              </w:rPr>
            </w:pPr>
            <w:r>
              <w:rPr>
                <w:sz w:val="4"/>
                <w:szCs w:val="4"/>
              </w:rPr>
            </w:r>
          </w:p>
        </w:tc>
        <w:tc>
          <w:tcPr>
            <w:tcW w:w="1381" w:type="dxa"/>
            <w:tcBorders/>
            <w:vAlign w:val="center"/>
          </w:tcPr>
          <w:p>
            <w:pPr>
              <w:pStyle w:val="TableContents"/>
              <w:bidi w:val="0"/>
              <w:spacing w:before="0" w:after="160"/>
              <w:ind w:hanging="0" w:start="0" w:end="0"/>
              <w:jc w:val="start"/>
              <w:rPr>
                <w:sz w:val="4"/>
                <w:szCs w:val="4"/>
              </w:rPr>
            </w:pPr>
            <w:r>
              <w:rPr>
                <w:sz w:val="4"/>
                <w:szCs w:val="4"/>
              </w:rPr>
            </w:r>
          </w:p>
        </w:tc>
      </w:tr>
      <w:tr>
        <w:trPr/>
        <w:tc>
          <w:tcPr>
            <w:tcW w:w="5641" w:type="dxa"/>
            <w:tcBorders/>
            <w:shd w:fill="EAF3EC" w:val="clear"/>
            <w:vAlign w:val="center"/>
          </w:tcPr>
          <w:p>
            <w:pPr>
              <w:pStyle w:val="TableContents"/>
              <w:bidi w:val="0"/>
              <w:spacing w:before="0" w:after="160"/>
              <w:jc w:val="start"/>
              <w:rPr>
                <w:b/>
                <w:color w:val="1F4F3D"/>
              </w:rPr>
            </w:pPr>
            <w:r>
              <w:rPr>
                <w:b/>
                <w:color w:val="1F4F3D"/>
              </w:rPr>
              <w:t>Post-purchase landing page</w:t>
            </w:r>
          </w:p>
        </w:tc>
        <w:tc>
          <w:tcPr>
            <w:tcW w:w="1336" w:type="dxa"/>
            <w:tcBorders/>
            <w:vAlign w:val="center"/>
          </w:tcPr>
          <w:p>
            <w:pPr>
              <w:pStyle w:val="TableContents"/>
              <w:bidi w:val="0"/>
              <w:spacing w:before="0" w:after="160"/>
              <w:jc w:val="start"/>
              <w:rPr>
                <w:sz w:val="4"/>
                <w:szCs w:val="4"/>
              </w:rPr>
            </w:pPr>
            <w:r>
              <w:rPr>
                <w:sz w:val="4"/>
                <w:szCs w:val="4"/>
              </w:rPr>
            </w:r>
          </w:p>
        </w:tc>
        <w:tc>
          <w:tcPr>
            <w:tcW w:w="1381" w:type="dxa"/>
            <w:tcBorders/>
            <w:vAlign w:val="center"/>
          </w:tcPr>
          <w:p>
            <w:pPr>
              <w:pStyle w:val="TableContents"/>
              <w:bidi w:val="0"/>
              <w:spacing w:before="0" w:after="160"/>
              <w:ind w:hanging="0" w:start="0" w:end="0"/>
              <w:jc w:val="start"/>
              <w:rPr>
                <w:sz w:val="4"/>
                <w:szCs w:val="4"/>
              </w:rPr>
            </w:pPr>
            <w:r>
              <w:rPr>
                <w:sz w:val="4"/>
                <w:szCs w:val="4"/>
              </w:rPr>
            </w:r>
          </w:p>
        </w:tc>
      </w:tr>
      <w:tr>
        <w:trPr/>
        <w:tc>
          <w:tcPr>
            <w:tcW w:w="5641" w:type="dxa"/>
            <w:tcBorders/>
            <w:shd w:fill="EAF3EC" w:val="clear"/>
            <w:vAlign w:val="center"/>
          </w:tcPr>
          <w:p>
            <w:pPr>
              <w:pStyle w:val="TableContents"/>
              <w:bidi w:val="0"/>
              <w:spacing w:before="0" w:after="160"/>
              <w:jc w:val="start"/>
              <w:rPr>
                <w:b/>
                <w:color w:val="1F4F3D"/>
              </w:rPr>
            </w:pPr>
            <w:r>
              <w:rPr>
                <w:b/>
                <w:color w:val="1F4F3D"/>
              </w:rPr>
              <w:t>$199 upsell name and displayed price</w:t>
            </w:r>
          </w:p>
        </w:tc>
        <w:tc>
          <w:tcPr>
            <w:tcW w:w="1336" w:type="dxa"/>
            <w:tcBorders/>
            <w:vAlign w:val="center"/>
          </w:tcPr>
          <w:p>
            <w:pPr>
              <w:pStyle w:val="TableContents"/>
              <w:bidi w:val="0"/>
              <w:spacing w:before="0" w:after="160"/>
              <w:jc w:val="start"/>
              <w:rPr>
                <w:sz w:val="4"/>
                <w:szCs w:val="4"/>
              </w:rPr>
            </w:pPr>
            <w:r>
              <w:rPr>
                <w:sz w:val="4"/>
                <w:szCs w:val="4"/>
              </w:rPr>
            </w:r>
          </w:p>
        </w:tc>
        <w:tc>
          <w:tcPr>
            <w:tcW w:w="1381" w:type="dxa"/>
            <w:tcBorders/>
            <w:vAlign w:val="center"/>
          </w:tcPr>
          <w:p>
            <w:pPr>
              <w:pStyle w:val="TableContents"/>
              <w:bidi w:val="0"/>
              <w:spacing w:before="0" w:after="160"/>
              <w:ind w:hanging="0" w:start="0" w:end="0"/>
              <w:jc w:val="start"/>
              <w:rPr>
                <w:sz w:val="4"/>
                <w:szCs w:val="4"/>
              </w:rPr>
            </w:pPr>
            <w:r>
              <w:rPr>
                <w:sz w:val="4"/>
                <w:szCs w:val="4"/>
              </w:rPr>
            </w:r>
          </w:p>
        </w:tc>
      </w:tr>
      <w:tr>
        <w:trPr/>
        <w:tc>
          <w:tcPr>
            <w:tcW w:w="5641" w:type="dxa"/>
            <w:tcBorders/>
            <w:shd w:fill="EAF3EC" w:val="clear"/>
            <w:vAlign w:val="center"/>
          </w:tcPr>
          <w:p>
            <w:pPr>
              <w:pStyle w:val="TableContents"/>
              <w:bidi w:val="0"/>
              <w:spacing w:before="0" w:after="160"/>
              <w:jc w:val="start"/>
              <w:rPr>
                <w:b/>
                <w:color w:val="1F4F3D"/>
              </w:rPr>
            </w:pPr>
            <w:r>
              <w:rPr>
                <w:b/>
                <w:color w:val="1F4F3D"/>
              </w:rPr>
              <w:t>Purchaser automation/tag</w:t>
            </w:r>
          </w:p>
        </w:tc>
        <w:tc>
          <w:tcPr>
            <w:tcW w:w="1336" w:type="dxa"/>
            <w:tcBorders/>
            <w:vAlign w:val="center"/>
          </w:tcPr>
          <w:p>
            <w:pPr>
              <w:pStyle w:val="TableContents"/>
              <w:bidi w:val="0"/>
              <w:spacing w:before="0" w:after="160"/>
              <w:jc w:val="start"/>
              <w:rPr>
                <w:sz w:val="4"/>
                <w:szCs w:val="4"/>
              </w:rPr>
            </w:pPr>
            <w:r>
              <w:rPr>
                <w:sz w:val="4"/>
                <w:szCs w:val="4"/>
              </w:rPr>
            </w:r>
          </w:p>
        </w:tc>
        <w:tc>
          <w:tcPr>
            <w:tcW w:w="1381" w:type="dxa"/>
            <w:tcBorders/>
            <w:vAlign w:val="center"/>
          </w:tcPr>
          <w:p>
            <w:pPr>
              <w:pStyle w:val="TableContents"/>
              <w:bidi w:val="0"/>
              <w:spacing w:before="0" w:after="160"/>
              <w:ind w:hanging="0" w:start="0" w:end="0"/>
              <w:jc w:val="start"/>
              <w:rPr>
                <w:sz w:val="4"/>
                <w:szCs w:val="4"/>
              </w:rPr>
            </w:pPr>
            <w:r>
              <w:rPr>
                <w:sz w:val="4"/>
                <w:szCs w:val="4"/>
              </w:rPr>
            </w:r>
          </w:p>
        </w:tc>
      </w:tr>
      <w:tr>
        <w:trPr/>
        <w:tc>
          <w:tcPr>
            <w:tcW w:w="5641" w:type="dxa"/>
            <w:tcBorders/>
            <w:shd w:fill="EAF3EC" w:val="clear"/>
            <w:vAlign w:val="center"/>
          </w:tcPr>
          <w:p>
            <w:pPr>
              <w:pStyle w:val="TableContents"/>
              <w:bidi w:val="0"/>
              <w:spacing w:before="0" w:after="160"/>
              <w:jc w:val="start"/>
              <w:rPr>
                <w:b/>
                <w:color w:val="1F4F3D"/>
              </w:rPr>
            </w:pPr>
            <w:r>
              <w:rPr>
                <w:b/>
                <w:color w:val="1F4F3D"/>
              </w:rPr>
              <w:t>Any mismatch / blocker</w:t>
            </w:r>
          </w:p>
        </w:tc>
        <w:tc>
          <w:tcPr>
            <w:tcW w:w="1336" w:type="dxa"/>
            <w:tcBorders/>
            <w:vAlign w:val="center"/>
          </w:tcPr>
          <w:p>
            <w:pPr>
              <w:pStyle w:val="TableContents"/>
              <w:bidi w:val="0"/>
              <w:spacing w:before="0" w:after="160"/>
              <w:jc w:val="start"/>
              <w:rPr>
                <w:sz w:val="4"/>
                <w:szCs w:val="4"/>
              </w:rPr>
            </w:pPr>
            <w:r>
              <w:rPr>
                <w:sz w:val="4"/>
                <w:szCs w:val="4"/>
              </w:rPr>
            </w:r>
          </w:p>
        </w:tc>
        <w:tc>
          <w:tcPr>
            <w:tcW w:w="1381" w:type="dxa"/>
            <w:tcBorders/>
            <w:vAlign w:val="center"/>
          </w:tcPr>
          <w:p>
            <w:pPr>
              <w:pStyle w:val="TableContents"/>
              <w:bidi w:val="0"/>
              <w:spacing w:before="0" w:after="160"/>
              <w:ind w:hanging="0" w:start="0" w:end="0"/>
              <w:jc w:val="start"/>
              <w:rPr>
                <w:sz w:val="4"/>
                <w:szCs w:val="4"/>
              </w:rPr>
            </w:pPr>
            <w:r>
              <w:rPr>
                <w:sz w:val="4"/>
                <w:szCs w:val="4"/>
              </w:rPr>
            </w:r>
          </w:p>
        </w:tc>
      </w:tr>
      <w:tr>
        <w:trPr/>
        <w:tc>
          <w:tcPr>
            <w:tcW w:w="5641" w:type="dxa"/>
            <w:tcBorders/>
            <w:shd w:fill="EAF3EC" w:val="clear"/>
            <w:vAlign w:val="center"/>
          </w:tcPr>
          <w:p>
            <w:pPr>
              <w:pStyle w:val="TableContents"/>
              <w:bidi w:val="0"/>
              <w:spacing w:before="0" w:after="160"/>
              <w:jc w:val="start"/>
              <w:rPr>
                <w:b/>
                <w:color w:val="1F4F3D"/>
              </w:rPr>
            </w:pPr>
            <w:r>
              <w:rPr>
                <w:b/>
                <w:color w:val="1F4F3D"/>
              </w:rPr>
              <w:t>Screenshots attached (Details, Pricing, Purchase flow)</w:t>
            </w:r>
          </w:p>
        </w:tc>
        <w:tc>
          <w:tcPr>
            <w:tcW w:w="1336" w:type="dxa"/>
            <w:tcBorders/>
            <w:vAlign w:val="center"/>
          </w:tcPr>
          <w:p>
            <w:pPr>
              <w:pStyle w:val="TableContents"/>
              <w:bidi w:val="0"/>
              <w:spacing w:before="0" w:after="160"/>
              <w:jc w:val="start"/>
              <w:rPr>
                <w:sz w:val="4"/>
                <w:szCs w:val="4"/>
              </w:rPr>
            </w:pPr>
            <w:r>
              <w:rPr>
                <w:sz w:val="4"/>
                <w:szCs w:val="4"/>
              </w:rPr>
            </w:r>
          </w:p>
        </w:tc>
        <w:tc>
          <w:tcPr>
            <w:tcW w:w="1381" w:type="dxa"/>
            <w:tcBorders/>
            <w:vAlign w:val="center"/>
          </w:tcPr>
          <w:p>
            <w:pPr>
              <w:pStyle w:val="TableContents"/>
              <w:bidi w:val="0"/>
              <w:spacing w:before="0" w:after="160"/>
              <w:ind w:hanging="0" w:start="0" w:end="0"/>
              <w:jc w:val="start"/>
              <w:rPr>
                <w:sz w:val="4"/>
                <w:szCs w:val="4"/>
              </w:rPr>
            </w:pPr>
            <w:r>
              <w:rPr>
                <w:sz w:val="4"/>
                <w:szCs w:val="4"/>
              </w:rPr>
            </w:r>
          </w:p>
        </w:tc>
      </w:tr>
      <w:tr>
        <w:trPr/>
        <w:tc>
          <w:tcPr>
            <w:tcW w:w="5641" w:type="dxa"/>
            <w:tcBorders/>
            <w:shd w:fill="EAF3EC" w:val="clear"/>
            <w:vAlign w:val="center"/>
          </w:tcPr>
          <w:p>
            <w:pPr>
              <w:pStyle w:val="TableContents"/>
              <w:bidi w:val="0"/>
              <w:spacing w:before="0" w:after="160"/>
              <w:jc w:val="start"/>
              <w:rPr>
                <w:b/>
                <w:color w:val="1F4F3D"/>
              </w:rPr>
            </w:pPr>
            <w:r>
              <w:rPr>
                <w:b/>
                <w:color w:val="1F4F3D"/>
              </w:rPr>
              <w:t>VA name and completion date</w:t>
            </w:r>
          </w:p>
        </w:tc>
        <w:tc>
          <w:tcPr>
            <w:tcW w:w="1336" w:type="dxa"/>
            <w:tcBorders/>
            <w:vAlign w:val="center"/>
          </w:tcPr>
          <w:p>
            <w:pPr>
              <w:pStyle w:val="TableContents"/>
              <w:bidi w:val="0"/>
              <w:spacing w:before="0" w:after="160"/>
              <w:jc w:val="start"/>
              <w:rPr>
                <w:sz w:val="4"/>
                <w:szCs w:val="4"/>
              </w:rPr>
            </w:pPr>
            <w:r>
              <w:rPr>
                <w:sz w:val="4"/>
                <w:szCs w:val="4"/>
              </w:rPr>
            </w:r>
          </w:p>
        </w:tc>
        <w:tc>
          <w:tcPr>
            <w:tcW w:w="1381" w:type="dxa"/>
            <w:tcBorders/>
            <w:vAlign w:val="center"/>
          </w:tcPr>
          <w:p>
            <w:pPr>
              <w:pStyle w:val="TableContents"/>
              <w:bidi w:val="0"/>
              <w:spacing w:before="0" w:after="160"/>
              <w:jc w:val="start"/>
              <w:rPr>
                <w:sz w:val="4"/>
                <w:szCs w:val="4"/>
              </w:rPr>
            </w:pPr>
            <w:r>
              <w:rPr>
                <w:sz w:val="4"/>
                <w:szCs w:val="4"/>
              </w:rPr>
            </w:r>
          </w:p>
        </w:tc>
      </w:tr>
    </w:tbl>
    <w:p>
      <w:pPr>
        <w:pStyle w:val="Heading2"/>
        <w:bidi w:val="0"/>
        <w:jc w:val="start"/>
        <w:rPr/>
      </w:pPr>
      <w:r>
        <w:rPr/>
        <w:t>10. What happens next — not the VA’s action</w:t>
      </w:r>
    </w:p>
    <w:p>
      <w:pPr>
        <w:pStyle w:val="BodyText"/>
        <w:bidi w:val="0"/>
        <w:jc w:val="start"/>
        <w:rPr/>
      </w:pPr>
      <w:r>
        <w:rPr/>
        <w:t>After the owner reviews the completed handoff record, a separate approval is required before any test becomes customer-facing. The owner must approve the exact $49 Offer ID and checkout URL, the intended $199 upsell treatment, the 50/50 $49-versus-$67 Phase 1 allocation, the test start/end window, the tracking/attribution setup, and the person responsible for activation.</w:t>
      </w:r>
    </w:p>
    <w:p>
      <w:pPr>
        <w:pStyle w:val="BodyText"/>
        <w:bidi w:val="0"/>
        <w:jc w:val="start"/>
        <w:rPr/>
      </w:pPr>
      <w:r>
        <w:rPr/>
        <w:t>The $99 Offer remains draft-only until the owner reviews the $49-versus-$67 result and separately approves a second phase. The VA must not activate a split, publish an Offer, turn on a new checkout, share a customer checkout link, or tell the ad buyer to change spend.</w:t>
      </w:r>
    </w:p>
    <w:p>
      <w:pPr>
        <w:pStyle w:val="Heading2"/>
        <w:bidi w:val="0"/>
        <w:jc w:val="start"/>
        <w:rPr/>
      </w:pPr>
      <w:r>
        <w:rPr/>
        <w:t>11. Questions to ask the owner instead of making an assumption</w:t>
      </w:r>
    </w:p>
    <w:p>
      <w:pPr>
        <w:pStyle w:val="BodyText"/>
        <w:numPr>
          <w:ilvl w:val="0"/>
          <w:numId w:val="3"/>
        </w:numPr>
        <w:tabs>
          <w:tab w:val="clear" w:pos="1134"/>
          <w:tab w:val="left" w:pos="709" w:leader="none"/>
        </w:tabs>
        <w:bidi w:val="0"/>
        <w:spacing w:before="0" w:after="0"/>
        <w:ind w:hanging="283" w:start="709"/>
        <w:jc w:val="start"/>
        <w:rPr/>
      </w:pPr>
      <w:r>
        <w:rPr/>
        <w:t xml:space="preserve">I cannot find the exact </w:t>
      </w:r>
      <w:r>
        <w:rPr>
          <w:rStyle w:val="Strong"/>
        </w:rPr>
        <w:t>Interconnected Series Self Guided</w:t>
      </w:r>
      <w:r>
        <w:rPr/>
        <w:t xml:space="preserve"> product. </w:t>
      </w:r>
    </w:p>
    <w:p>
      <w:pPr>
        <w:pStyle w:val="BodyText"/>
        <w:numPr>
          <w:ilvl w:val="0"/>
          <w:numId w:val="3"/>
        </w:numPr>
        <w:tabs>
          <w:tab w:val="clear" w:pos="1134"/>
          <w:tab w:val="left" w:pos="709" w:leader="none"/>
        </w:tabs>
        <w:bidi w:val="0"/>
        <w:spacing w:before="0" w:after="0"/>
        <w:ind w:hanging="283" w:start="709"/>
        <w:jc w:val="start"/>
        <w:rPr/>
      </w:pPr>
      <w:r>
        <w:rPr/>
        <w:t xml:space="preserve">Kajabi shows more than one $199 upsell or a different upsell name/price. </w:t>
      </w:r>
    </w:p>
    <w:p>
      <w:pPr>
        <w:pStyle w:val="BodyText"/>
        <w:numPr>
          <w:ilvl w:val="0"/>
          <w:numId w:val="3"/>
        </w:numPr>
        <w:tabs>
          <w:tab w:val="clear" w:pos="1134"/>
          <w:tab w:val="left" w:pos="709" w:leader="none"/>
        </w:tabs>
        <w:bidi w:val="0"/>
        <w:spacing w:before="0" w:after="0"/>
        <w:ind w:hanging="283" w:start="709"/>
        <w:jc w:val="start"/>
        <w:rPr/>
      </w:pPr>
      <w:r>
        <w:rPr/>
        <w:t xml:space="preserve">A setting on the $67 control is unclear or unavailable on the new draft Offer. </w:t>
      </w:r>
    </w:p>
    <w:p>
      <w:pPr>
        <w:pStyle w:val="BodyText"/>
        <w:numPr>
          <w:ilvl w:val="0"/>
          <w:numId w:val="3"/>
        </w:numPr>
        <w:tabs>
          <w:tab w:val="clear" w:pos="1134"/>
          <w:tab w:val="left" w:pos="709" w:leader="none"/>
        </w:tabs>
        <w:bidi w:val="0"/>
        <w:spacing w:before="0" w:after="0"/>
        <w:ind w:hanging="283" w:start="709"/>
        <w:jc w:val="start"/>
        <w:rPr/>
      </w:pPr>
      <w:r>
        <w:rPr/>
        <w:t xml:space="preserve">The page asks me to activate a checkout template or publish the Offer. </w:t>
      </w:r>
    </w:p>
    <w:p>
      <w:pPr>
        <w:pStyle w:val="BodyText"/>
        <w:numPr>
          <w:ilvl w:val="0"/>
          <w:numId w:val="3"/>
        </w:numPr>
        <w:tabs>
          <w:tab w:val="clear" w:pos="1134"/>
          <w:tab w:val="left" w:pos="709" w:leader="none"/>
        </w:tabs>
        <w:bidi w:val="0"/>
        <w:spacing w:before="0" w:after="0"/>
        <w:ind w:hanging="283" w:start="709"/>
        <w:jc w:val="start"/>
        <w:rPr/>
      </w:pPr>
      <w:r>
        <w:rPr/>
        <w:t xml:space="preserve">The new Offer appears to have different tax, payment, quantity, or custom-price-text settings. </w:t>
      </w:r>
    </w:p>
    <w:p>
      <w:pPr>
        <w:pStyle w:val="BodyText"/>
        <w:numPr>
          <w:ilvl w:val="0"/>
          <w:numId w:val="3"/>
        </w:numPr>
        <w:tabs>
          <w:tab w:val="clear" w:pos="1134"/>
          <w:tab w:val="left" w:pos="709" w:leader="none"/>
        </w:tabs>
        <w:bidi w:val="0"/>
        <w:spacing w:before="0" w:after="0"/>
        <w:ind w:hanging="283" w:start="709"/>
        <w:jc w:val="start"/>
        <w:rPr/>
      </w:pPr>
      <w:r>
        <w:rPr/>
        <w:t xml:space="preserve">I cannot prove the post-purchase page, email preference, upsell, or automation matches the control. </w:t>
      </w:r>
    </w:p>
    <w:p>
      <w:pPr>
        <w:pStyle w:val="BodyText"/>
        <w:numPr>
          <w:ilvl w:val="0"/>
          <w:numId w:val="3"/>
        </w:numPr>
        <w:tabs>
          <w:tab w:val="clear" w:pos="1134"/>
          <w:tab w:val="left" w:pos="709" w:leader="none"/>
        </w:tabs>
        <w:bidi w:val="0"/>
        <w:ind w:hanging="283" w:start="709"/>
        <w:jc w:val="start"/>
        <w:rPr/>
      </w:pPr>
      <w:r>
        <w:rPr/>
        <w:t xml:space="preserve">Anyone asks me to send a link, share a price, add people to a list, change Klaviyo/SMS, or adjust Meta traffic. </w:t>
      </w:r>
    </w:p>
    <w:p>
      <w:pPr>
        <w:pStyle w:val="Heading2"/>
        <w:bidi w:val="0"/>
        <w:jc w:val="start"/>
        <w:rPr/>
      </w:pPr>
      <w:r>
        <w:rPr/>
        <w:t>12. Sources and document basis</w:t>
      </w:r>
    </w:p>
    <w:p>
      <w:pPr>
        <w:pStyle w:val="BodyText"/>
        <w:bidi w:val="0"/>
        <w:jc w:val="start"/>
        <w:rPr/>
      </w:pPr>
      <w:r>
        <w:rPr/>
        <w:t>This manual is based on a read-only inspection of the owner’s authenticated Kajabi workspace on September 4, 2026, including the published $67 control Offer, its product access, and its Purchase flow. The workflow aligns with Kajabi’s guidance that separate Offers can carry different pricing for the same underlying product. This document is an operating checklist, not authority to activate a commercial test.</w:t>
      </w:r>
    </w:p>
    <w:p>
      <w:pPr>
        <w:pStyle w:val="BodyText"/>
        <w:numPr>
          <w:ilvl w:val="0"/>
          <w:numId w:val="4"/>
        </w:numPr>
        <w:tabs>
          <w:tab w:val="clear" w:pos="1134"/>
          <w:tab w:val="left" w:pos="709" w:leader="none"/>
        </w:tabs>
        <w:bidi w:val="0"/>
        <w:spacing w:before="0" w:after="0"/>
        <w:ind w:hanging="283" w:start="709" w:end="0"/>
        <w:jc w:val="start"/>
        <w:rPr>
          <w:color w:val="53645A"/>
          <w:sz w:val="17"/>
        </w:rPr>
      </w:pPr>
      <w:r>
        <w:rPr>
          <w:color w:val="53645A"/>
          <w:sz w:val="17"/>
        </w:rPr>
        <w:t xml:space="preserve">Kajabi Help Center — Create an Offer checkout page with different pricing: https://help.kajabi.com/articles/sales/checkout/can-i-create-an-offer-checkout-page-with-different-pricing </w:t>
      </w:r>
    </w:p>
    <w:p>
      <w:pPr>
        <w:pStyle w:val="BodyText"/>
        <w:numPr>
          <w:ilvl w:val="0"/>
          <w:numId w:val="4"/>
        </w:numPr>
        <w:tabs>
          <w:tab w:val="clear" w:pos="1134"/>
          <w:tab w:val="left" w:pos="709" w:leader="none"/>
        </w:tabs>
        <w:bidi w:val="0"/>
        <w:spacing w:before="0" w:after="0"/>
        <w:ind w:hanging="283" w:start="709"/>
        <w:jc w:val="start"/>
        <w:rPr>
          <w:color w:val="53645A"/>
          <w:sz w:val="17"/>
        </w:rPr>
      </w:pPr>
      <w:r>
        <w:rPr>
          <w:color w:val="53645A"/>
          <w:sz w:val="17"/>
        </w:rPr>
        <w:t xml:space="preserve">Kajabi Help Center — Landing page A/B testing overview: https://help.kajabi.com/articles/website/pages/landing-page-ab-testing-overview </w:t>
      </w:r>
    </w:p>
    <w:p>
      <w:pPr>
        <w:pStyle w:val="BodyText"/>
        <w:numPr>
          <w:ilvl w:val="0"/>
          <w:numId w:val="4"/>
        </w:numPr>
        <w:tabs>
          <w:tab w:val="clear" w:pos="1134"/>
          <w:tab w:val="left" w:pos="709" w:leader="none"/>
        </w:tabs>
        <w:bidi w:val="0"/>
        <w:ind w:hanging="283" w:start="709"/>
        <w:jc w:val="start"/>
        <w:rPr>
          <w:color w:val="53645A"/>
          <w:sz w:val="17"/>
        </w:rPr>
      </w:pPr>
      <w:r>
        <w:rPr>
          <w:color w:val="53645A"/>
          <w:sz w:val="17"/>
        </w:rPr>
        <w:t xml:space="preserve">Internal — Agora Kajabi Entry-Price Test Operator QA Checklist, September 4, 2026. </w:t>
      </w:r>
    </w:p>
    <w:p>
      <w:pPr>
        <w:pStyle w:val="BodyTextfooter-note"/>
        <w:bidi w:val="0"/>
        <w:spacing w:before="360" w:after="160"/>
        <w:rPr/>
      </w:pPr>
      <w:r>
        <w:rPr/>
        <w:t>END OF MANUAL — STOP HERE UNTIL THE OWNER REVIEWS THE HANDOFF RECORD</w:t>
      </w:r>
    </w:p>
    <w:sectPr>
      <w:type w:val="nextPage"/>
      <w:pgSz w:w="11906" w:h="16838"/>
      <w:pgMar w:left="1037" w:right="1037" w:gutter="0" w:header="0" w:top="936" w:footer="0" w:bottom="936"/>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altName w:val="Arial"/>
    <w:charset w:val="01" w:characterSet="utf-8"/>
    <w:family w:val="auto"/>
    <w:pitch w:val="default"/>
  </w:font>
  <w:font w:name="Noto San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31"/>
    </w:pPr>
    <w:rPr>
      <w:rFonts w:ascii="Aptos;Arial;sans-serif" w:hAnsi="Aptos;Arial;sans-serif" w:eastAsia="Aptos;Arial;sans-serif" w:cs="Aptos;Arial;sans-serif"/>
      <w:color w:val="1B2822"/>
      <w:sz w:val="21"/>
      <w:szCs w:val="21"/>
      <w:lang w:val="en-US" w:eastAsia="zh-CN" w:bidi="hi-IN"/>
    </w:rPr>
  </w:style>
  <w:style w:type="paragraph" w:styleId="Heading1">
    <w:name w:val="Heading 1"/>
    <w:basedOn w:val="Heading"/>
    <w:next w:val="BodyText"/>
    <w:qFormat/>
    <w:pPr>
      <w:spacing w:lineRule="auto" w:line="259" w:before="240" w:after="180"/>
    </w:pPr>
    <w:rPr>
      <w:rFonts w:ascii="Noto Sans" w:hAnsi="Noto Sans"/>
      <w:b/>
      <w:bCs/>
      <w:color w:val="1F4F3D"/>
      <w:sz w:val="50"/>
      <w:szCs w:val="50"/>
    </w:rPr>
  </w:style>
  <w:style w:type="paragraph" w:styleId="Heading2">
    <w:name w:val="Heading 2"/>
    <w:basedOn w:val="Heading"/>
    <w:next w:val="BodyText"/>
    <w:qFormat/>
    <w:pPr>
      <w:pBdr>
        <w:bottom w:val="single" w:sz="2" w:space="3" w:color="B8CFC0"/>
      </w:pBdr>
      <w:spacing w:before="400" w:after="160"/>
      <w:ind w:start="400" w:end="400"/>
      <w:outlineLvl w:val="1"/>
    </w:pPr>
    <w:rPr>
      <w:rFonts w:ascii="Liberation Serif" w:hAnsi="Liberation Serif" w:eastAsia="Noto Serif CJK SC" w:cs="Lohit Devanagari"/>
      <w:b/>
      <w:bCs/>
      <w:color w:val="1F4F3D"/>
      <w:sz w:val="32"/>
      <w:szCs w:val="32"/>
    </w:rPr>
  </w:style>
  <w:style w:type="paragraph" w:styleId="Heading3">
    <w:name w:val="Heading 3"/>
    <w:basedOn w:val="Heading"/>
    <w:next w:val="BodyText"/>
    <w:qFormat/>
    <w:pPr>
      <w:spacing w:before="280" w:after="100"/>
      <w:ind w:start="280" w:end="280"/>
      <w:outlineLvl w:val="2"/>
    </w:pPr>
    <w:rPr>
      <w:rFonts w:ascii="Liberation Serif" w:hAnsi="Liberation Serif" w:eastAsia="Noto Serif CJK SC" w:cs="Lohit Devanagari"/>
      <w:b/>
      <w:bCs/>
      <w:color w:val="2C624C"/>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0" w:after="16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brand">
    <w:name w:val="Body Text.brand"/>
    <w:basedOn w:val="BodyText"/>
    <w:qFormat/>
    <w:pPr/>
    <w:rPr>
      <w:b/>
      <w:bCs/>
      <w:color w:val="9D7A33"/>
      <w:spacing w:val="14"/>
      <w:sz w:val="22"/>
      <w:szCs w:val="22"/>
    </w:rPr>
  </w:style>
  <w:style w:type="paragraph" w:styleId="BodyTextsubtitle">
    <w:name w:val="Body Text.subtitle"/>
    <w:basedOn w:val="BodyText"/>
    <w:qFormat/>
    <w:pPr>
      <w:spacing w:before="200" w:after="440"/>
      <w:ind w:start="200" w:end="200"/>
    </w:pPr>
    <w:rPr>
      <w:i/>
      <w:iCs/>
      <w:color w:val="4B5952"/>
      <w:sz w:val="26"/>
      <w:szCs w:val="26"/>
    </w:rPr>
  </w:style>
  <w:style w:type="paragraph" w:styleId="TableHeading">
    <w:name w:val="Table Heading"/>
    <w:basedOn w:val="TableContents"/>
    <w:qFormat/>
    <w:pPr>
      <w:suppressLineNumbers/>
      <w:shd w:fill="1F4F3D" w:val="clear"/>
      <w:jc w:val="start"/>
    </w:pPr>
    <w:rPr>
      <w:b/>
      <w:bCs/>
      <w:color w:val="FFFFFF"/>
    </w:rPr>
  </w:style>
  <w:style w:type="paragraph" w:styleId="BodyTextfooter-note">
    <w:name w:val="Body Text.footer-note"/>
    <w:basedOn w:val="BodyText"/>
    <w:qFormat/>
    <w:pPr>
      <w:spacing w:before="360" w:after="160"/>
      <w:jc w:val="center"/>
    </w:pPr>
    <w:rPr>
      <w:b/>
      <w:bCs/>
      <w:color w:val="98322B"/>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The Urban Monk Academy — Kajabi Price-Test VA Manual</dc:title>
</cp:coreProperties>
</file>

<file path=docProps/custom.xml><?xml version="1.0" encoding="utf-8"?>
<Properties xmlns="http://schemas.openxmlformats.org/officeDocument/2006/custom-properties" xmlns:vt="http://schemas.openxmlformats.org/officeDocument/2006/docPropsVTypes"/>
</file>