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DESENVOLVIMENTO DE UMA FERRAMENTA TECNOLÓGICA PARA CIDADES SUSTENTÁVEIS:  UM GUIA EDUCATIVO PARA ESTUDANTES DE TECNOLOGIA</w:t>
      </w:r>
    </w:p>
    <w:p w:rsidR="00000000" w:rsidDel="00000000" w:rsidP="00000000" w:rsidRDefault="00000000" w:rsidRPr="00000000" w14:paraId="00000002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Emily da Silva de Campos, Leonardo Balbino, Pedro Henrique Mansano Franzin</w:t>
      </w:r>
    </w:p>
    <w:p w:rsidR="00000000" w:rsidDel="00000000" w:rsidP="00000000" w:rsidRDefault="00000000" w:rsidRPr="00000000" w14:paraId="00000003">
      <w:pPr>
        <w:spacing w:after="280" w:before="2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crescimento acelerado das áreas urbanas tem intensificado diversos desafios relacionados à sustentabilidade, especialmente no que se refere à gestão de resíduos sólidos. O descarte irregular de lixo em espaços públicos contribui para a degradação ambiental, a proliferação de doenças e a sobrecarga dos serviços de limpeza urbana. Casos como a poluição do rio Tietê, em São Paulo, evidenciam os impactos negativos decorrentes da gestão inadequada dos resíduos e reforçam a necessidade de soluções inovadoras para enfrentar esse problema.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contexto, o conceito de Smart Cities (Cidades Inteligentes) surge como uma alternativa promissora. Segundo Mahizhnan (1999), cidades inteligentes utilizam tecnologias da informação e comunicação para aprimorar os serviços urbanos e promover maior qualidade de vida para a população. Além disso, Abdala et al. (2014) destacam que a integração entre tecnologia, gestão pública e participação cidadã é fundamental para o desenvolvimento sustentável dos centros urbanos.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Experiências internacionais demonstram o potencial dessas iniciativas. Barcelona, reconhecida mundialmente por seus projetos de inovação urbana, utiliza plataformas digitais, sensores e análise de dados para otimizar diversos serviços públicos. O destaque da cidade nesse cenário é evidenciado pelo Smart City Expo World Congress (SCEWC), considerado um dos principais eventos globais voltados à discussão de soluções inteligentes para cidades sustentáveis.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desse cenário, torna-se relevante incentivar estudantes da área de tecnologia a desenvolverem soluções digitais capazes de contribuir para a gestão urbana. Dessa forma, este trabalho apresenta um guia educativo destinado ao desenvolvimento de uma ferramenta tecnológica voltada ao mapeamento e à notificação colaborativa de descarte irregular de resíduos sólidos.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deste trabalho é orientar estudantes de tecnologia no desenvolvimento de uma ferramenta digital capaz de registrar, mapear e comunicar ocorrências de descarte irregular de resíduos sólidos. A proposta busca demonstrar como recursos tecnológicos podem ser utilizados para aproximar cidadãos e gestores públicos, transformando informações coletadas pela população em dados estratégicos para o planejamento e a execução de ações de limpeza urbana.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pretende-se incentivar a aplicação prática de conceitos relacionados à Engenharia de Software, experiência do usuário (UX), geolocalização, Internet das Coisas (IoT) e desenvolvimento sustentável, promovendo a formação de profissionais comprometidos com a inovação social e ambiental.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elaboração deste guia foi fundamentada em uma pesquisa bibliográfica de caráter integrativo, baseada em estudos relacionados às Smart Cities, gestão de resíduos sólidos, Internet das Coisas e participação cidadã na administração pública. Também foram analisados casos de sucesso de cidades que implementaram tecnologias inteligentes para monitoramento ambiental e gestão urbana.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técnico, o guia apresenta as etapas necessárias para o desenvolvimento de uma plataforma digital colaborativa. Inicialmente, são abordados os processos de levantamento e análise de requisitos, identificando as principais necessidades dos usuários e dos órgãos públicos responsáveis pela gestão dos resíduos.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seguida, são exploradas tecnologias relacionadas ao georreferenciamento, integração com APIs de mapas e utilização de dispositivos conectados por meio da Internet das Coisas. A proposta contempla ainda o desenvolvimento de uma interface intuitiva, baseada em princípios de experiência do usuário, permitindo que os cidadãos realizem notificações por meio do envio de fotografias, descrições e localização dos pontos de descarte irregular.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são discutidos aspectos relacionados à estruturação de bancos de dados, interoperabilidade de sistemas e escalabilidade da aplicação, fatores essenciais para garantir a eficiência e a expansão da ferramenta em diferentes contextos urbanos.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 ESPERADOS/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OBTIDOS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Espera-se que o guia contribua para a capacitação de estudantes no desenvolvimento de soluções tecnológicas voltadas à sustentabilidade urbana. A ferramenta proposta possibilita a criação de um fluxo colaborativo de informações entre cidadãos e órgãos públicos, permitindo maior agilidade na identificação e resolução de problemas relacionados ao descarte irregular de resíduos.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a utilização de recursos como geolocalização, análise de dados e Internet das Coisas pode favorecer a tomada de decisões mais eficientes pelos gestores municipais. Conforme apontam Silva, Souza e Almeida (2020), a aplicação de tecnologias inteligentes na gestão urbana contribui para a redução de desperdícios, a otimização de recursos e o fortalecimento das práticas sustentáveis.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Outro resultado esperado é o fortalecimento da conscientização ambiental da população, estimulando a participação cidadã na preservação dos espaços urbanos e na construção de cidades mais limpas e organizadas.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CONSIDERAÇÕES FINAIS: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transformação digital tem desempenhado papel fundamental na busca por soluções para os desafios enfrentados pelas cidades contemporâneas. Nesse contexto, a utilização de ferramentas tecnológicas voltadas ao monitoramento e à gestão de resíduos sólidos representa uma oportunidade de promover maior eficiência administrativa, sustentabilidade ambiental e engajamento social.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Alinhada ao Objetivo de Desenvolvimento Sustentável (ODS) 11, que busca tornar as cidades mais inclusivas, seguras, resilientes e sustentáveis, a proposta apresentada demonstra como estudantes de tecnologia podem aplicar conhecimentos técnicos em benefício da sociedade.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Conclui-se que a combinação entre inovação tecnológica, participação cidadã e gestão pública baseada em dados constitui um caminho promissor para a construção de cidades inteligentes. Inspiradas por experiências bem-sucedidas, como a de Barcelona, iniciativas dessa natureza possuem potencial para transformar os ambientes urbanos, promovendo melhorias duradouras na qualidade de vida da população e na preservação do meio ambiente.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Smart Cities; Gestão de Resíduos; Engenharia de Software; Sustentabilidade Urbana; Internet das Coisas; ODS 11. 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ABDALA, Lucas Novelino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et 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Como as cidades inteligentes contribuem para o desenvolvimento de cidades sustentáveis? Uma revisão sistemática de literatura.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International Journal of Knowledge Engineering and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Florianópolis, v. 3, n. 5, p. 98–120, mar./jun. 2014. Disponível em: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https://labchis.com/wp-content/uploads/2018/08/COMO-AS-CIDADES-INTELIGENTES-CONTRIBUEM-PARA-O.pdf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6 mar. 2026.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DRIVINGECO.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Barcelona cidade inteligente Europa: revolução e e-democracia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[s. l.], 2026. Disponível em: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https://www.drivingeco.com/pt/barcelona-cidade-inteligente-europa-revolu%C3%A7%C3%A3o-e-democracia/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27 mar. 2026.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MAHIZHNAN, Arun. Smart cities: the Singapore case.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[s. l.], v. 16, n. 1, p. 13-18, 1999.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SILVA, J. R.; SOUZA, M. L.; ALMEIDA, P. R. O impacto da Internet das Coisas na sustentabilidade urbana.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Revista de Tecnologia e Sociedade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[s. l.], v. 16, n. 2, p. 45-60, 2020.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CITY EXPO WORLD CONGRESS.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Event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Barcelona, 2026. Disponível em: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https://www.smartcityexpo.com/the-event/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27 mar. 2026.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color w:val="6666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right="135"/>
        <w:rPr>
          <w:rFonts w:ascii="Times New Roman" w:cs="Times New Roman" w:eastAsia="Times New Roman" w:hAnsi="Times New Roman"/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851" w:top="1440" w:left="1701" w:right="1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360" w:lineRule="auto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-279397</wp:posOffset>
          </wp:positionV>
          <wp:extent cx="1129030" cy="555625"/>
          <wp:effectExtent b="0" l="0" r="0" t="0"/>
          <wp:wrapNone/>
          <wp:docPr descr="Unicesumar Logo – PNG e Vetor – Download de Logo" id="223" name="image1.png"/>
          <a:graphic>
            <a:graphicData uri="http://schemas.openxmlformats.org/drawingml/2006/picture">
              <pic:pic>
                <pic:nvPicPr>
                  <pic:cNvPr descr="Unicesumar Logo – PNG e Vetor – Download de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9030" cy="555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1438276</wp:posOffset>
              </wp:positionH>
              <wp:positionV relativeFrom="paragraph">
                <wp:posOffset>-363852</wp:posOffset>
              </wp:positionV>
              <wp:extent cx="4741545" cy="766445"/>
              <wp:effectExtent b="0" l="0" r="0" t="0"/>
              <wp:wrapSquare wrapText="bothSides" distB="45720" distT="45720" distL="114300" distR="114300"/>
              <wp:docPr id="2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84753" y="3406303"/>
                        <a:ext cx="4722495" cy="747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re Franklin Medium" w:cs="Libre Franklin Medium" w:eastAsia="Libre Franklin Medium" w:hAnsi="Libre Franklin Medium"/>
                              <w:b w:val="1"/>
                              <w:i w:val="0"/>
                              <w:smallCaps w:val="0"/>
                              <w:strike w:val="0"/>
                              <w:color w:val="31849b"/>
                              <w:sz w:val="22"/>
                              <w:vertAlign w:val="baseline"/>
                            </w:rPr>
                            <w:t xml:space="preserve">UNIVERSIDADE CESUMAR - UNICESUMAR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re Franklin Medium" w:cs="Libre Franklin Medium" w:eastAsia="Libre Franklin Medium" w:hAnsi="Libre Franklin Medium"/>
                              <w:b w:val="1"/>
                              <w:i w:val="0"/>
                              <w:smallCaps w:val="0"/>
                              <w:strike w:val="0"/>
                              <w:color w:val="31849b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ibre Franklin Medium" w:cs="Libre Franklin Medium" w:eastAsia="Libre Franklin Medium" w:hAnsi="Libre Franklin Medium"/>
                              <w:b w:val="0"/>
                              <w:i w:val="0"/>
                              <w:smallCaps w:val="0"/>
                              <w:strike w:val="0"/>
                              <w:color w:val="31849b"/>
                              <w:sz w:val="22"/>
                              <w:vertAlign w:val="baseline"/>
                            </w:rPr>
                            <w:t xml:space="preserve">AEP - Atividade de Estudo Programado 2026.1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re Franklin Medium" w:cs="Libre Franklin Medium" w:eastAsia="Libre Franklin Medium" w:hAnsi="Libre Franklin Medium"/>
                              <w:b w:val="0"/>
                              <w:i w:val="0"/>
                              <w:smallCaps w:val="0"/>
                              <w:strike w:val="0"/>
                              <w:color w:val="31849b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ibre Franklin Medium" w:cs="Libre Franklin Medium" w:eastAsia="Libre Franklin Medium" w:hAnsi="Libre Franklin Medium"/>
                              <w:b w:val="0"/>
                              <w:i w:val="0"/>
                              <w:smallCaps w:val="0"/>
                              <w:strike w:val="0"/>
                              <w:color w:val="31849b"/>
                              <w:sz w:val="22"/>
                              <w:vertAlign w:val="baseline"/>
                            </w:rPr>
                            <w:t xml:space="preserve">ADS e ESOFT (3º semestre)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1438276</wp:posOffset>
              </wp:positionH>
              <wp:positionV relativeFrom="paragraph">
                <wp:posOffset>-363852</wp:posOffset>
              </wp:positionV>
              <wp:extent cx="4741545" cy="766445"/>
              <wp:effectExtent b="0" l="0" r="0" t="0"/>
              <wp:wrapSquare wrapText="bothSides" distB="45720" distT="45720" distL="114300" distR="114300"/>
              <wp:docPr id="22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41545" cy="766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next w:val="Normal"/>
    <w:uiPriority w:val="39"/>
    <w:semiHidden w:val="1"/>
    <w:unhideWhenUsed w:val="1"/>
    <w:qFormat w:val="1"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martcityexpo.com/the-event/" TargetMode="External"/><Relationship Id="rId10" Type="http://schemas.openxmlformats.org/officeDocument/2006/relationships/hyperlink" Target="https://www.drivingeco.com/pt/barcelona-cidade-inteligente-europa-revolu%C3%A7%C3%A3o-e-democracia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smartcityexpo.com/the-ev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rivingeco.com/pt/barcelona-cidade-inteligente-europa-revolu%C3%A7%C3%A3o-e-democraci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abchis.com/wp-content/uploads/2018/08/COMO-AS-CIDADES-INTELIGENTES-CONTRIBUEM-PARA-O.pdf" TargetMode="External"/><Relationship Id="rId8" Type="http://schemas.openxmlformats.org/officeDocument/2006/relationships/hyperlink" Target="https://labchis.com/wp-content/uploads/2018/08/COMO-AS-CIDADES-INTELIGENTES-CONTRIBUEM-PARA-O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dfzE0mKG/IZ58d8RkEt81z6dmQ==">CgMxLjA4AHIhMVRNejFnOGlwVWtTaEd6b0tjNHRWODBDQkVkUkowU0hB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2026-02-13T13:41:00Z</dcterms:created>
  <dc:creator>python-docx</dc:creator>
</cp:coreProperties>
</file>