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3449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Señor</w:t>
      </w:r>
    </w:p>
    <w:p w14:paraId="0C038334" w14:textId="77777777" w:rsidR="009502D8" w:rsidRPr="00F40A28" w:rsidRDefault="009502D8" w:rsidP="009502D8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FISCALIA GENERAL DE LA NACIÓN (REPARTO)</w:t>
      </w:r>
    </w:p>
    <w:p w14:paraId="7DCD1B95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Ciudad</w:t>
      </w:r>
    </w:p>
    <w:p w14:paraId="40A81E16" w14:textId="41631CAF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2504F60" w14:textId="77777777" w:rsidR="007A79D0" w:rsidRPr="00F40A28" w:rsidRDefault="007A79D0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0C970EAF" w14:textId="44B63352" w:rsidR="009502D8" w:rsidRPr="00190A2E" w:rsidRDefault="007A79D0" w:rsidP="00EA70F5">
      <w:pPr>
        <w:jc w:val="both"/>
        <w:rPr>
          <w:rFonts w:ascii="Arial" w:hAnsi="Arial" w:cs="Arial"/>
          <w:sz w:val="18"/>
          <w:szCs w:val="18"/>
        </w:rPr>
      </w:pPr>
      <w:r w:rsidRPr="007A79D0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"/>
        </w:rPr>
        <w:t xml:space="preserve">DISRUPCIÓN AL DERECHO S.A.S., </w:t>
      </w:r>
      <w:r w:rsidRPr="007A79D0">
        <w:rPr>
          <w:rFonts w:ascii="Arial" w:hAnsi="Arial" w:cs="Arial"/>
          <w:iCs/>
          <w:color w:val="000000" w:themeColor="text1"/>
          <w:sz w:val="18"/>
          <w:szCs w:val="18"/>
          <w:lang w:val="es-ES"/>
        </w:rPr>
        <w:t xml:space="preserve">sociedad identificada con </w:t>
      </w:r>
      <w:proofErr w:type="spellStart"/>
      <w:r w:rsidRPr="007A79D0">
        <w:rPr>
          <w:rFonts w:ascii="Arial" w:hAnsi="Arial" w:cs="Arial"/>
          <w:iCs/>
          <w:color w:val="000000" w:themeColor="text1"/>
          <w:sz w:val="18"/>
          <w:szCs w:val="18"/>
          <w:lang w:val="es-ES"/>
        </w:rPr>
        <w:t>Nit</w:t>
      </w:r>
      <w:proofErr w:type="spellEnd"/>
      <w:r w:rsidRPr="007A79D0">
        <w:rPr>
          <w:rFonts w:ascii="Arial" w:hAnsi="Arial" w:cs="Arial"/>
          <w:iCs/>
          <w:color w:val="000000" w:themeColor="text1"/>
          <w:sz w:val="18"/>
          <w:szCs w:val="18"/>
          <w:lang w:val="es-ES"/>
        </w:rPr>
        <w:t xml:space="preserve">. 901.350.628 – 4, representada legalmente por </w:t>
      </w:r>
      <w:r w:rsidR="00DF7A39" w:rsidRPr="00DF7A39">
        <w:rPr>
          <w:rFonts w:ascii="Arial" w:hAnsi="Arial" w:cs="Arial"/>
          <w:sz w:val="18"/>
          <w:szCs w:val="18"/>
        </w:rPr>
        <w:t xml:space="preserve">Juan David Castilla Bahamón, identificado con cédula de ciudadanía No. 1.020.738.766 y Tarjeta profesional 252414, 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por medio del presente escrito y en virtud del deber de denuncia consagrado en el artículo 67 de la Ley 906 de 2004, me permito formular denuncia penal contra </w:t>
      </w:r>
      <w:r w:rsidR="009502D8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="009502D8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public_officer</w:t>
      </w:r>
      <w:r w:rsidR="00FB313B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_name</w:t>
      </w:r>
      <w:r w:rsidR="009502D8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|upper</w:t>
      </w:r>
      <w:proofErr w:type="spellEnd"/>
      <w:r w:rsidR="009502D8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, </w:t>
      </w:r>
      <w:r w:rsidR="00714872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servidor público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de </w:t>
      </w:r>
      <w:r w:rsidRPr="00FB313B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{{</w:t>
      </w:r>
      <w:r w:rsidR="00FB313B" w:rsidRPr="00FB313B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 w:rsidR="00FB313B" w:rsidRPr="00FB313B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company_or_entity_name|upper</w:t>
      </w:r>
      <w:proofErr w:type="spellEnd"/>
      <w:r w:rsidR="00FB313B" w:rsidRPr="00FB313B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Pr="00FB313B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}}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, por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la presunta comisión de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los delitos de </w:t>
      </w:r>
      <w:r w:rsidR="009502D8"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PREVARICATO POR ACCIÓN</w:t>
      </w:r>
      <w:r w:rsidR="004A11A1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y </w:t>
      </w:r>
      <w:r w:rsidR="009502D8"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FALSEDAD</w:t>
      </w:r>
      <w:r w:rsidR="009502D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IDEOLÓGICA</w:t>
      </w:r>
      <w:r w:rsidR="009502D8"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EN DOCUMENTO PÚBLICO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</w:t>
      </w:r>
    </w:p>
    <w:p w14:paraId="379EAD0C" w14:textId="77777777" w:rsidR="007A79D0" w:rsidRPr="00F40A28" w:rsidRDefault="007A79D0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A1AF724" w14:textId="77777777" w:rsidR="009502D8" w:rsidRPr="00F40A28" w:rsidRDefault="009502D8" w:rsidP="009502D8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HECHOS</w:t>
      </w:r>
    </w:p>
    <w:p w14:paraId="1787CFF6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33E6F6BD" w14:textId="500C5A09" w:rsidR="00AD38CB" w:rsidRPr="00FB313B" w:rsidRDefault="00AD38CB" w:rsidP="009502D8">
      <w:pPr>
        <w:pStyle w:val="Prrafodelista"/>
        <w:numPr>
          <w:ilvl w:val="0"/>
          <w:numId w:val="1"/>
        </w:numPr>
        <w:spacing w:after="0" w:line="240" w:lineRule="auto"/>
        <w:ind w:left="1134" w:hanging="1134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Que el día</w:t>
      </w:r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proofErr w:type="gramStart"/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="00FB313B" w:rsidRP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infraction</w:t>
      </w:r>
      <w:proofErr w:type="gramEnd"/>
      <w:r w:rsidR="00FB313B" w:rsidRP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_date</w:t>
      </w:r>
      <w:proofErr w:type="spellEnd"/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}} se impuso el </w:t>
      </w:r>
      <w:proofErr w:type="spellStart"/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fotocomparendo</w:t>
      </w:r>
      <w:proofErr w:type="spellEnd"/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No. </w:t>
      </w:r>
      <w:proofErr w:type="gramStart"/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="00FB313B" w:rsidRP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fotomulta</w:t>
      </w:r>
      <w:proofErr w:type="gramEnd"/>
      <w:r w:rsidR="00FB313B" w:rsidRP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_number</w:t>
      </w:r>
      <w:proofErr w:type="spellEnd"/>
      <w:r w:rsidR="00FB313B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}} a 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if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client_type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== ‘Persona Natural’ %}</w:t>
      </w:r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else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legal.name|upper</w:t>
      </w:r>
      <w:proofErr w:type="spellEnd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endif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D3281E">
        <w:rPr>
          <w:rFonts w:ascii="Arial" w:hAnsi="Arial" w:cs="Arial"/>
          <w:iCs/>
          <w:color w:val="000000" w:themeColor="text1"/>
          <w:sz w:val="18"/>
          <w:szCs w:val="18"/>
        </w:rPr>
        <w:t>.</w:t>
      </w:r>
    </w:p>
    <w:p w14:paraId="788EB551" w14:textId="77777777" w:rsidR="00FB313B" w:rsidRDefault="00FB313B" w:rsidP="00FB313B">
      <w:pPr>
        <w:pStyle w:val="Prrafodelista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74B928C" w14:textId="46BDE15A" w:rsidR="00FB313B" w:rsidRDefault="00FB313B" w:rsidP="009502D8">
      <w:pPr>
        <w:pStyle w:val="Prrafodelista"/>
        <w:numPr>
          <w:ilvl w:val="0"/>
          <w:numId w:val="1"/>
        </w:numPr>
        <w:spacing w:after="0" w:line="240" w:lineRule="auto"/>
        <w:ind w:left="1134" w:hanging="1134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Que en virtud de lo anterior</w:t>
      </w:r>
      <w:r w:rsidR="006C74A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,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if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client_type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== ‘Persona Natural’ %}</w:t>
      </w:r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else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legal.name|upper</w:t>
      </w:r>
      <w:proofErr w:type="spellEnd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endif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contrató los servicios de la sociedad </w:t>
      </w:r>
      <w:r w:rsidRPr="007A79D0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"/>
        </w:rPr>
        <w:t>DISRUPCIÓN AL DERECHO S.A.S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para representarlo dentro del proceso contravencional por la presunta comisión de la infracción de tránsito.</w:t>
      </w:r>
    </w:p>
    <w:p w14:paraId="7235EDF0" w14:textId="77777777" w:rsidR="00FB313B" w:rsidRDefault="00FB313B" w:rsidP="00FB313B">
      <w:pPr>
        <w:pStyle w:val="Prrafodelista"/>
        <w:spacing w:after="0" w:line="240" w:lineRule="auto"/>
        <w:ind w:left="1134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041C677" w14:textId="13C4B60B" w:rsidR="009502D8" w:rsidRPr="00F40A28" w:rsidRDefault="009502D8" w:rsidP="009502D8">
      <w:pPr>
        <w:pStyle w:val="Prrafodelista"/>
        <w:numPr>
          <w:ilvl w:val="0"/>
          <w:numId w:val="1"/>
        </w:numPr>
        <w:spacing w:after="0" w:line="240" w:lineRule="auto"/>
        <w:ind w:left="1134" w:hanging="1134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Que el día </w:t>
      </w:r>
      <w:r w:rsidR="00BC6D1A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{{</w:t>
      </w:r>
      <w:r w:rsidR="00277C9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 w:rsidR="00277C95" w:rsidRPr="00277C9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sancionatory_resolution_date</w:t>
      </w:r>
      <w:proofErr w:type="spellEnd"/>
      <w:r w:rsidR="00BC6D1A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el </w:t>
      </w:r>
      <w:r w:rsidR="00714872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servidor público</w:t>
      </w:r>
      <w:r w:rsidR="00714872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BC6D1A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="00BC6D1A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public_officer</w:t>
      </w:r>
      <w:r w:rsidR="00BC6D1A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_name</w:t>
      </w:r>
      <w:r w:rsidR="00BC6D1A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|upper</w:t>
      </w:r>
      <w:proofErr w:type="spellEnd"/>
      <w:r w:rsidR="00BC6D1A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profirió </w:t>
      </w:r>
      <w:r w:rsidR="00BC6D1A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la resolución sancionatoria No. {{ </w:t>
      </w:r>
      <w:proofErr w:type="spellStart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sancionatory_resolution_number</w:t>
      </w:r>
      <w:proofErr w:type="spellEnd"/>
      <w:r w:rsidR="00BC6D1A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="00F0793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decla</w:t>
      </w:r>
      <w:r w:rsidR="006C74A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ran</w:t>
      </w:r>
      <w:r w:rsidR="00F0793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do culpable al propietario del vehículo sin existir prueba alguna que demostrara que 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if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client_type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== ‘Persona Natural’ %}</w:t>
      </w:r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else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legal.name|upper</w:t>
      </w:r>
      <w:proofErr w:type="spellEnd"/>
      <w:r w:rsidR="00D3281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>endif</w:t>
      </w:r>
      <w:proofErr w:type="spellEnd"/>
      <w:r w:rsidR="00D3281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D3281E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r w:rsidR="00F0793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era la persona que conducía el vehículo</w:t>
      </w:r>
      <w:r w:rsidR="002664CC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y por lo tanto quien personalmente cometió la infracción</w:t>
      </w:r>
      <w:r w:rsidR="00F0793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 Razón por la cual se aplic</w:t>
      </w:r>
      <w:r w:rsidR="002664CC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ó</w:t>
      </w:r>
      <w:r w:rsidR="00F0793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2664CC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indebidamente </w:t>
      </w:r>
      <w:r w:rsidR="00F0793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una responsabilidad objetiva y no se cumplió con el elemento de imputabilidad personal ni se desvirtuó la presunción de inocencia</w:t>
      </w: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. </w:t>
      </w:r>
    </w:p>
    <w:p w14:paraId="056657DB" w14:textId="77777777" w:rsidR="009502D8" w:rsidRPr="002664CC" w:rsidRDefault="009502D8" w:rsidP="002664CC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42452DE5" w14:textId="77777777" w:rsidR="009502D8" w:rsidRPr="00F40A28" w:rsidRDefault="009502D8" w:rsidP="009502D8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FUNDAMENTOS DE </w:t>
      </w: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DERECHO</w:t>
      </w:r>
    </w:p>
    <w:p w14:paraId="72FE9303" w14:textId="77777777" w:rsidR="009502D8" w:rsidRPr="00F40A28" w:rsidRDefault="009502D8" w:rsidP="009502D8">
      <w:pPr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9891FAA" w14:textId="77777777" w:rsidR="00FD1B3D" w:rsidRDefault="00FD1B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1F3FCFF" w14:textId="0AA24830" w:rsidR="00FD1B3D" w:rsidRDefault="00FD1B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Antes de analizar los presuntos delitos en los que se encuadra</w:t>
      </w:r>
      <w:r w:rsidR="00714872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presuntamente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el actuar del</w:t>
      </w:r>
      <w:r w:rsidR="00714872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servidor público</w:t>
      </w:r>
      <w:r w:rsidR="00714872"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public_officer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_name</w:t>
      </w:r>
      <w:r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|upper</w:t>
      </w:r>
      <w:proofErr w:type="spellEnd"/>
      <w:r w:rsidRPr="00B30839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, procederemos a explicar el ordenamiento jurídico aplicable en el procedimiento contravencional que fue vulnerado en su integridad y que dio nacimiento a la presunta comisión de los delitos tipificados en la presente denuncia.</w:t>
      </w:r>
    </w:p>
    <w:p w14:paraId="70A49B38" w14:textId="75E39652" w:rsidR="00FD1B3D" w:rsidRDefault="00FD1B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370AC60B" w14:textId="545141E4" w:rsidR="00FD1B3D" w:rsidRDefault="007474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En primer lugar, establece el artículo 1 de la Ley 769 de 2002 (Código Nacional de Tránsito) como principio</w:t>
      </w:r>
      <w:r w:rsidR="0013720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regulador de las normas de tránsito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:</w:t>
      </w:r>
    </w:p>
    <w:p w14:paraId="4FDEDB8C" w14:textId="33995CBB" w:rsidR="0074743D" w:rsidRDefault="007474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D8747BB" w14:textId="258DB54C" w:rsidR="0074743D" w:rsidRPr="00FD1B3D" w:rsidRDefault="0074743D" w:rsidP="0074743D">
      <w:pPr>
        <w:ind w:left="700" w:right="566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“</w:t>
      </w:r>
      <w:r w:rsidRPr="0074743D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Los principios rectores de este código son</w:t>
      </w:r>
      <w:r w:rsidRPr="0074743D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 xml:space="preserve">: seguridad de los usuarios, la movilidad, la calidad, la oportunidad, el cubrimiento, la libertad de acceso, </w:t>
      </w:r>
      <w:r w:rsidRPr="0074743D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la plena identificación</w:t>
      </w:r>
      <w:r w:rsidRPr="0074743D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>, libre circulación, educación y descentralización</w:t>
      </w:r>
      <w:r w:rsidRPr="0074743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”</w:t>
      </w:r>
      <w:r w:rsidRPr="0074743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(subraya y negrilla fuera de texto)</w:t>
      </w:r>
    </w:p>
    <w:p w14:paraId="0D5B54FF" w14:textId="77777777" w:rsidR="00FD1B3D" w:rsidRDefault="00FD1B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39A4277" w14:textId="7EC3E725" w:rsidR="00FD1B3D" w:rsidRDefault="007474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Por otro lado, el Código Nacional de Tránsito en el parágrafo primero del artículo 129 estableció que:</w:t>
      </w:r>
    </w:p>
    <w:p w14:paraId="5FFC287C" w14:textId="67AA0E30" w:rsidR="0074743D" w:rsidRDefault="007474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7E7F7DA3" w14:textId="1EC4B452" w:rsidR="0074743D" w:rsidRPr="0074743D" w:rsidRDefault="0074743D" w:rsidP="0074743D">
      <w:pPr>
        <w:ind w:left="700" w:right="566"/>
        <w:jc w:val="both"/>
        <w:rPr>
          <w:rFonts w:ascii="Arial" w:eastAsiaTheme="minorHAnsi" w:hAnsi="Arial" w:cs="Arial"/>
          <w:color w:val="000000" w:themeColor="text1"/>
          <w:sz w:val="18"/>
          <w:szCs w:val="18"/>
          <w:shd w:val="clear" w:color="auto" w:fill="FFFFFF"/>
          <w:lang w:eastAsia="en-US"/>
        </w:rPr>
      </w:pPr>
      <w:r>
        <w:rPr>
          <w:rFonts w:ascii="Arial" w:eastAsiaTheme="minorHAnsi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 w:eastAsia="en-US"/>
        </w:rPr>
        <w:t>“</w:t>
      </w:r>
      <w:r w:rsidRPr="0074743D">
        <w:rPr>
          <w:rFonts w:ascii="Arial" w:eastAsiaTheme="minorHAnsi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en-US"/>
        </w:rPr>
        <w:t>PARÁGRAFO 1o</w:t>
      </w:r>
      <w:r w:rsidRPr="0074743D">
        <w:rPr>
          <w:rFonts w:ascii="Arial" w:eastAsiaTheme="minorHAnsi" w:hAnsi="Arial" w:cs="Arial"/>
          <w:b/>
          <w:bCs/>
          <w:i/>
          <w:iCs/>
          <w:color w:val="000000" w:themeColor="text1"/>
          <w:sz w:val="18"/>
          <w:szCs w:val="18"/>
          <w:shd w:val="clear" w:color="auto" w:fill="FFFFFF"/>
          <w:lang w:eastAsia="en-US"/>
        </w:rPr>
        <w:t>.</w:t>
      </w:r>
      <w:r w:rsidRPr="0074743D">
        <w:rPr>
          <w:rFonts w:ascii="Arial" w:eastAsiaTheme="minorHAnsi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en-US"/>
        </w:rPr>
        <w:t> </w:t>
      </w:r>
      <w:r w:rsidRPr="0074743D">
        <w:rPr>
          <w:rFonts w:ascii="Arial" w:eastAsiaTheme="minorHAnsi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eastAsia="en-US"/>
        </w:rPr>
        <w:t>Las multas no podrán ser impuestas a persona distinta de quien cometió la infracción</w:t>
      </w:r>
      <w:r w:rsidRPr="0074743D">
        <w:rPr>
          <w:rFonts w:ascii="Arial" w:eastAsiaTheme="minorHAnsi" w:hAnsi="Arial" w:cs="Arial"/>
          <w:b/>
          <w:bCs/>
          <w:color w:val="000000" w:themeColor="text1"/>
          <w:sz w:val="18"/>
          <w:szCs w:val="18"/>
          <w:u w:val="single"/>
          <w:shd w:val="clear" w:color="auto" w:fill="FFFFFF"/>
          <w:lang w:eastAsia="en-US"/>
        </w:rPr>
        <w:t>.</w:t>
      </w:r>
      <w:r>
        <w:rPr>
          <w:rFonts w:ascii="Arial" w:eastAsiaTheme="minorHAnsi" w:hAnsi="Arial" w:cs="Arial"/>
          <w:color w:val="000000" w:themeColor="text1"/>
          <w:sz w:val="18"/>
          <w:szCs w:val="18"/>
          <w:shd w:val="clear" w:color="auto" w:fill="FFFFFF"/>
          <w:lang w:eastAsia="en-US"/>
        </w:rPr>
        <w:t>”</w:t>
      </w:r>
      <w:r w:rsidRPr="0074743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(subraya y negrilla fuera de texto)</w:t>
      </w:r>
    </w:p>
    <w:p w14:paraId="01EF2BEC" w14:textId="7B46762B" w:rsidR="0074743D" w:rsidRDefault="007474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25992EF8" w14:textId="28899068" w:rsidR="00730E78" w:rsidRPr="0052321E" w:rsidRDefault="00730E78" w:rsidP="00730E78">
      <w:pPr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Así mismo, </w:t>
      </w:r>
      <w:r w:rsidRPr="0052321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el numeral 1 del artículo 3 de la Ley 1437 de 2011 establece</w:t>
      </w:r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que</w:t>
      </w:r>
      <w:r w:rsidRPr="0052321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:</w:t>
      </w:r>
    </w:p>
    <w:p w14:paraId="00ABAC9A" w14:textId="77777777" w:rsidR="00730E78" w:rsidRPr="0052321E" w:rsidRDefault="00730E78" w:rsidP="00730E78">
      <w:pPr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</w:p>
    <w:p w14:paraId="01BEF5C9" w14:textId="55092E84" w:rsidR="00730E78" w:rsidRDefault="00730E78" w:rsidP="00730E78">
      <w:pPr>
        <w:ind w:left="708" w:right="566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52321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“</w:t>
      </w:r>
      <w:r w:rsidRPr="005232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En materia administrativa </w:t>
      </w:r>
      <w:r w:rsidRPr="00730E78">
        <w:rPr>
          <w:rFonts w:ascii="Arial" w:hAnsi="Arial" w:cs="Arial"/>
          <w:b/>
          <w:bCs/>
          <w:i/>
          <w:color w:val="000000" w:themeColor="text1"/>
          <w:sz w:val="18"/>
          <w:szCs w:val="18"/>
          <w:u w:val="single"/>
          <w:lang w:val="es-ES_tradnl"/>
        </w:rPr>
        <w:t>sancionatoria</w:t>
      </w:r>
      <w:r w:rsidRPr="005232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, se observarán adicionalmente los principios de legalidad de las faltas y de las sanciones, de </w:t>
      </w:r>
      <w:r w:rsidRPr="0052321E">
        <w:rPr>
          <w:rFonts w:ascii="Arial" w:hAnsi="Arial" w:cs="Arial"/>
          <w:b/>
          <w:bCs/>
          <w:i/>
          <w:color w:val="000000" w:themeColor="text1"/>
          <w:sz w:val="18"/>
          <w:szCs w:val="18"/>
          <w:u w:val="single"/>
          <w:lang w:val="es-ES_tradnl"/>
        </w:rPr>
        <w:t>presunción de inocencia</w:t>
      </w:r>
      <w:r w:rsidRPr="0052321E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 xml:space="preserve"> (…).</w:t>
      </w:r>
      <w:r w:rsidRPr="0052321E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”</w:t>
      </w:r>
      <w:r w:rsidRPr="0052321E">
        <w:rPr>
          <w:rFonts w:ascii="Arial" w:hAnsi="Arial" w:cs="Arial"/>
          <w:bCs/>
          <w:color w:val="000000" w:themeColor="text1"/>
          <w:sz w:val="18"/>
          <w:szCs w:val="18"/>
          <w:lang w:val="es-ES_tradnl"/>
        </w:rPr>
        <w:t xml:space="preserve"> (subraya y negrilla fuera de texto)</w:t>
      </w:r>
    </w:p>
    <w:p w14:paraId="7ADD12F8" w14:textId="77777777" w:rsidR="00730E78" w:rsidRDefault="00730E7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59303B4B" w14:textId="3063FFC5" w:rsidR="0074743D" w:rsidRDefault="00730E7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Dado lo anterior, la Corte Constitucional en reiterada jurisprudencia ha señalado que en el procedimiento contravencional está proscrita la responsabilidad objetiva, como se analiza a continuación:</w:t>
      </w:r>
    </w:p>
    <w:p w14:paraId="5E6D2AA1" w14:textId="1D095368" w:rsidR="00730E78" w:rsidRDefault="00730E7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2640A00B" w14:textId="075802EF" w:rsidR="00730E78" w:rsidRDefault="00730E78" w:rsidP="00730E7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sentencia </w:t>
      </w:r>
      <w:r w:rsidRPr="0052321E">
        <w:rPr>
          <w:rFonts w:ascii="Arial" w:hAnsi="Arial" w:cs="Arial"/>
          <w:b/>
          <w:bCs/>
          <w:color w:val="000000" w:themeColor="text1"/>
          <w:sz w:val="18"/>
          <w:szCs w:val="18"/>
          <w:lang w:val="es-ES_tradnl"/>
        </w:rPr>
        <w:t>C-530 de 2003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declaró </w:t>
      </w:r>
      <w:r w:rsidRPr="0052321E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val="es-ES_tradnl"/>
        </w:rPr>
        <w:t>INEXEQUIBLE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el aparte final del inciso primero del artículo 129 de la Ley 769 de 2002, cuyo texto era el siguiente: </w:t>
      </w:r>
    </w:p>
    <w:p w14:paraId="5675408C" w14:textId="77777777" w:rsidR="00730E78" w:rsidRPr="0052321E" w:rsidRDefault="00730E78" w:rsidP="00730E78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184894E6" w14:textId="77777777" w:rsidR="00730E78" w:rsidRPr="0052321E" w:rsidRDefault="00730E78" w:rsidP="00730E78">
      <w:pPr>
        <w:ind w:left="708" w:right="566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>“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>en caso de no concurrir se impondrá la sanción al propietario registrado del vehículo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>.”</w:t>
      </w:r>
    </w:p>
    <w:p w14:paraId="3384F94C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lastRenderedPageBreak/>
        <w:t xml:space="preserve">Que la misma sentencia </w:t>
      </w:r>
      <w:r w:rsidRPr="0052321E">
        <w:rPr>
          <w:rFonts w:ascii="Arial" w:hAnsi="Arial" w:cs="Arial"/>
          <w:b/>
          <w:bCs/>
          <w:color w:val="000000" w:themeColor="text1"/>
          <w:sz w:val="18"/>
          <w:szCs w:val="18"/>
          <w:lang w:val="es-ES_tradnl"/>
        </w:rPr>
        <w:t>C-530 de 2003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declaró exequible bajo </w:t>
      </w:r>
      <w:r w:rsidRPr="0052321E">
        <w:rPr>
          <w:rFonts w:ascii="Arial" w:hAnsi="Arial" w:cs="Arial"/>
          <w:b/>
          <w:bCs/>
          <w:sz w:val="18"/>
          <w:szCs w:val="18"/>
          <w:u w:val="single"/>
          <w:lang w:val="es-ES_tradnl"/>
        </w:rPr>
        <w:t>CONDICIONAMIENTO</w:t>
      </w:r>
      <w:r w:rsidRPr="0052321E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el aparte final del inciso 1º del artículo 129 de la Ley 769 de 2002, cuyo texto es el siguiente: </w:t>
      </w:r>
    </w:p>
    <w:p w14:paraId="0F5CA5DD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053CD2C" w14:textId="77777777" w:rsidR="00730E78" w:rsidRPr="0052321E" w:rsidRDefault="00730E78" w:rsidP="00730E78">
      <w:pPr>
        <w:ind w:left="708"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sz w:val="18"/>
          <w:szCs w:val="18"/>
          <w:lang w:val="es-ES_tradnl"/>
        </w:rPr>
        <w:t>“</w:t>
      </w:r>
      <w:r w:rsidRPr="0052321E">
        <w:rPr>
          <w:rFonts w:ascii="Arial" w:hAnsi="Arial" w:cs="Arial"/>
          <w:i/>
          <w:iCs/>
          <w:sz w:val="18"/>
          <w:szCs w:val="18"/>
          <w:lang w:val="es-ES_tradnl"/>
        </w:rPr>
        <w:t>si no fuere viable identificarlo, se notificará al último propietario registrado del vehículo, para que rinda sus descargos dentro de los siguientes diez (10) días al recibo de la notificación.”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F31289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1AEDDB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sz w:val="18"/>
          <w:szCs w:val="18"/>
          <w:lang w:val="es-ES_tradnl"/>
        </w:rPr>
        <w:t>Que tal declaración de condicionalidad obedeció a que:</w:t>
      </w:r>
    </w:p>
    <w:p w14:paraId="6D23CD76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18E1F15" w14:textId="77777777" w:rsidR="00730E78" w:rsidRPr="0052321E" w:rsidRDefault="00730E78" w:rsidP="00730E78">
      <w:pPr>
        <w:ind w:left="708" w:right="616"/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52321E">
        <w:rPr>
          <w:rFonts w:ascii="Arial" w:hAnsi="Arial" w:cs="Arial"/>
          <w:sz w:val="18"/>
          <w:szCs w:val="18"/>
          <w:lang w:val="es-ES_tradnl"/>
        </w:rPr>
        <w:t>“</w:t>
      </w:r>
      <w:r w:rsidRPr="0052321E">
        <w:rPr>
          <w:rFonts w:ascii="Arial" w:hAnsi="Arial" w:cs="Arial"/>
          <w:i/>
          <w:iCs/>
          <w:sz w:val="18"/>
          <w:szCs w:val="18"/>
          <w:lang w:val="es-ES_tradnl"/>
        </w:rPr>
        <w:t xml:space="preserve">La constitucionalidad de este fragmento se da en el entendido, que el 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 xml:space="preserve">propietario sólo será llamado a descargos, 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cuando existan elementos probatorios que permitan inferir que probablemente es el responsable de la infracción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 xml:space="preserve">.” </w:t>
      </w:r>
      <w:r w:rsidRPr="0052321E">
        <w:rPr>
          <w:rFonts w:ascii="Arial" w:hAnsi="Arial" w:cs="Arial"/>
          <w:sz w:val="18"/>
          <w:szCs w:val="18"/>
          <w:lang w:val="es-ES_tradnl"/>
        </w:rPr>
        <w:t>(subraya y negrilla fuera de texto)</w:t>
      </w:r>
    </w:p>
    <w:p w14:paraId="144B1BCF" w14:textId="77777777" w:rsidR="00730E78" w:rsidRPr="0052321E" w:rsidRDefault="00730E78" w:rsidP="00730E78">
      <w:pPr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</w:p>
    <w:p w14:paraId="20768A00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sz w:val="18"/>
          <w:szCs w:val="18"/>
          <w:lang w:val="es-ES_tradnl"/>
        </w:rPr>
        <w:t xml:space="preserve">Que la referenciada sentencia </w:t>
      </w:r>
      <w:r w:rsidRPr="0052321E">
        <w:rPr>
          <w:rFonts w:ascii="Arial" w:hAnsi="Arial" w:cs="Arial"/>
          <w:b/>
          <w:bCs/>
          <w:sz w:val="18"/>
          <w:szCs w:val="18"/>
          <w:lang w:val="es-ES_tradnl"/>
        </w:rPr>
        <w:t>C-530 de 2003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 declaró exequible bajo </w:t>
      </w:r>
      <w:r w:rsidRPr="0052321E">
        <w:rPr>
          <w:rFonts w:ascii="Arial" w:hAnsi="Arial" w:cs="Arial"/>
          <w:b/>
          <w:bCs/>
          <w:sz w:val="18"/>
          <w:szCs w:val="18"/>
          <w:u w:val="single"/>
          <w:lang w:val="es-ES_tradnl"/>
        </w:rPr>
        <w:t>CONDICIONAMIENTO</w:t>
      </w:r>
      <w:r w:rsidRPr="0052321E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el tercer inciso del artículo 137 de la Ley 769 de 2002, cuyo texto es el siguiente: </w:t>
      </w:r>
    </w:p>
    <w:p w14:paraId="7E98E582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A99F51" w14:textId="77777777" w:rsidR="00730E78" w:rsidRPr="0052321E" w:rsidRDefault="00730E78" w:rsidP="00730E78">
      <w:pPr>
        <w:ind w:left="708" w:right="616"/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i/>
          <w:iCs/>
          <w:sz w:val="18"/>
          <w:szCs w:val="18"/>
          <w:lang w:val="es-ES_tradnl"/>
        </w:rPr>
        <w:t>“Si no se presentare el citado a rendir sus descargos ni solicitare pruebas que desvirtúen la comisión de la infracción, se registrará la sanción a su cargo en el Registro de Conductores e infractores, en concordancia con lo dispuesto por el presente código.”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51C043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349C261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sz w:val="18"/>
          <w:szCs w:val="18"/>
          <w:lang w:val="es-ES_tradnl"/>
        </w:rPr>
        <w:t>Que tal declaración obedeció a que;</w:t>
      </w:r>
    </w:p>
    <w:p w14:paraId="5FB2B643" w14:textId="77777777" w:rsidR="00730E78" w:rsidRPr="0052321E" w:rsidRDefault="00730E78" w:rsidP="00730E7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071CED" w14:textId="77777777" w:rsidR="00730E78" w:rsidRPr="0052321E" w:rsidRDefault="00730E78" w:rsidP="00730E78">
      <w:pPr>
        <w:ind w:left="708" w:right="1138"/>
        <w:jc w:val="both"/>
        <w:rPr>
          <w:rFonts w:ascii="Arial" w:hAnsi="Arial" w:cs="Arial"/>
          <w:sz w:val="18"/>
          <w:szCs w:val="18"/>
          <w:lang w:val="es-ES_tradnl"/>
        </w:rPr>
      </w:pPr>
      <w:r w:rsidRPr="0052321E">
        <w:rPr>
          <w:rFonts w:ascii="Arial" w:hAnsi="Arial" w:cs="Arial"/>
          <w:sz w:val="18"/>
          <w:szCs w:val="18"/>
          <w:lang w:val="es-ES_tradnl"/>
        </w:rPr>
        <w:t>“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lang w:val="es-ES_tradnl"/>
        </w:rPr>
        <w:t xml:space="preserve">Deberá entenderse que la sanción sólo puede imponerse cuando 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aparezca plenamente comprobado que el citado es el infractor</w:t>
      </w:r>
      <w:r w:rsidRPr="0052321E">
        <w:rPr>
          <w:rFonts w:ascii="Arial" w:hAnsi="Arial" w:cs="Arial"/>
          <w:b/>
          <w:bCs/>
          <w:sz w:val="18"/>
          <w:szCs w:val="18"/>
          <w:lang w:val="es-ES_tradnl"/>
        </w:rPr>
        <w:t>.”</w:t>
      </w:r>
      <w:r w:rsidRPr="0052321E">
        <w:rPr>
          <w:rFonts w:ascii="Arial" w:hAnsi="Arial" w:cs="Arial"/>
          <w:sz w:val="18"/>
          <w:szCs w:val="18"/>
          <w:lang w:val="es-ES_tradnl"/>
        </w:rPr>
        <w:t xml:space="preserve"> (subraya y negrilla fuera de texto)</w:t>
      </w:r>
    </w:p>
    <w:p w14:paraId="09D18C5C" w14:textId="77777777" w:rsidR="00730E78" w:rsidRDefault="00730E7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36D2E6CE" w14:textId="620963FF" w:rsidR="00F8188D" w:rsidRPr="0052321E" w:rsidRDefault="00F8188D" w:rsidP="00F8188D">
      <w:pPr>
        <w:ind w:right="49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Por último, la Corte Constitucional en sentencia 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C-038 de 2020, declaró la </w:t>
      </w:r>
      <w:r w:rsidRPr="0052321E">
        <w:rPr>
          <w:rFonts w:ascii="Arial" w:hAnsi="Arial" w:cs="Arial"/>
          <w:b/>
          <w:bCs/>
          <w:color w:val="000000" w:themeColor="text1"/>
          <w:sz w:val="18"/>
          <w:szCs w:val="18"/>
          <w:lang w:val="es-ES_tradnl"/>
        </w:rPr>
        <w:t>INEXEQUIBILIDAD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del parágrafo 1 del artículo 8 de la ley 1843 de 2017, cuyo texto era:</w:t>
      </w:r>
    </w:p>
    <w:p w14:paraId="53ED44A7" w14:textId="77777777" w:rsidR="00F8188D" w:rsidRPr="0052321E" w:rsidRDefault="00F8188D" w:rsidP="00F8188D">
      <w:pPr>
        <w:ind w:right="616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506F9003" w14:textId="77777777" w:rsidR="00F8188D" w:rsidRPr="0052321E" w:rsidRDefault="00F8188D" w:rsidP="00F8188D">
      <w:pPr>
        <w:ind w:left="708" w:right="566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>“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>El propietario del vehículo será solidariamente responsable con el conductor, previa su vinculación al proceso contravencional, a través de la notificación del comparendo en los términos previstos en el presente artículo, permitiendo que ejerza su derecho de defensa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>.”</w:t>
      </w:r>
    </w:p>
    <w:p w14:paraId="62F498A8" w14:textId="77777777" w:rsidR="00F8188D" w:rsidRPr="0052321E" w:rsidRDefault="00F8188D" w:rsidP="00F8188D">
      <w:pPr>
        <w:ind w:left="708" w:right="1138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5C914F81" w14:textId="318B1244" w:rsidR="00F8188D" w:rsidRPr="0052321E" w:rsidRDefault="00F8188D" w:rsidP="008B6F9B">
      <w:pPr>
        <w:ind w:right="-1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>La anterior INEXIQUIBILIDAD obedeció a que la Corte, nuevamente se pronunció respecto de la responsabilidad objetiva y subjetiva, reiterando lo que ya había analizado en los últimos 20 años</w:t>
      </w:r>
      <w:r w:rsidR="008B6F9B">
        <w:rPr>
          <w:rFonts w:ascii="Arial" w:hAnsi="Arial" w:cs="Arial"/>
          <w:color w:val="000000" w:themeColor="text1"/>
          <w:sz w:val="18"/>
          <w:szCs w:val="18"/>
          <w:lang w:val="es-ES_tradnl"/>
        </w:rPr>
        <w:t>, así</w:t>
      </w: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>:</w:t>
      </w:r>
    </w:p>
    <w:p w14:paraId="4DA3E5F9" w14:textId="77777777" w:rsidR="00F8188D" w:rsidRPr="0052321E" w:rsidRDefault="00F8188D" w:rsidP="00F8188D">
      <w:pPr>
        <w:ind w:right="1138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23BA60B1" w14:textId="77777777" w:rsidR="00F8188D" w:rsidRPr="0052321E" w:rsidRDefault="00F8188D" w:rsidP="00F8188D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“(…) 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u w:val="single"/>
          <w:lang w:val="es-ES_tradnl"/>
        </w:rPr>
        <w:t>la propiedad del vehículo no tiene la fuerza probatoria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 necesaria para demostrar </w:t>
      </w:r>
      <w:r w:rsidRPr="0052321E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_tradnl"/>
        </w:rPr>
        <w:t>quién personalmente realizó el comportamiento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 tipificado.</w:t>
      </w:r>
    </w:p>
    <w:p w14:paraId="401C3AF8" w14:textId="77777777" w:rsidR="00F8188D" w:rsidRPr="0052321E" w:rsidRDefault="00F8188D" w:rsidP="00F8188D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</w:pPr>
    </w:p>
    <w:p w14:paraId="160F1FAD" w14:textId="77777777" w:rsidR="00F8188D" w:rsidRPr="0052321E" w:rsidRDefault="00F8188D" w:rsidP="00F8188D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(…) la solidaridad sancionatoria que </w:t>
      </w:r>
      <w:r w:rsidRPr="0052321E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_tradnl"/>
        </w:rPr>
        <w:t>no exige imputación personal de la infracción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 “implicaría no sólo permitir que </w:t>
      </w:r>
      <w:r w:rsidRPr="0052321E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_tradnl"/>
        </w:rPr>
        <w:t>las autoridades evadan su obligación de identificar al real infractor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, </w:t>
      </w:r>
      <w:r w:rsidRPr="0052321E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_tradnl"/>
        </w:rPr>
        <w:t>sino que haría responsable al propietario, a pesar de que no haya tenido ninguna participación en la infracción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”, ya que </w:t>
      </w:r>
      <w:r w:rsidRPr="0052321E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_tradnl"/>
        </w:rPr>
        <w:t>releva inconstitucionalmente a la administración pública, del mínimo deber probatorio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u w:val="single"/>
          <w:lang w:val="es-ES_tradnl"/>
        </w:rPr>
        <w:t xml:space="preserve"> exigido para el ejercicio legítimo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 xml:space="preserve"> del poder punitivo estatal (ius puniendi), en el Estado constitucional de Derecho, </w:t>
      </w:r>
      <w:r w:rsidRPr="0052321E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lang w:val="es-ES_tradnl"/>
        </w:rPr>
        <w:t>consistente en identificar y demostrar quién es la persona que cometió la infracción</w:t>
      </w:r>
      <w:r w:rsidRPr="0052321E"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  <w:t>.</w:t>
      </w:r>
    </w:p>
    <w:p w14:paraId="5D3EF2AF" w14:textId="77777777" w:rsidR="00F8188D" w:rsidRPr="0052321E" w:rsidRDefault="00F8188D" w:rsidP="00F8188D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</w:pPr>
    </w:p>
    <w:p w14:paraId="52F0FE50" w14:textId="77777777" w:rsidR="00F8188D" w:rsidRPr="0052321E" w:rsidRDefault="00F8188D" w:rsidP="00F8188D">
      <w:pPr>
        <w:pStyle w:val="Prrafodelista"/>
        <w:ind w:left="708" w:right="56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lang w:val="es-ES_tradnl"/>
        </w:rPr>
      </w:pPr>
      <w:r w:rsidRPr="0052321E">
        <w:rPr>
          <w:rFonts w:ascii="Arial" w:hAnsi="Arial" w:cs="Arial"/>
          <w:i/>
          <w:iCs/>
          <w:sz w:val="18"/>
          <w:szCs w:val="18"/>
          <w:lang w:val="es-ES_tradnl"/>
        </w:rPr>
        <w:t>Ahora bien, la imputabilidad o 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responsabilidad personal</w:t>
      </w:r>
      <w:r w:rsidRPr="0052321E">
        <w:rPr>
          <w:rFonts w:ascii="Arial" w:hAnsi="Arial" w:cs="Arial"/>
          <w:i/>
          <w:iCs/>
          <w:sz w:val="18"/>
          <w:szCs w:val="18"/>
          <w:lang w:val="es-ES_tradnl"/>
        </w:rPr>
        <w:t xml:space="preserve">, que exige que la sanción se predique </w:t>
      </w:r>
      <w:r w:rsidRPr="0052321E">
        <w:rPr>
          <w:rFonts w:ascii="Arial" w:hAnsi="Arial" w:cs="Arial"/>
          <w:i/>
          <w:iCs/>
          <w:sz w:val="18"/>
          <w:szCs w:val="18"/>
          <w:u w:val="single"/>
          <w:lang w:val="es-ES_tradnl"/>
        </w:rPr>
        <w:t xml:space="preserve">únicamente respecto de las 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acciones</w:t>
      </w:r>
      <w:r w:rsidRPr="0052321E">
        <w:rPr>
          <w:rFonts w:ascii="Arial" w:hAnsi="Arial" w:cs="Arial"/>
          <w:i/>
          <w:iCs/>
          <w:sz w:val="18"/>
          <w:szCs w:val="18"/>
          <w:lang w:val="es-ES_tradnl"/>
        </w:rPr>
        <w:t xml:space="preserve"> (…) propias del infractor es una exigencia transversal que </w:t>
      </w:r>
      <w:r w:rsidRPr="0052321E">
        <w:rPr>
          <w:rFonts w:ascii="Arial" w:hAnsi="Arial" w:cs="Arial"/>
          <w:b/>
          <w:bCs/>
          <w:i/>
          <w:iCs/>
          <w:sz w:val="18"/>
          <w:szCs w:val="18"/>
          <w:u w:val="single"/>
          <w:lang w:val="es-ES_tradnl"/>
        </w:rPr>
        <w:t>no admite excepciones ni modulaciones en materia administrativa sancionatoria</w:t>
      </w:r>
      <w:r w:rsidRPr="0052321E">
        <w:rPr>
          <w:rFonts w:ascii="Arial" w:hAnsi="Arial" w:cs="Arial"/>
          <w:sz w:val="18"/>
          <w:szCs w:val="18"/>
          <w:lang w:val="es-ES_tradnl"/>
        </w:rPr>
        <w:t>” (subraya y negrilla fuera de texto)</w:t>
      </w:r>
    </w:p>
    <w:p w14:paraId="37A4BB95" w14:textId="28047F84" w:rsidR="00730E78" w:rsidRPr="00F8188D" w:rsidRDefault="008B6F9B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_tradnl"/>
        </w:rPr>
        <w:t xml:space="preserve">Así las cosas, es claro que tanto el ordenamiento jurídico como la jurisprudencia exigen dentro del proceso contravencional por infracción de tránsito que se demuestre sin lugar a duda quién fue la persona que cometió la infracción de tránsito pues el propietario del vehículo no puede responder por el simple hecho de ser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_tradnl"/>
        </w:rPr>
        <w:t>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_tradnl"/>
        </w:rPr>
        <w:t xml:space="preserve"> dueño del vehículo.</w:t>
      </w:r>
    </w:p>
    <w:p w14:paraId="2EBF3767" w14:textId="4F9CB668" w:rsidR="0074743D" w:rsidRDefault="007474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4A0E95C0" w14:textId="77590918" w:rsidR="008B6F9B" w:rsidRDefault="008B6F9B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Por lo anterior, y teniendo en cuenta que mediante </w:t>
      </w:r>
      <w:r w:rsidR="00172CF3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Resolución No. </w:t>
      </w:r>
      <w:proofErr w:type="gramStart"/>
      <w:r w:rsidR="00172CF3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sancionatory</w:t>
      </w:r>
      <w:proofErr w:type="gramEnd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_resolution_number</w:t>
      </w:r>
      <w:proofErr w:type="spellEnd"/>
      <w:r w:rsidR="00172CF3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}} del {{ </w:t>
      </w:r>
      <w:proofErr w:type="spellStart"/>
      <w:r w:rsidR="00691564" w:rsidRPr="00691564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sancionatory_resolution_date</w:t>
      </w:r>
      <w:proofErr w:type="spellEnd"/>
      <w:r w:rsidR="00172CF3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="006C74A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fue sancionado</w:t>
      </w:r>
      <w:r w:rsidR="004E7BBF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>if</w:t>
      </w:r>
      <w:proofErr w:type="spellEnd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proofErr w:type="spellStart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>client_type</w:t>
      </w:r>
      <w:proofErr w:type="spellEnd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== ‘Persona Natural’ %}</w:t>
      </w:r>
      <w:r w:rsidR="00ED237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ED237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ED237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>else</w:t>
      </w:r>
      <w:proofErr w:type="spellEnd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ED237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ED237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legal.name|upper</w:t>
      </w:r>
      <w:proofErr w:type="spellEnd"/>
      <w:r w:rsidR="00ED237E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>endif</w:t>
      </w:r>
      <w:proofErr w:type="spellEnd"/>
      <w:r w:rsidR="00ED237E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4E7BBF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4E7BBF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por la supuesta comisión de una infracción de tránsito</w:t>
      </w:r>
      <w:r w:rsidR="006C74A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sin que</w:t>
      </w:r>
      <w:r w:rsidR="004E7BBF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realmente</w:t>
      </w:r>
      <w:r w:rsidR="006C74A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existiera prueba alguna que demostrará </w:t>
      </w:r>
      <w:r w:rsidR="004E7BBF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su</w:t>
      </w:r>
      <w:r w:rsidR="006C74A5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culpabilidad y que</w:t>
      </w:r>
      <w:r w:rsidR="004E7BBF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lograra desvirtuar la presunción de inocencia. </w:t>
      </w:r>
    </w:p>
    <w:p w14:paraId="13E518CE" w14:textId="77777777" w:rsidR="00FD1B3D" w:rsidRDefault="00FD1B3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B5ADEB7" w14:textId="11589298" w:rsidR="009502D8" w:rsidRDefault="00AE5DEA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Es por lo anterior, que la presente denuncia tiene como 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fundamento los artículos 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286</w:t>
      </w:r>
      <w:r w:rsid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y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9502D8"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413 del Código Penal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, los cuales procedo a exponer a continuación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</w:t>
      </w:r>
    </w:p>
    <w:p w14:paraId="581ED970" w14:textId="77777777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3288780D" w14:textId="77777777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Respecto al delito de falsedad ideológica contenido en el artículo 286 de la ley 599 de 2000, la Corte Suprema de Justicia ha establecido:</w:t>
      </w:r>
    </w:p>
    <w:p w14:paraId="387266CF" w14:textId="77777777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7DEF61B" w14:textId="34756269" w:rsidR="009502D8" w:rsidRDefault="009502D8" w:rsidP="0074743D">
      <w:pPr>
        <w:ind w:left="700" w:right="566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“</w:t>
      </w:r>
      <w:r w:rsidRPr="00475383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 xml:space="preserve">se requiere que de un sujeto activo calificado que ostente la calidad de servidor público, y que en esa condición extienda documento público con aptitud probatoria, consignando una falsedad o callando total o parcialmente la verdad, independientemente de los efectos que ello produzca, pues, como lo ha sostenido la Corte en anteriores oportunidades, lo que la norma protege es la </w:t>
      </w:r>
      <w:r w:rsidRPr="00B04D0F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credibilidad en el contenido de tales documentos dada por el conglomerado</w:t>
      </w:r>
      <w:r w:rsidRPr="00475383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>, en cuanto se ha convenido otorgarles valor probatorio de las relaciones jurídico-sociales que allí se plasman</w:t>
      </w:r>
      <w:r w:rsidR="00B04D0F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>.</w:t>
      </w:r>
    </w:p>
    <w:p w14:paraId="164D2C17" w14:textId="77777777" w:rsidR="00B04D0F" w:rsidRDefault="00B04D0F" w:rsidP="009502D8">
      <w:pPr>
        <w:ind w:left="700" w:right="282"/>
        <w:jc w:val="both"/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F943AA8" w14:textId="77777777" w:rsidR="009502D8" w:rsidRPr="00F40A28" w:rsidRDefault="009502D8" w:rsidP="0074743D">
      <w:pPr>
        <w:ind w:left="700" w:right="566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475383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 xml:space="preserve">La falsedad se considera ideológica porque el documento no es falso en sus condiciones de existencia y autenticidad, sino que son </w:t>
      </w:r>
      <w:r w:rsidRPr="00B04D0F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mentirosas las afirmaciones que contiene</w:t>
      </w:r>
      <w:r w:rsidRPr="00475383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>. Y, para su estructuración no se exige la acreditación de una motivación especial, o un provecho, como si se tratara de un ingrediente subjetivo, sino que el mismo se agota, en sede de tipicidad, con el conocimiento de los hechos y la voluntad, y en el escaño de la culpabilidad, con el conocimiento de la antijuridicidad del comportamiento, esto es, “</w:t>
      </w:r>
      <w:r w:rsidRPr="00B04D0F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reside en la conciencia y voluntad de plasmar en su condición de funcionario público y persona imputable, hechos ajenos a la verdad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”</w:t>
      </w:r>
      <w:r>
        <w:rPr>
          <w:rStyle w:val="Refdenotaalpie"/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footnoteReference w:id="1"/>
      </w:r>
      <w:r w:rsidRPr="003D1EA6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(subraya y negrilla fuera de texto)</w:t>
      </w:r>
    </w:p>
    <w:p w14:paraId="549B187F" w14:textId="77777777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D079554" w14:textId="12C49BFC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Así las cosas, se ha </w:t>
      </w:r>
      <w:r w:rsidR="00AE5DEA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señalado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respecto a este delito:</w:t>
      </w:r>
    </w:p>
    <w:p w14:paraId="06F8A584" w14:textId="77777777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0BF25EF2" w14:textId="77777777" w:rsidR="009502D8" w:rsidRDefault="009502D8" w:rsidP="00AE5DEA">
      <w:pPr>
        <w:ind w:left="708" w:right="566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“</w:t>
      </w:r>
      <w:r w:rsidRPr="003D1EA6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 xml:space="preserve">Así se demuestra cabalmente que en este caso el delito desbordó la antijuridicidad simplemente formal que remite a la afectación de la fe pública como ente abstracto, pues, el hecho ejecutado </w:t>
      </w:r>
      <w:r w:rsidRPr="003D1EA6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puso en efectivo peligro otros intereses concretos, relacionados con la confianza que se tiene en la administración de justicia</w:t>
      </w:r>
      <w:r w:rsidRPr="00475383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”</w:t>
      </w:r>
      <w:r>
        <w:rPr>
          <w:rStyle w:val="Refdenotaalpie"/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footnoteReference w:id="2"/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(subraya y negrilla fuera de texto)</w:t>
      </w:r>
    </w:p>
    <w:p w14:paraId="6C3120E9" w14:textId="77777777" w:rsidR="009502D8" w:rsidRDefault="009502D8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33C870EC" w14:textId="456FF47D" w:rsidR="009502D8" w:rsidRPr="003D1EA6" w:rsidRDefault="008C7EE9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Por lo anterior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, el actuar del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servidor público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al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declarar la culpabilidad sin tener prueba alguna que logre demostrar el actuar del inculpado </w:t>
      </w:r>
      <w:r w:rsidR="009502D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evidencia una presunta falsedad ya que no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es posible establecer si realmente</w:t>
      </w:r>
      <w:r w:rsidR="00913679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>if</w:t>
      </w:r>
      <w:proofErr w:type="spellEnd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proofErr w:type="spellStart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>client_type</w:t>
      </w:r>
      <w:proofErr w:type="spellEnd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== ‘Persona Natural’ </w:t>
      </w:r>
      <w:proofErr w:type="gramStart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>%}</w:t>
      </w:r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{</w:t>
      </w:r>
      <w:proofErr w:type="gramEnd"/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 </w:t>
      </w:r>
      <w:proofErr w:type="spellStart"/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>else</w:t>
      </w:r>
      <w:proofErr w:type="spellEnd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legal.name|upper</w:t>
      </w:r>
      <w:proofErr w:type="spellEnd"/>
      <w:r w:rsidR="00183A2F" w:rsidRPr="00C27627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{% </w:t>
      </w:r>
      <w:proofErr w:type="spellStart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>endif</w:t>
      </w:r>
      <w:proofErr w:type="spellEnd"/>
      <w:r w:rsidR="00183A2F" w:rsidRPr="00C27627">
        <w:rPr>
          <w:rFonts w:ascii="Arial" w:hAnsi="Arial" w:cs="Arial"/>
          <w:iCs/>
          <w:color w:val="000000" w:themeColor="text1"/>
          <w:sz w:val="18"/>
          <w:szCs w:val="18"/>
        </w:rPr>
        <w:t xml:space="preserve"> %}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cometió o no la infracción de tránsito.</w:t>
      </w:r>
    </w:p>
    <w:p w14:paraId="2BA0E554" w14:textId="77777777" w:rsidR="009502D8" w:rsidRDefault="009502D8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470AE0A1" w14:textId="77777777" w:rsidR="004A11A1" w:rsidRDefault="009502D8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Respecto al delito de prevaricato por acción contenido en el artículo 413 de la ley 599 de 2000</w:t>
      </w:r>
      <w:r w:rsid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, tal delito se define como:</w:t>
      </w:r>
    </w:p>
    <w:p w14:paraId="667C586E" w14:textId="77777777" w:rsidR="004A11A1" w:rsidRDefault="004A11A1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4182642A" w14:textId="4CB88CB2" w:rsidR="004A11A1" w:rsidRDefault="004A11A1" w:rsidP="004A11A1">
      <w:pPr>
        <w:ind w:left="700" w:right="566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“</w:t>
      </w:r>
      <w:r w:rsidRPr="004A11A1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 xml:space="preserve">El servidor público que profiera resolución, dictamen o concepto </w:t>
      </w:r>
      <w:r w:rsidRPr="004A11A1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  <w:u w:val="single"/>
          <w:shd w:val="clear" w:color="auto" w:fill="FFFFFF"/>
          <w:lang w:val="es-ES"/>
        </w:rPr>
        <w:t>manifiestamente contrario a la ley</w:t>
      </w:r>
      <w:r w:rsidRPr="004A11A1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 xml:space="preserve"> (…</w:t>
      </w:r>
      <w:proofErr w:type="gramStart"/>
      <w:r w:rsidRPr="004A11A1">
        <w:rPr>
          <w:rFonts w:ascii="Arial" w:hAnsi="Arial" w:cs="Arial"/>
          <w:i/>
          <w:iCs/>
          <w:color w:val="000000" w:themeColor="text1"/>
          <w:sz w:val="18"/>
          <w:szCs w:val="18"/>
          <w:shd w:val="clear" w:color="auto" w:fill="FFFFFF"/>
          <w:lang w:val="es-ES"/>
        </w:rPr>
        <w:t>)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”(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subraya y negrilla fuera de texto)</w:t>
      </w:r>
    </w:p>
    <w:p w14:paraId="15D77B5B" w14:textId="77777777" w:rsidR="004A11A1" w:rsidRDefault="004A11A1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D0ACF3A" w14:textId="5FE4A31C" w:rsidR="004A11A1" w:rsidRDefault="004A11A1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De la anterior cita se concluye que la resolución No. </w:t>
      </w:r>
      <w:proofErr w:type="gramStart"/>
      <w:r w:rsidRP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{{ </w:t>
      </w:r>
      <w:proofErr w:type="spellStart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sancionatory</w:t>
      </w:r>
      <w:proofErr w:type="gramEnd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_resolution_number</w:t>
      </w:r>
      <w:proofErr w:type="spellEnd"/>
      <w:r w:rsidRP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}} del {{ </w:t>
      </w:r>
      <w:proofErr w:type="spellStart"/>
      <w:r w:rsidR="00691564" w:rsidRPr="0069156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sancionatory_resolution_date</w:t>
      </w:r>
      <w:proofErr w:type="spellEnd"/>
      <w:r w:rsidRP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}} contraría la Ley 769 de 2002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pues fue impuesta la multa a una persona de la cual no se sabe si cometió o no la infracción y como bien fue ya citado, la multa solo puede ser impuesta a la persona que cometió la infracción.</w:t>
      </w:r>
    </w:p>
    <w:p w14:paraId="4C2C7BA0" w14:textId="618F8C41" w:rsidR="002813A7" w:rsidRDefault="002813A7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5B047F5D" w14:textId="15DF69B4" w:rsidR="002813A7" w:rsidRDefault="002813A7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Por otro lado, no es claro cómo dicha resolución puede sancionar a una persona sin prueba alguna y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aún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así no estar aplicando la responsabilidad solidaria que fue declarada inexequible mediante sentencia C-038 de 2020, toda vez que tal disposición evidentemente contrariaba los </w:t>
      </w:r>
      <w:proofErr w:type="gramStart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principio constitucionales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del estado Colombiano.</w:t>
      </w:r>
    </w:p>
    <w:p w14:paraId="36E6EAD2" w14:textId="53CB3841" w:rsidR="002813A7" w:rsidRDefault="002813A7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3639F7C5" w14:textId="65213EEF" w:rsidR="002813A7" w:rsidRDefault="002813A7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Por último, debe advertirse a la Fiscalía que la Procuraduría General de la Nación desde el 22 de febrero de 2021 profirió el Boletín No. 149, diri</w:t>
      </w:r>
      <w:r w:rsidR="00194AAE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gido a las diferentes secretarías de movilidad pues estás estaban sancionando a las personas sin tener pruebas y aplicando la responsabilidad objetiva que se encuentra proscrita en </w:t>
      </w:r>
      <w:proofErr w:type="spellStart"/>
      <w:r w:rsidR="00194AAE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colombia</w:t>
      </w:r>
      <w:proofErr w:type="spellEnd"/>
      <w:r w:rsidR="00194AAE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</w:t>
      </w:r>
    </w:p>
    <w:p w14:paraId="47784605" w14:textId="6C22F692" w:rsidR="00194AAE" w:rsidRDefault="00194AAE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169399BF" w14:textId="7B032987" w:rsidR="004A11A1" w:rsidRDefault="00194AAE" w:rsidP="00194AAE">
      <w:pPr>
        <w:ind w:right="282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4786E">
        <w:rPr>
          <w:rFonts w:ascii="Arial" w:hAnsi="Arial" w:cs="Arial"/>
          <w:noProof/>
          <w:sz w:val="18"/>
          <w:szCs w:val="18"/>
          <w:lang w:val="es-ES_tradnl"/>
        </w:rPr>
        <w:lastRenderedPageBreak/>
        <w:drawing>
          <wp:inline distT="0" distB="0" distL="0" distR="0" wp14:anchorId="105DF365" wp14:editId="7F4F2A80">
            <wp:extent cx="3008445" cy="2674173"/>
            <wp:effectExtent l="0" t="0" r="190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289" cy="26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90F8" w14:textId="77777777" w:rsidR="009502D8" w:rsidRPr="00F40A28" w:rsidRDefault="009502D8" w:rsidP="009502D8">
      <w:pPr>
        <w:ind w:right="282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E4345C6" w14:textId="77777777" w:rsidR="009502D8" w:rsidRPr="00F40A28" w:rsidRDefault="009502D8" w:rsidP="009502D8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PRUEBAS</w:t>
      </w:r>
    </w:p>
    <w:p w14:paraId="15D881F1" w14:textId="77777777" w:rsidR="009502D8" w:rsidRPr="00F40A28" w:rsidRDefault="009502D8" w:rsidP="009502D8">
      <w:pPr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DFDB931" w14:textId="77777777" w:rsidR="009502D8" w:rsidRPr="00F40A28" w:rsidRDefault="009502D8" w:rsidP="009502D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Solicito muy respetuosamente, señor Fiscal, se sirva practicar las siguientes pruebas:</w:t>
      </w:r>
    </w:p>
    <w:p w14:paraId="79B660F1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6F96149E" w14:textId="77777777" w:rsidR="00194AAE" w:rsidRDefault="009502D8" w:rsidP="00194A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194AAE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Escuchar en testimonio juramentado a la siguiente persona:</w:t>
      </w:r>
    </w:p>
    <w:p w14:paraId="05774D23" w14:textId="251CFC10" w:rsidR="009502D8" w:rsidRPr="00194AAE" w:rsidRDefault="00194AAE" w:rsidP="00194AA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proofErr w:type="gramStart"/>
      <w:r w:rsidRPr="00194AAE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Pr="00194AAE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public</w:t>
      </w:r>
      <w:proofErr w:type="gramEnd"/>
      <w:r w:rsidRPr="00194AAE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_officer_name|upper</w:t>
      </w:r>
      <w:proofErr w:type="spellEnd"/>
      <w:r w:rsidRPr="00194AAE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="00E5400D" w:rsidRPr="00E5400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</w:t>
      </w:r>
    </w:p>
    <w:p w14:paraId="4CD6FA53" w14:textId="77777777" w:rsidR="009502D8" w:rsidRPr="00F40A28" w:rsidRDefault="009502D8" w:rsidP="009502D8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6E4E2E59" w14:textId="0640D77D" w:rsidR="009502D8" w:rsidRDefault="009502D8" w:rsidP="00194A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194AAE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Tener como prueba el siguiente material documental de suma importancia para este asunto:</w:t>
      </w:r>
    </w:p>
    <w:p w14:paraId="25F7D91D" w14:textId="7754684F" w:rsidR="009502D8" w:rsidRPr="00E5400D" w:rsidRDefault="00E5400D" w:rsidP="009502D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Resolución No. </w:t>
      </w:r>
      <w:proofErr w:type="gramStart"/>
      <w:r w:rsidRP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{{ </w:t>
      </w:r>
      <w:proofErr w:type="spellStart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sancionatory</w:t>
      </w:r>
      <w:proofErr w:type="gramEnd"/>
      <w:r w:rsidR="00F67776" w:rsidRPr="00F6777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_resolution_number</w:t>
      </w:r>
      <w:proofErr w:type="spellEnd"/>
      <w:r w:rsidRP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}} del {{ </w:t>
      </w:r>
      <w:proofErr w:type="spellStart"/>
      <w:r w:rsidR="00691564" w:rsidRPr="0069156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sancionatory_resolution_date</w:t>
      </w:r>
      <w:proofErr w:type="spellEnd"/>
      <w:r w:rsidRPr="004A11A1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}}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</w:t>
      </w:r>
    </w:p>
    <w:p w14:paraId="3050E283" w14:textId="77777777" w:rsidR="009502D8" w:rsidRPr="00F40A28" w:rsidRDefault="009502D8" w:rsidP="009502D8">
      <w:pPr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ANEXOS</w:t>
      </w:r>
    </w:p>
    <w:p w14:paraId="2A0E7F2D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0931B50C" w14:textId="624ECAFD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Anexo los documentos relacionados como pruebas</w:t>
      </w:r>
      <w:r w:rsidR="00E5400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y los siguientes:</w:t>
      </w:r>
    </w:p>
    <w:p w14:paraId="03CE3FAE" w14:textId="1A6D9BAD" w:rsidR="00E5400D" w:rsidRDefault="00E5400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79FA0ECA" w14:textId="602A79A1" w:rsidR="00E5400D" w:rsidRPr="00E5400D" w:rsidRDefault="00E5400D" w:rsidP="00E540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Certificado de existencia y representación legal.</w:t>
      </w:r>
    </w:p>
    <w:p w14:paraId="52FB3CB7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5881B2E9" w14:textId="22385D09" w:rsidR="009502D8" w:rsidRPr="00F40A28" w:rsidRDefault="009502D8" w:rsidP="00AF7D6A">
      <w:pPr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NOTIFICACIONES</w:t>
      </w:r>
    </w:p>
    <w:p w14:paraId="1FBC121E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33EACCC" w14:textId="34961303" w:rsidR="00B6757C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El denunciado </w:t>
      </w:r>
      <w:r w:rsidR="00A9555F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las </w:t>
      </w:r>
      <w:r w:rsidR="00A9555F" w:rsidRPr="00682D22">
        <w:rPr>
          <w:rFonts w:ascii="Arial" w:hAnsi="Arial" w:cs="Arial"/>
          <w:sz w:val="18"/>
          <w:szCs w:val="18"/>
          <w:lang w:val="es-ES_tradnl"/>
        </w:rPr>
        <w:t xml:space="preserve">recibirá </w:t>
      </w:r>
      <w:r w:rsidR="00A9555F"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al correo electrónico:</w:t>
      </w:r>
    </w:p>
    <w:p w14:paraId="1D13E961" w14:textId="1FED00E3" w:rsidR="00B6757C" w:rsidRDefault="00B6757C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766AF312" w14:textId="77777777" w:rsidR="00B6757C" w:rsidRDefault="00B6757C" w:rsidP="00B6757C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  <w:proofErr w:type="gramStart"/>
      <w:r w:rsidRPr="00682D22"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email</w:t>
      </w:r>
      <w:proofErr w:type="gramEnd"/>
      <w:r w:rsidRPr="00682D22">
        <w:rPr>
          <w:rFonts w:ascii="Arial" w:hAnsi="Arial" w:cs="Arial"/>
          <w:color w:val="000000"/>
          <w:sz w:val="18"/>
          <w:szCs w:val="18"/>
          <w:lang w:val="es-ES_tradnl"/>
        </w:rPr>
        <w:t xml:space="preserve"> }}</w:t>
      </w:r>
    </w:p>
    <w:p w14:paraId="7FFBF086" w14:textId="77777777" w:rsidR="00B6757C" w:rsidRPr="003F33C4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3F33C4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2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NA@gmail.com’ %}</w:t>
      </w:r>
    </w:p>
    <w:p w14:paraId="7F472F99" w14:textId="77777777" w:rsidR="00B6757C" w:rsidRPr="008B0937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2 }}</w:t>
      </w:r>
    </w:p>
    <w:p w14:paraId="68FA0893" w14:textId="77777777" w:rsidR="00B6757C" w:rsidRPr="00087809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5B27E351" w14:textId="77777777" w:rsidR="00B6757C" w:rsidRPr="003F33C4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3F33C4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3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’NA@gmail.com’ %}</w:t>
      </w:r>
    </w:p>
    <w:p w14:paraId="24487431" w14:textId="77777777" w:rsidR="00B6757C" w:rsidRPr="008B0937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3 }}</w:t>
      </w:r>
    </w:p>
    <w:p w14:paraId="0A9E4682" w14:textId="77777777" w:rsidR="00B6757C" w:rsidRPr="002B0F45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503A05F" w14:textId="77777777" w:rsidR="00B6757C" w:rsidRPr="00517A2D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517A2D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4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 %}</w:t>
      </w:r>
    </w:p>
    <w:p w14:paraId="272C50BA" w14:textId="77777777" w:rsidR="00B6757C" w:rsidRPr="008B0937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4 }}</w:t>
      </w:r>
    </w:p>
    <w:p w14:paraId="6A21BEEB" w14:textId="77777777" w:rsidR="00B6757C" w:rsidRPr="0047670B" w:rsidRDefault="00B6757C" w:rsidP="00B6757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6247C55A" w14:textId="77777777" w:rsidR="00B6757C" w:rsidRDefault="00B6757C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B4A692A" w14:textId="77777777" w:rsidR="00B6757C" w:rsidRDefault="00B6757C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0D0FC346" w14:textId="0C633389" w:rsidR="009502D8" w:rsidRPr="00F40A28" w:rsidRDefault="00B6757C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Y</w:t>
      </w:r>
      <w:r w:rsidR="00E5400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en la sede principal de </w:t>
      </w:r>
      <w:proofErr w:type="gramStart"/>
      <w:r w:rsidR="00E5400D" w:rsidRPr="00E5400D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{{ </w:t>
      </w:r>
      <w:proofErr w:type="spellStart"/>
      <w:r w:rsidR="00E5400D" w:rsidRPr="00E5400D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company</w:t>
      </w:r>
      <w:proofErr w:type="gramEnd"/>
      <w:r w:rsidR="00E5400D" w:rsidRPr="00E5400D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>_or_entity_name|upper</w:t>
      </w:r>
      <w:proofErr w:type="spellEnd"/>
      <w:r w:rsidR="00E5400D" w:rsidRPr="00E5400D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  <w:lang w:val="es-ES"/>
        </w:rPr>
        <w:t xml:space="preserve"> }}</w:t>
      </w:r>
      <w:r w:rsidR="00E5400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.</w:t>
      </w:r>
    </w:p>
    <w:p w14:paraId="18693A28" w14:textId="77777777" w:rsidR="00E5400D" w:rsidRDefault="00E5400D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30C30BA7" w14:textId="01471EF9" w:rsidR="009502D8" w:rsidRPr="00F40A28" w:rsidRDefault="009502D8" w:rsidP="00B70F5D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El suscrito </w:t>
      </w:r>
      <w:r w:rsidR="00E5400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en el correo electrónico </w:t>
      </w:r>
      <w:hyperlink r:id="rId8" w:history="1">
        <w:r w:rsidR="00E5400D" w:rsidRPr="0011569B">
          <w:rPr>
            <w:rStyle w:val="Hipervnculo"/>
            <w:rFonts w:ascii="Arial" w:hAnsi="Arial" w:cs="Arial"/>
            <w:sz w:val="18"/>
            <w:szCs w:val="18"/>
            <w:shd w:val="clear" w:color="auto" w:fill="FFFFFF"/>
            <w:lang w:val="es-ES"/>
          </w:rPr>
          <w:t>fiscalias@juzto.co</w:t>
        </w:r>
      </w:hyperlink>
      <w:r w:rsidR="00E5400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y en la </w:t>
      </w:r>
      <w:r w:rsidR="00B70F5D" w:rsidRPr="00B70F5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Carrera 16 # 88 - 81 Oficina:</w:t>
      </w:r>
      <w:r w:rsidR="00B70F5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="00B70F5D" w:rsidRPr="00B70F5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504-2</w:t>
      </w:r>
      <w:r w:rsidR="00B70F5D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de la ciudad de Bogotá.</w:t>
      </w:r>
    </w:p>
    <w:p w14:paraId="45A2DA7D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13A4B891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Sin otro particular, me suscribo de usted,</w:t>
      </w:r>
    </w:p>
    <w:p w14:paraId="31494D45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64262B8D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761B81C" w14:textId="77777777" w:rsidR="009502D8" w:rsidRPr="00F40A2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  <w:r w:rsidRPr="00F40A28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>Atentamente,</w:t>
      </w:r>
    </w:p>
    <w:p w14:paraId="4E703197" w14:textId="026545B7" w:rsidR="009502D8" w:rsidRDefault="009502D8" w:rsidP="009502D8">
      <w:pPr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</w:pPr>
    </w:p>
    <w:p w14:paraId="27CCF8EE" w14:textId="77777777" w:rsidR="00DF7A39" w:rsidRPr="00682D22" w:rsidRDefault="00DF7A39" w:rsidP="00DF7A39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0" w:name="_Hlk62662346"/>
      <w:bookmarkStart w:id="1" w:name="_Hlk62981089"/>
      <w:r w:rsidRPr="00682D22">
        <w:rPr>
          <w:rFonts w:ascii="Arial" w:hAnsi="Arial" w:cs="Arial"/>
          <w:noProof/>
          <w:sz w:val="18"/>
          <w:szCs w:val="18"/>
          <w:lang w:eastAsia="es-CO"/>
        </w:rPr>
        <w:lastRenderedPageBreak/>
        <w:drawing>
          <wp:inline distT="0" distB="0" distL="0" distR="0" wp14:anchorId="2786815F" wp14:editId="6E1DDE25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7C61" w14:textId="77777777" w:rsidR="00DF7A39" w:rsidRPr="00682D22" w:rsidRDefault="00DF7A39" w:rsidP="00DF7A39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458E7EBD" w14:textId="77777777" w:rsidR="00DF7A39" w:rsidRPr="00682D22" w:rsidRDefault="00DF7A39" w:rsidP="00DF7A39">
      <w:pP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06A0E8EA" w14:textId="77777777" w:rsidR="00DF7A39" w:rsidRPr="00682D22" w:rsidRDefault="00DF7A39" w:rsidP="00DF7A39">
      <w:pP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464AA34E" w14:textId="30EF7E3D" w:rsidR="009502D8" w:rsidRPr="00AF1FC8" w:rsidRDefault="00DF7A39" w:rsidP="00DF7A39">
      <w:pP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0"/>
      <w:bookmarkEnd w:id="1"/>
    </w:p>
    <w:sectPr w:rsidR="009502D8" w:rsidRPr="00AF1FC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E676" w14:textId="77777777" w:rsidR="00541D5A" w:rsidRDefault="00541D5A" w:rsidP="009502D8">
      <w:r>
        <w:separator/>
      </w:r>
    </w:p>
  </w:endnote>
  <w:endnote w:type="continuationSeparator" w:id="0">
    <w:p w14:paraId="0FF58BC5" w14:textId="77777777" w:rsidR="00541D5A" w:rsidRDefault="00541D5A" w:rsidP="0095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5FF5" w14:textId="5ADC2E71" w:rsidR="00296132" w:rsidRPr="00D14B35" w:rsidRDefault="00BC6D1A" w:rsidP="00D14B35">
    <w:pPr>
      <w:pStyle w:val="Piedepgina"/>
      <w:jc w:val="right"/>
      <w:rPr>
        <w:lang w:val="es-ES"/>
      </w:rPr>
    </w:pPr>
    <w:r w:rsidRPr="000474B6">
      <w:rPr>
        <w:lang w:val="es-ES"/>
      </w:rPr>
      <w:t xml:space="preserve">Página </w:t>
    </w:r>
    <w:r w:rsidRPr="000474B6">
      <w:fldChar w:fldCharType="begin"/>
    </w:r>
    <w:r w:rsidRPr="000474B6">
      <w:instrText>PAGE  \* Arabic  \* MERGEFORMAT</w:instrText>
    </w:r>
    <w:r w:rsidRPr="000474B6">
      <w:fldChar w:fldCharType="separate"/>
    </w:r>
    <w:r>
      <w:t>1</w:t>
    </w:r>
    <w:r w:rsidRPr="000474B6">
      <w:fldChar w:fldCharType="end"/>
    </w:r>
    <w:r w:rsidRPr="000474B6">
      <w:rPr>
        <w:lang w:val="es-ES"/>
      </w:rPr>
      <w:t xml:space="preserve"> de </w:t>
    </w:r>
    <w:fldSimple w:instr="NUMPAGES  \* Arabic  \* MERGEFORMAT">
      <w:r>
        <w:t>4</w:t>
      </w:r>
    </w:fldSimple>
  </w:p>
  <w:p w14:paraId="5023FAE4" w14:textId="77777777" w:rsidR="00296132" w:rsidRPr="00296132" w:rsidRDefault="00000000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B703" w14:textId="77777777" w:rsidR="00541D5A" w:rsidRDefault="00541D5A" w:rsidP="009502D8">
      <w:r>
        <w:separator/>
      </w:r>
    </w:p>
  </w:footnote>
  <w:footnote w:type="continuationSeparator" w:id="0">
    <w:p w14:paraId="42EEBAB8" w14:textId="77777777" w:rsidR="00541D5A" w:rsidRDefault="00541D5A" w:rsidP="009502D8">
      <w:r>
        <w:continuationSeparator/>
      </w:r>
    </w:p>
  </w:footnote>
  <w:footnote w:id="1">
    <w:p w14:paraId="2471FF8B" w14:textId="77777777" w:rsidR="009502D8" w:rsidRPr="00714872" w:rsidRDefault="009502D8" w:rsidP="009502D8">
      <w:pPr>
        <w:pStyle w:val="Textonotapie"/>
        <w:rPr>
          <w:rFonts w:ascii="Arial" w:hAnsi="Arial" w:cs="Arial"/>
          <w:sz w:val="16"/>
          <w:szCs w:val="16"/>
          <w:lang w:val="es-ES_tradnl"/>
        </w:rPr>
      </w:pPr>
      <w:r w:rsidRPr="00714872">
        <w:rPr>
          <w:rStyle w:val="Refdenotaalpie"/>
          <w:rFonts w:ascii="Arial" w:hAnsi="Arial" w:cs="Arial"/>
          <w:sz w:val="16"/>
          <w:szCs w:val="16"/>
        </w:rPr>
        <w:footnoteRef/>
      </w:r>
      <w:r w:rsidRPr="00714872">
        <w:rPr>
          <w:rFonts w:ascii="Arial" w:hAnsi="Arial" w:cs="Arial"/>
          <w:sz w:val="16"/>
          <w:szCs w:val="16"/>
        </w:rPr>
        <w:t xml:space="preserve"> </w:t>
      </w:r>
      <w:r w:rsidRPr="00714872">
        <w:rPr>
          <w:rFonts w:ascii="Arial" w:hAnsi="Arial" w:cs="Arial"/>
          <w:sz w:val="16"/>
          <w:szCs w:val="16"/>
          <w:lang w:val="es-ES_tradnl"/>
        </w:rPr>
        <w:t>Corte Suprema de Justicia – Sala de Casación penal. M.P. Sigifredo Espinosa Pérez. 16 de marzo de 2011.</w:t>
      </w:r>
    </w:p>
  </w:footnote>
  <w:footnote w:id="2">
    <w:p w14:paraId="44653A8F" w14:textId="77777777" w:rsidR="009502D8" w:rsidRPr="00714872" w:rsidRDefault="009502D8" w:rsidP="009502D8">
      <w:pPr>
        <w:pStyle w:val="Textonotapie"/>
        <w:rPr>
          <w:rFonts w:ascii="Arial" w:hAnsi="Arial" w:cs="Arial"/>
          <w:sz w:val="16"/>
          <w:szCs w:val="16"/>
          <w:lang w:val="es-ES_tradnl"/>
        </w:rPr>
      </w:pPr>
      <w:r w:rsidRPr="00714872">
        <w:rPr>
          <w:rStyle w:val="Refdenotaalpie"/>
          <w:rFonts w:ascii="Arial" w:hAnsi="Arial" w:cs="Arial"/>
          <w:sz w:val="16"/>
          <w:szCs w:val="16"/>
        </w:rPr>
        <w:footnoteRef/>
      </w:r>
      <w:r w:rsidRPr="00714872">
        <w:rPr>
          <w:rFonts w:ascii="Arial" w:hAnsi="Arial" w:cs="Arial"/>
          <w:sz w:val="16"/>
          <w:szCs w:val="16"/>
        </w:rPr>
        <w:t xml:space="preserve"> </w:t>
      </w:r>
      <w:r w:rsidRPr="00714872">
        <w:rPr>
          <w:rFonts w:ascii="Arial" w:hAnsi="Arial" w:cs="Arial"/>
          <w:sz w:val="16"/>
          <w:szCs w:val="16"/>
          <w:lang w:val="es-ES_tradnl"/>
        </w:rPr>
        <w:t>Ibidem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50C"/>
    <w:multiLevelType w:val="hybridMultilevel"/>
    <w:tmpl w:val="2B02713A"/>
    <w:lvl w:ilvl="0" w:tplc="9104D570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mall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7277"/>
    <w:multiLevelType w:val="hybridMultilevel"/>
    <w:tmpl w:val="C7DA920C"/>
    <w:lvl w:ilvl="0" w:tplc="2402A7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1D1A"/>
    <w:multiLevelType w:val="hybridMultilevel"/>
    <w:tmpl w:val="9F98232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4297B"/>
    <w:multiLevelType w:val="hybridMultilevel"/>
    <w:tmpl w:val="3DC89BCC"/>
    <w:lvl w:ilvl="0" w:tplc="025E1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1309579">
    <w:abstractNumId w:val="0"/>
  </w:num>
  <w:num w:numId="2" w16cid:durableId="174080724">
    <w:abstractNumId w:val="4"/>
  </w:num>
  <w:num w:numId="3" w16cid:durableId="614755468">
    <w:abstractNumId w:val="1"/>
  </w:num>
  <w:num w:numId="4" w16cid:durableId="1469586149">
    <w:abstractNumId w:val="3"/>
  </w:num>
  <w:num w:numId="5" w16cid:durableId="1550919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D8"/>
    <w:rsid w:val="00025F83"/>
    <w:rsid w:val="00137208"/>
    <w:rsid w:val="00157D3C"/>
    <w:rsid w:val="001722CF"/>
    <w:rsid w:val="00172CF3"/>
    <w:rsid w:val="00183A2F"/>
    <w:rsid w:val="00190A2E"/>
    <w:rsid w:val="00194AAE"/>
    <w:rsid w:val="00230F16"/>
    <w:rsid w:val="002664CC"/>
    <w:rsid w:val="00277C95"/>
    <w:rsid w:val="002813A7"/>
    <w:rsid w:val="0037523F"/>
    <w:rsid w:val="003E2DCB"/>
    <w:rsid w:val="00423875"/>
    <w:rsid w:val="00496AB2"/>
    <w:rsid w:val="004A11A1"/>
    <w:rsid w:val="004E7BBF"/>
    <w:rsid w:val="00541D5A"/>
    <w:rsid w:val="005B4992"/>
    <w:rsid w:val="005E0B23"/>
    <w:rsid w:val="00691564"/>
    <w:rsid w:val="006C74A5"/>
    <w:rsid w:val="00714872"/>
    <w:rsid w:val="00730E78"/>
    <w:rsid w:val="0074743D"/>
    <w:rsid w:val="007A79D0"/>
    <w:rsid w:val="008B6F9B"/>
    <w:rsid w:val="008C7EE9"/>
    <w:rsid w:val="008D192A"/>
    <w:rsid w:val="00913679"/>
    <w:rsid w:val="009502D8"/>
    <w:rsid w:val="00A9555F"/>
    <w:rsid w:val="00AC679B"/>
    <w:rsid w:val="00AD38CB"/>
    <w:rsid w:val="00AE5DEA"/>
    <w:rsid w:val="00AF1FC8"/>
    <w:rsid w:val="00AF7D6A"/>
    <w:rsid w:val="00B04D0F"/>
    <w:rsid w:val="00B6757C"/>
    <w:rsid w:val="00B70F5D"/>
    <w:rsid w:val="00BC6D1A"/>
    <w:rsid w:val="00BD10D4"/>
    <w:rsid w:val="00CB423F"/>
    <w:rsid w:val="00D14B35"/>
    <w:rsid w:val="00D3281E"/>
    <w:rsid w:val="00D72B32"/>
    <w:rsid w:val="00DF7A39"/>
    <w:rsid w:val="00E01745"/>
    <w:rsid w:val="00E5400D"/>
    <w:rsid w:val="00E771A1"/>
    <w:rsid w:val="00EA70F5"/>
    <w:rsid w:val="00EB5DC2"/>
    <w:rsid w:val="00ED237E"/>
    <w:rsid w:val="00F07938"/>
    <w:rsid w:val="00F463C1"/>
    <w:rsid w:val="00F67776"/>
    <w:rsid w:val="00F8188D"/>
    <w:rsid w:val="00FA02F5"/>
    <w:rsid w:val="00FB313B"/>
    <w:rsid w:val="00F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6E2C"/>
  <w15:chartTrackingRefBased/>
  <w15:docId w15:val="{1DEC4126-400E-124B-8EF4-EE67ACD6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3D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2D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502D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502D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02D8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9502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02D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02D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02D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540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0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757C"/>
    <w:pPr>
      <w:spacing w:before="100" w:beforeAutospacing="1" w:after="100" w:afterAutospacing="1"/>
    </w:pPr>
    <w:rPr>
      <w:lang w:val="es-ES" w:eastAsia="es-CO"/>
    </w:rPr>
  </w:style>
  <w:style w:type="paragraph" w:styleId="Textoindependiente">
    <w:name w:val="Body Text"/>
    <w:basedOn w:val="Normal"/>
    <w:link w:val="TextoindependienteCar"/>
    <w:uiPriority w:val="1"/>
    <w:rsid w:val="00230F16"/>
    <w:pPr>
      <w:spacing w:after="160" w:line="259" w:lineRule="auto"/>
    </w:pPr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0F16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scalias@juzto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1871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49</cp:revision>
  <dcterms:created xsi:type="dcterms:W3CDTF">2021-06-23T21:02:00Z</dcterms:created>
  <dcterms:modified xsi:type="dcterms:W3CDTF">2023-04-03T14:38:00Z</dcterms:modified>
</cp:coreProperties>
</file>