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5E4D" w14:textId="77777777" w:rsidR="0026338E" w:rsidRPr="00B34AA1" w:rsidRDefault="0026338E" w:rsidP="0026338E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bookmarkStart w:id="0" w:name="_Hlk62640605"/>
      <w:proofErr w:type="spellStart"/>
      <w:r w:rsidRPr="00B34AA1">
        <w:rPr>
          <w:rFonts w:ascii="Arial" w:hAnsi="Arial" w:cs="Arial"/>
          <w:iCs/>
          <w:sz w:val="18"/>
          <w:szCs w:val="18"/>
          <w:lang w:val="en-US"/>
        </w:rPr>
        <w:t>Señor</w:t>
      </w:r>
      <w:proofErr w:type="spellEnd"/>
      <w:r w:rsidRPr="00B34AA1">
        <w:rPr>
          <w:rFonts w:ascii="Arial" w:hAnsi="Arial" w:cs="Arial"/>
          <w:iCs/>
          <w:sz w:val="18"/>
          <w:szCs w:val="18"/>
          <w:lang w:val="en-US"/>
        </w:rPr>
        <w:t>(es)</w:t>
      </w:r>
    </w:p>
    <w:p w14:paraId="50565104" w14:textId="00D314E8" w:rsidR="0026338E" w:rsidRPr="004F7AE1" w:rsidRDefault="004F7AE1" w:rsidP="0026338E">
      <w:pPr>
        <w:spacing w:after="0"/>
        <w:jc w:val="both"/>
        <w:rPr>
          <w:rFonts w:ascii="Arial" w:hAnsi="Arial" w:cs="Arial"/>
          <w:iCs/>
          <w:color w:val="2E74B5" w:themeColor="accent5" w:themeShade="BF"/>
          <w:sz w:val="18"/>
          <w:szCs w:val="18"/>
          <w:lang w:val="en-US"/>
        </w:rPr>
      </w:pP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JUEZ </w:t>
      </w:r>
      <w:r w:rsidR="001721B7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CIVIL </w:t>
      </w: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DE {% for item in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filing_city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proofErr w:type="gram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%}{</w:t>
      </w:r>
      <w:proofErr w:type="gram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item|upper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}}{%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endfor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%} (REPARTO)</w:t>
      </w:r>
    </w:p>
    <w:p w14:paraId="1A6EE444" w14:textId="77777777" w:rsidR="0026338E" w:rsidRPr="0087564B" w:rsidRDefault="0026338E" w:rsidP="0026338E">
      <w:pPr>
        <w:spacing w:after="0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CO"/>
        </w:rPr>
      </w:pPr>
      <w:r w:rsidRPr="0087564B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E.S.D</w:t>
      </w:r>
    </w:p>
    <w:p w14:paraId="2B37D387" w14:textId="77777777" w:rsidR="0026338E" w:rsidRPr="0087564B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</w:pPr>
    </w:p>
    <w:p w14:paraId="7A9E876A" w14:textId="677739EF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2E74B5" w:themeColor="accent5" w:themeShade="BF"/>
          <w:sz w:val="18"/>
          <w:szCs w:val="18"/>
          <w:lang w:val="en-US"/>
        </w:rPr>
      </w:pPr>
      <w:r w:rsidRPr="00F20DD7"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  <w:t xml:space="preserve">Asunto: </w:t>
      </w:r>
      <w:r w:rsidRPr="00F20DD7">
        <w:rPr>
          <w:rStyle w:val="Textoennegrita"/>
          <w:rFonts w:ascii="Arial" w:hAnsi="Arial" w:cs="Arial"/>
          <w:sz w:val="18"/>
          <w:szCs w:val="18"/>
          <w:lang w:val="es-CO"/>
        </w:rPr>
        <w:t>ACCIÓN DE TUTELA</w:t>
      </w:r>
      <w:r w:rsidRPr="00F20DD7"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  <w:t xml:space="preserve"> de</w:t>
      </w:r>
      <w:r w:rsidRPr="00F20DD7">
        <w:rPr>
          <w:rStyle w:val="Textoennegrita"/>
          <w:rFonts w:ascii="Arial" w:hAnsi="Arial" w:cs="Arial"/>
          <w:sz w:val="18"/>
          <w:szCs w:val="18"/>
          <w:lang w:val="es-CO"/>
        </w:rPr>
        <w:t xml:space="preserve"> </w:t>
      </w:r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%}</w:t>
      </w:r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complaining_id_number</w:t>
      </w:r>
      <w:proofErr w:type="spellEnd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4F2E06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{{</w:t>
      </w:r>
      <w:r w:rsidR="004F2E06" w:rsidRPr="004F2E06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complaining_id_number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}},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representada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por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legal_representative_name|title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quien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identifica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con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legal_representative_type_id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 No.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legal_representative_id_number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}},</w:t>
      </w:r>
      <w:r w:rsidR="004F2E06" w:rsidRPr="004F2E06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{% endif %}</w:t>
      </w:r>
      <w:r w:rsidRPr="004F2E0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4F2E06"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  <w:t xml:space="preserve">contra </w:t>
      </w:r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 xml:space="preserve">{{ </w:t>
      </w:r>
      <w:proofErr w:type="spellStart"/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>company_or_entity_name|upper</w:t>
      </w:r>
      <w:proofErr w:type="spellEnd"/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 xml:space="preserve"> }}</w:t>
      </w:r>
    </w:p>
    <w:p w14:paraId="2EBDF85A" w14:textId="77777777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2E74B5" w:themeColor="accent5" w:themeShade="BF"/>
          <w:sz w:val="18"/>
          <w:szCs w:val="18"/>
          <w:lang w:val="en-US"/>
        </w:rPr>
      </w:pPr>
    </w:p>
    <w:p w14:paraId="48ED5E80" w14:textId="77777777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33FF4003" w14:textId="23A5E6B3" w:rsidR="0026338E" w:rsidRPr="00B71B94" w:rsidRDefault="009A30B9" w:rsidP="00B71B94">
      <w:pPr>
        <w:jc w:val="both"/>
        <w:rPr>
          <w:rStyle w:val="Textoennegrita"/>
          <w:rFonts w:ascii="Arial" w:hAnsi="Arial" w:cs="Arial"/>
          <w:b w:val="0"/>
          <w:bCs w:val="0"/>
          <w:sz w:val="18"/>
          <w:szCs w:val="18"/>
        </w:rPr>
      </w:pPr>
      <w:bookmarkStart w:id="1" w:name="_Hlk62981040"/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DISRUPCIÓN AL DERECHO S.A.S., 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sociedad identificada con </w:t>
      </w:r>
      <w:proofErr w:type="spellStart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Nit</w:t>
      </w:r>
      <w:proofErr w:type="spellEnd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. 901.350.628 – 4, representada legalmente por </w:t>
      </w:r>
      <w:r w:rsidR="00473556" w:rsidRPr="00473556">
        <w:rPr>
          <w:rFonts w:ascii="Arial" w:hAnsi="Arial" w:cs="Arial"/>
          <w:sz w:val="18"/>
          <w:szCs w:val="18"/>
        </w:rPr>
        <w:t>Juan David Castilla Bahamón, identificado con cédula de ciudadanía No. 1.020.738.766 y Tarjeta profesional 252414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, sociedad que actúa como apoderada de</w:t>
      </w:r>
      <w:bookmarkEnd w:id="1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</w:t>
      </w:r>
      <w:proofErr w:type="gram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%}</w:t>
      </w:r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{</w:t>
      </w:r>
      <w:proofErr w:type="gramEnd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 </w:t>
      </w:r>
      <w:proofErr w:type="spellStart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3D0F04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3D0F04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</w:t>
      </w:r>
      <w:proofErr w:type="gram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_representative_id_numbe</w:t>
      </w:r>
      <w:r w:rsidR="003D0F04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</w:t>
      </w:r>
      <w:r w:rsidRPr="00682D22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con todo respeto manifiesto a usted que, en ejercicio del mecanismo constitucional de tutela consagrado en el artículo 86 de la Constitución Política de Colombia, reglamentado por el Decreto 2591 de 1991, y demás normas regulatorias, por este escrito formulo acción de tutela contra </w:t>
      </w:r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{{ </w:t>
      </w:r>
      <w:proofErr w:type="spellStart"/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>company_or_entity_name|upper</w:t>
      </w:r>
      <w:proofErr w:type="spellEnd"/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 }}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, con el objeto de que se ampare el derecho fundamental</w:t>
      </w:r>
      <w:r w:rsidR="00D70341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de PETICIÓN</w:t>
      </w:r>
      <w:r w:rsidRPr="00682D22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conformidad con los siguientes:</w:t>
      </w:r>
    </w:p>
    <w:p w14:paraId="6247844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sz w:val="18"/>
          <w:szCs w:val="18"/>
          <w:lang w:val="es-ES_tradnl"/>
        </w:rPr>
      </w:pPr>
    </w:p>
    <w:p w14:paraId="6CABC70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>HECHOS</w:t>
      </w:r>
    </w:p>
    <w:p w14:paraId="14FE585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2942E805" w14:textId="265FFE7D" w:rsidR="00A23AF8" w:rsidRPr="00A23AF8" w:rsidRDefault="0026338E" w:rsidP="00A23AF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>Que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fue impuesto el comparendo No. </w:t>
      </w:r>
      <w:proofErr w:type="gram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fotomulta</w:t>
      </w:r>
      <w:proofErr w:type="gram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_number</w:t>
      </w:r>
      <w:proofErr w:type="spell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 }}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a nombre de </w:t>
      </w:r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%}</w:t>
      </w:r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7C1597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7C1597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_representative_id_numbe</w:t>
      </w:r>
      <w:r w:rsidR="007C1597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51ABF49B" w14:textId="77777777" w:rsidR="00A23AF8" w:rsidRDefault="00A23AF8" w:rsidP="00A23AF8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260E152" w14:textId="6E34488F" w:rsidR="0026338E" w:rsidRPr="00680A41" w:rsidRDefault="00D70341" w:rsidP="00680A4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CO"/>
        </w:rPr>
        <w:t>Que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 para el </w:t>
      </w:r>
      <w:r>
        <w:rPr>
          <w:rFonts w:ascii="Arial" w:hAnsi="Arial" w:cs="Arial"/>
          <w:iCs/>
          <w:sz w:val="18"/>
          <w:szCs w:val="18"/>
          <w:lang w:val="es-CO"/>
        </w:rPr>
        <w:t xml:space="preserve">día </w:t>
      </w:r>
      <w:proofErr w:type="gramStart"/>
      <w:r>
        <w:rPr>
          <w:rFonts w:ascii="Arial" w:hAnsi="Arial" w:cs="Arial"/>
          <w:iCs/>
          <w:sz w:val="18"/>
          <w:szCs w:val="18"/>
          <w:lang w:val="es-CO"/>
        </w:rPr>
        <w:t xml:space="preserve">{{ </w:t>
      </w:r>
      <w:proofErr w:type="spellStart"/>
      <w:r>
        <w:rPr>
          <w:rFonts w:ascii="Arial" w:hAnsi="Arial" w:cs="Arial"/>
          <w:iCs/>
          <w:sz w:val="18"/>
          <w:szCs w:val="18"/>
          <w:lang w:val="es-CO"/>
        </w:rPr>
        <w:t>fecha</w:t>
      </w:r>
      <w:proofErr w:type="gramEnd"/>
      <w:r>
        <w:rPr>
          <w:rFonts w:ascii="Arial" w:hAnsi="Arial" w:cs="Arial"/>
          <w:iCs/>
          <w:sz w:val="18"/>
          <w:szCs w:val="18"/>
          <w:lang w:val="es-CO"/>
        </w:rPr>
        <w:t>_audiencia</w:t>
      </w:r>
      <w:proofErr w:type="spellEnd"/>
      <w:r>
        <w:rPr>
          <w:rFonts w:ascii="Arial" w:hAnsi="Arial" w:cs="Arial"/>
          <w:iCs/>
          <w:sz w:val="18"/>
          <w:szCs w:val="18"/>
          <w:lang w:val="es-CO"/>
        </w:rPr>
        <w:t xml:space="preserve"> }} </w:t>
      </w:r>
      <w:r w:rsidR="00892DD9">
        <w:rPr>
          <w:rFonts w:ascii="Arial" w:hAnsi="Arial" w:cs="Arial"/>
          <w:iCs/>
          <w:sz w:val="18"/>
          <w:szCs w:val="18"/>
          <w:lang w:val="es-CO"/>
        </w:rPr>
        <w:t>se llevaría a cabo la audiencia virtual de impugnación del comparendo. Sin embargo,</w:t>
      </w:r>
      <w:r>
        <w:rPr>
          <w:rFonts w:ascii="Arial" w:hAnsi="Arial" w:cs="Arial"/>
          <w:iCs/>
          <w:sz w:val="18"/>
          <w:szCs w:val="18"/>
          <w:lang w:val="es-CO"/>
        </w:rPr>
        <w:t xml:space="preserve"> 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sin justificación alguna </w:t>
      </w:r>
      <w:r>
        <w:rPr>
          <w:rFonts w:ascii="Arial" w:hAnsi="Arial" w:cs="Arial"/>
          <w:iCs/>
          <w:sz w:val="18"/>
          <w:szCs w:val="18"/>
          <w:lang w:val="es-CO"/>
        </w:rPr>
        <w:t>la entidad nunca se conectó a la audiencia</w:t>
      </w:r>
      <w:r w:rsidR="00680A41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.</w:t>
      </w:r>
    </w:p>
    <w:p w14:paraId="29664930" w14:textId="77777777" w:rsidR="00680A41" w:rsidRDefault="00680A41" w:rsidP="00680A41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07D75098" w14:textId="77777777" w:rsidR="00D67C66" w:rsidRDefault="0026338E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155F5"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dado lo anterior el día </w:t>
      </w:r>
      <w:proofErr w:type="gramStart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D67C6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D67C66">
        <w:rPr>
          <w:rFonts w:ascii="Arial" w:hAnsi="Arial" w:cs="Arial"/>
          <w:iCs/>
          <w:sz w:val="18"/>
          <w:szCs w:val="18"/>
          <w:lang w:val="es-ES_tradnl"/>
        </w:rPr>
        <w:t>_solicitud_reprogramacion</w:t>
      </w:r>
      <w:proofErr w:type="spellEnd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 }} se solicitó a la entidad la reprogramación de la audiencia.</w:t>
      </w:r>
    </w:p>
    <w:p w14:paraId="6A3B9E2C" w14:textId="77777777" w:rsidR="00D67C66" w:rsidRDefault="00D67C66" w:rsidP="00D67C66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29B0B40C" w14:textId="20E93516" w:rsidR="0026338E" w:rsidRDefault="00CA60D6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Que hasta la fecha no se ha recibido respuesta </w:t>
      </w:r>
      <w:r w:rsidR="0094607F">
        <w:rPr>
          <w:rFonts w:ascii="Arial" w:hAnsi="Arial" w:cs="Arial"/>
          <w:iCs/>
          <w:sz w:val="18"/>
          <w:szCs w:val="18"/>
          <w:lang w:val="es-ES_tradnl"/>
        </w:rPr>
        <w:t>a la petición de reprogramación de la audiencia.</w:t>
      </w:r>
    </w:p>
    <w:p w14:paraId="3ECE1248" w14:textId="76F417E4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{%p if </w:t>
      </w:r>
      <w:proofErr w:type="spellStart"/>
      <w:r w:rsidRPr="00604D26">
        <w:rPr>
          <w:rFonts w:ascii="Arial" w:hAnsi="Arial" w:cs="Arial"/>
          <w:iCs/>
          <w:sz w:val="18"/>
          <w:szCs w:val="18"/>
          <w:lang w:val="en-US"/>
        </w:rPr>
        <w:t>tutela_audiencia</w:t>
      </w:r>
      <w:proofErr w:type="spellEnd"/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and </w:t>
      </w:r>
      <w:proofErr w:type="spellStart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>fallo_favorable</w:t>
      </w:r>
      <w:proofErr w:type="spellEnd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%}</w:t>
      </w:r>
    </w:p>
    <w:p w14:paraId="6B802D38" w14:textId="77777777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</w:p>
    <w:p w14:paraId="094CA651" w14:textId="1472C1F1" w:rsidR="0026338E" w:rsidRPr="005C014F" w:rsidRDefault="0026338E" w:rsidP="005C014F">
      <w:pPr>
        <w:pStyle w:val="Prrafodelista"/>
        <w:numPr>
          <w:ilvl w:val="0"/>
          <w:numId w:val="3"/>
        </w:numPr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en el presente caso ya se había presentado una tutela debido a que la entidad no quería agendar la audiencia y mediante fallo del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_fallo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bajo el proceso No.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tutela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_numero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el juez amparó el derecho al debido proceso y ordenó a la entidad a agendar audiencia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35D5CCA5" w14:textId="56091000" w:rsidR="005C014F" w:rsidRPr="005C014F" w:rsidRDefault="005C014F" w:rsidP="005C014F">
      <w:pPr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iCs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iCs/>
          <w:sz w:val="18"/>
          <w:szCs w:val="18"/>
          <w:lang w:val="es-ES_tradnl"/>
        </w:rPr>
        <w:t xml:space="preserve"> %}</w:t>
      </w:r>
    </w:p>
    <w:p w14:paraId="5C95287F" w14:textId="77777777" w:rsidR="0026338E" w:rsidRPr="00682D22" w:rsidRDefault="0026338E" w:rsidP="0026338E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037B8705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DERECHOS CUYA PROTECCIÓN SE DEMANDA</w:t>
      </w:r>
    </w:p>
    <w:p w14:paraId="34F78244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1138B" w14:textId="63CD2B43" w:rsidR="001B3E9F" w:rsidRPr="00330E41" w:rsidRDefault="001B3E9F" w:rsidP="001B3E9F">
      <w:pPr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lastRenderedPageBreak/>
        <w:t xml:space="preserve">Respecto al derecho de petición,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reglado en el artículo 23 de la Constitución Política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,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en la ley 1437 de 2011 y desarrollado por la Ley 1755 de 2015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1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. En particular, esta prerrogativa constitucional faculta a los particulares para solicitar información mediante peticiones respetuosas ante </w:t>
      </w:r>
      <w:proofErr w:type="gramStart"/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autoridades públicas</w:t>
      </w:r>
      <w:proofErr w:type="gramEnd"/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o </w:t>
      </w:r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particulares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el fin de obtener la satisfacción de un interés personal o colectivo. La jurisprudencia constitucional ha destacado la 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fundamentalidad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de este derecho al considerar que es: (i) determinante para la efectividad de los mecanismos de la democracia participativa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2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y (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ii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) tiene un nexo directo con otras garantías fundamentales como lo es el acceso a la información</w:t>
      </w:r>
      <w:r w:rsidRPr="00330E41">
        <w:rPr>
          <w:rFonts w:ascii="Arial" w:eastAsia="Times New Roman" w:hAnsi="Arial" w:cs="Arial"/>
          <w:iCs/>
          <w:sz w:val="18"/>
          <w:szCs w:val="18"/>
          <w:vertAlign w:val="superscript"/>
          <w:lang w:eastAsia="es-CO"/>
        </w:rPr>
        <w:footnoteReference w:id="3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. Al respecto, la Corte Constitucional ha señalado:</w:t>
      </w:r>
    </w:p>
    <w:p w14:paraId="03777964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“Este derecho fundamental tiene nexo directo con el derecho de acceso a la información (artículo 74 CP), en la medida que los ciudadanos en ejercicio del derecho de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petición,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tienen la potestad de conocer la información sobre el proceder de las autoridades y/o particulares, de acuerdo a los parámetros establecidos por el legislador (…). [E]l derecho de petición es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el género y el derecho a acceder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a la información pública es una manifestación específica del mismo”</w:t>
      </w:r>
      <w:r w:rsidRPr="00330E41">
        <w:rPr>
          <w:rStyle w:val="Refdenotaalpie"/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4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. </w:t>
      </w:r>
    </w:p>
    <w:p w14:paraId="1978A628" w14:textId="77777777" w:rsidR="001B3E9F" w:rsidRPr="00330E41" w:rsidRDefault="001B3E9F" w:rsidP="001B3E9F">
      <w:pPr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ese criterio, la Ley 1755 de 2015 y la jurisprudencia constitucional ha señalado que el núcleo esencial del derecho fundamental de petición es la resolución pronta y oportuna de la cuestión. </w:t>
      </w:r>
    </w:p>
    <w:p w14:paraId="448B022E" w14:textId="77777777" w:rsidR="001B3E9F" w:rsidRPr="00330E41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Teniendo en consideración el núcleo esencial de esta garantía </w:t>
      </w:r>
      <w:r w:rsidRPr="00330E41">
        <w:rPr>
          <w:rFonts w:ascii="Arial" w:eastAsia="Times New Roman" w:hAnsi="Arial" w:cs="Arial"/>
          <w:i/>
          <w:color w:val="000000" w:themeColor="text1"/>
          <w:sz w:val="18"/>
          <w:szCs w:val="18"/>
          <w:lang w:eastAsia="es-CO"/>
        </w:rPr>
        <w:t>ius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fundamental la Corte Constitucional ha advertido que la garantía real del derecho de petición radica en cabeza de la administración o el particular y, la obligación de este no cesa con la simple resolución del derecho de petición. En palabras del Tribunal: </w:t>
      </w:r>
    </w:p>
    <w:p w14:paraId="23DF7AA6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 necesario además que dicha solución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remedie sin confusiones el fondo del asunto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que este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dotada de claridad y congruencia entre lo pedido y lo resuelto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e igualmente, que su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oportuna respuesta se ponga en conocimiento del solicitante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, sin que pueda tenerse como real, una contestación falta de constancia y que sólo sea conocida por la persona o entidad de quien se solicita la información” 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5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.</w:t>
      </w:r>
    </w:p>
    <w:p w14:paraId="505D4268" w14:textId="31C09EED" w:rsidR="0026338E" w:rsidRPr="001B3E9F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A la luz de lo expuesto, la efectividad y el respeto por el derecho de petición se encuentran supeditados a que la autoridad o el particular, emita una respuesta que abarque en forma sustancial y responda de manera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clara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congruente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de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fondo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y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oportuna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la materia objeto de solicitud.</w:t>
      </w:r>
    </w:p>
    <w:p w14:paraId="24C97E61" w14:textId="77777777" w:rsidR="0026338E" w:rsidRPr="00682D22" w:rsidRDefault="0026338E" w:rsidP="0026338E">
      <w:pPr>
        <w:spacing w:after="0" w:line="240" w:lineRule="auto"/>
        <w:ind w:right="49"/>
        <w:jc w:val="both"/>
        <w:textAlignment w:val="baseline"/>
        <w:rPr>
          <w:rFonts w:ascii="Arial" w:eastAsia="Times New Roman" w:hAnsi="Arial" w:cs="Arial"/>
          <w:sz w:val="18"/>
          <w:szCs w:val="18"/>
          <w:lang w:val="es-ES_tradnl" w:eastAsia="es-CO"/>
        </w:rPr>
      </w:pPr>
    </w:p>
    <w:p w14:paraId="6102069C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4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sz w:val="18"/>
          <w:szCs w:val="18"/>
          <w:lang w:val="es-ES_tradnl"/>
        </w:rPr>
        <w:t>FUNDAMENTOS DE DERECHO</w:t>
      </w:r>
    </w:p>
    <w:p w14:paraId="25C4716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616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404BDE" w14:textId="2EFE82E6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Fundamento esta acción en el artículo </w:t>
      </w:r>
      <w:r w:rsidR="001B3E9F">
        <w:rPr>
          <w:rFonts w:ascii="Arial" w:hAnsi="Arial" w:cs="Arial"/>
          <w:sz w:val="18"/>
          <w:szCs w:val="18"/>
          <w:lang w:val="es-ES_tradnl"/>
        </w:rPr>
        <w:t>23</w:t>
      </w:r>
      <w:r w:rsidRPr="00682D22">
        <w:rPr>
          <w:rFonts w:ascii="Arial" w:hAnsi="Arial" w:cs="Arial"/>
          <w:sz w:val="18"/>
          <w:szCs w:val="18"/>
          <w:lang w:val="es-ES_tradnl"/>
        </w:rPr>
        <w:t xml:space="preserve"> y 86 de la Constitución Política de Colombia.</w:t>
      </w:r>
    </w:p>
    <w:p w14:paraId="49AB8BB8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1BE64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PRETENSIONES</w:t>
      </w:r>
    </w:p>
    <w:p w14:paraId="2A5E738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04840427" w14:textId="1760624A" w:rsidR="0026338E" w:rsidRPr="00682D22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AMPARAR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el derecho fundamental </w:t>
      </w:r>
      <w:r w:rsidR="001B3E9F">
        <w:rPr>
          <w:rFonts w:ascii="Arial" w:hAnsi="Arial" w:cs="Arial"/>
          <w:iCs/>
          <w:sz w:val="18"/>
          <w:szCs w:val="18"/>
          <w:lang w:val="es-ES_tradnl"/>
        </w:rPr>
        <w:t>de petición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>.</w:t>
      </w:r>
    </w:p>
    <w:p w14:paraId="579FFF6B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left="1134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30168F01" w14:textId="625781C2" w:rsidR="0026338E" w:rsidRPr="007733F9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ORDENAR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a </w:t>
      </w:r>
      <w:r w:rsidR="001B3E9F" w:rsidRP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entidad accionada</w:t>
      </w:r>
      <w:r w:rsidR="001B3E9F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a responder 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la petición, concretamente,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solicitud de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informar fecha, hora y </w:t>
      </w:r>
      <w:proofErr w:type="gramStart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link</w:t>
      </w:r>
      <w:proofErr w:type="gramEnd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acceso a la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reprogramación virtual de la audiencia de impugnación del </w:t>
      </w:r>
      <w:proofErr w:type="spellStart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fotocomparendo</w:t>
      </w:r>
      <w:proofErr w:type="spellEnd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ya referenciado. </w:t>
      </w:r>
    </w:p>
    <w:p w14:paraId="350CE160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14:paraId="4A2EE3FC" w14:textId="77777777" w:rsidR="0026338E" w:rsidRPr="00682D22" w:rsidRDefault="0026338E" w:rsidP="002633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PRUEBAS</w:t>
      </w:r>
    </w:p>
    <w:p w14:paraId="03ED18A9" w14:textId="77777777" w:rsidR="0026338E" w:rsidRPr="00682D22" w:rsidRDefault="0026338E" w:rsidP="0026338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913960" w14:textId="32822B60" w:rsidR="0026338E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Copia solicitud reprogramación audiencia.</w:t>
      </w:r>
    </w:p>
    <w:p w14:paraId="46C6CA25" w14:textId="3B46A5E9" w:rsidR="001B3E9F" w:rsidRPr="00682D22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Constancia radicado petición.</w:t>
      </w:r>
    </w:p>
    <w:p w14:paraId="4F52D517" w14:textId="77777777" w:rsidR="0026338E" w:rsidRPr="00682D22" w:rsidRDefault="0026338E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Poder.</w:t>
      </w:r>
    </w:p>
    <w:p w14:paraId="37C5BC8E" w14:textId="2057B317" w:rsidR="0026338E" w:rsidRPr="00682D22" w:rsidRDefault="0026338E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Certificado de existencia y representación legal.</w:t>
      </w:r>
    </w:p>
    <w:p w14:paraId="37DF6E53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1983EB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JURAMENTO</w:t>
      </w:r>
    </w:p>
    <w:p w14:paraId="18AAE726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6F72492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Manifiesto señor juez, bajo la gravedad de juramento, que </w:t>
      </w:r>
      <w:r>
        <w:rPr>
          <w:rFonts w:ascii="Arial" w:hAnsi="Arial" w:cs="Arial"/>
          <w:iCs/>
          <w:sz w:val="18"/>
          <w:szCs w:val="18"/>
          <w:lang w:val="es-ES_tradnl"/>
        </w:rPr>
        <w:t xml:space="preserve">se presentó una acción de tutela por hechos parecidos a los hechos presentados en la presente acción de tutela. </w:t>
      </w:r>
    </w:p>
    <w:p w14:paraId="0E6D981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1D7171D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NOTIFICACIONES</w:t>
      </w:r>
    </w:p>
    <w:p w14:paraId="01692F49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B47B38D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 xml:space="preserve">La parte accionada las recibirá </w:t>
      </w:r>
      <w:r w:rsidRPr="00330E41">
        <w:rPr>
          <w:rFonts w:ascii="Arial" w:hAnsi="Arial" w:cs="Arial"/>
          <w:iCs/>
          <w:color w:val="000000" w:themeColor="text1"/>
          <w:sz w:val="18"/>
          <w:szCs w:val="18"/>
        </w:rPr>
        <w:t>al correo electrónico:</w:t>
      </w:r>
    </w:p>
    <w:p w14:paraId="48BFEC42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208C802B" w14:textId="77777777" w:rsidR="00106FA9" w:rsidRPr="007B10BE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gramStart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{{ email</w:t>
      </w:r>
      <w:proofErr w:type="gramEnd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}}</w:t>
      </w:r>
    </w:p>
    <w:p w14:paraId="491DA5B2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{%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2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NA@gmail.com’ %}</w:t>
      </w:r>
    </w:p>
    <w:p w14:paraId="116A80B9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 }}</w:t>
      </w:r>
    </w:p>
    <w:p w14:paraId="3DD8F1A1" w14:textId="77777777" w:rsidR="00106FA9" w:rsidRPr="00087809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46BA7EB6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3F33C4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3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’NA@gmail.com’ %}</w:t>
      </w:r>
    </w:p>
    <w:p w14:paraId="7B9BE20E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 }}</w:t>
      </w:r>
    </w:p>
    <w:p w14:paraId="263C4067" w14:textId="77777777" w:rsidR="00106FA9" w:rsidRPr="002B0F45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07F7912" w14:textId="77777777" w:rsidR="00106FA9" w:rsidRPr="00517A2D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517A2D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4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 %}</w:t>
      </w:r>
    </w:p>
    <w:p w14:paraId="65549695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4 }}</w:t>
      </w:r>
    </w:p>
    <w:p w14:paraId="7921B375" w14:textId="77777777" w:rsidR="00106FA9" w:rsidRPr="0047670B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FB18C67" w14:textId="1FDDF1A8" w:rsidR="001B3E9F" w:rsidRPr="00330E41" w:rsidRDefault="001B3E9F" w:rsidP="00106FA9">
      <w:pPr>
        <w:pStyle w:val="Prrafodelista"/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14:paraId="5964477F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>La parte accionante al correo electrónico</w:t>
      </w:r>
      <w:r>
        <w:rPr>
          <w:rFonts w:ascii="Arial" w:hAnsi="Arial" w:cs="Arial"/>
          <w:sz w:val="18"/>
          <w:szCs w:val="18"/>
        </w:rPr>
        <w:t>:</w:t>
      </w:r>
    </w:p>
    <w:p w14:paraId="7717CB8B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</w:p>
    <w:p w14:paraId="41B2D660" w14:textId="77777777" w:rsidR="00663CFE" w:rsidRPr="001331FA" w:rsidRDefault="00663CFE" w:rsidP="00663CFE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Pr="00334251">
        <w:rPr>
          <w:rFonts w:ascii="Arial" w:hAnsi="Arial" w:cs="Arial"/>
          <w:iCs/>
          <w:color w:val="000000" w:themeColor="text1"/>
          <w:sz w:val="18"/>
          <w:szCs w:val="18"/>
        </w:rPr>
        <w:t>ouremail</w:t>
      </w:r>
      <w:proofErr w:type="spellEnd"/>
      <w:proofErr w:type="gramEnd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</w:p>
    <w:p w14:paraId="748842AC" w14:textId="124D7CA1" w:rsidR="0026338E" w:rsidRPr="00663CFE" w:rsidRDefault="0026338E" w:rsidP="00663CF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72B5F9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Del señor juez, </w:t>
      </w:r>
      <w:r w:rsidRPr="00682D22">
        <w:rPr>
          <w:rFonts w:ascii="Arial" w:hAnsi="Arial" w:cs="Arial"/>
          <w:sz w:val="18"/>
          <w:szCs w:val="18"/>
          <w:lang w:val="es-ES_tradnl"/>
        </w:rPr>
        <w:tab/>
      </w:r>
    </w:p>
    <w:p w14:paraId="0DBBE41B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F3DB22" w14:textId="77777777" w:rsidR="00473556" w:rsidRPr="00682D22" w:rsidRDefault="00473556" w:rsidP="00473556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2" w:name="_Hlk62662346"/>
      <w:bookmarkStart w:id="3" w:name="_Hlk62981089"/>
      <w:bookmarkEnd w:id="0"/>
      <w:r w:rsidRPr="00682D22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AF054E" wp14:editId="5F6B424C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8ADC" w14:textId="77777777" w:rsidR="00473556" w:rsidRPr="00682D22" w:rsidRDefault="00473556" w:rsidP="00473556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631DD5CA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0A9F853F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24C773B7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2"/>
    </w:p>
    <w:bookmarkEnd w:id="3"/>
    <w:p w14:paraId="5C5B040A" w14:textId="77777777" w:rsidR="0026338E" w:rsidRDefault="0026338E" w:rsidP="0026338E">
      <w:pPr>
        <w:rPr>
          <w:lang w:val="es-ES_tradnl"/>
        </w:rPr>
      </w:pPr>
    </w:p>
    <w:p w14:paraId="2AB6ED65" w14:textId="77777777" w:rsidR="0026338E" w:rsidRDefault="0026338E" w:rsidP="0026338E">
      <w:pPr>
        <w:rPr>
          <w:lang w:val="es-ES_tradnl"/>
        </w:rPr>
      </w:pPr>
    </w:p>
    <w:p w14:paraId="46BDF589" w14:textId="77777777" w:rsidR="0026338E" w:rsidRDefault="0026338E" w:rsidP="0026338E">
      <w:pPr>
        <w:rPr>
          <w:lang w:val="es-ES_tradnl"/>
        </w:rPr>
      </w:pPr>
    </w:p>
    <w:p w14:paraId="00816B4E" w14:textId="77777777" w:rsidR="0026338E" w:rsidRDefault="0026338E" w:rsidP="0026338E">
      <w:pPr>
        <w:rPr>
          <w:lang w:val="es-ES_tradnl"/>
        </w:rPr>
      </w:pPr>
    </w:p>
    <w:p w14:paraId="7FFE3D57" w14:textId="77777777" w:rsidR="0026338E" w:rsidRDefault="0026338E" w:rsidP="0026338E">
      <w:pPr>
        <w:rPr>
          <w:lang w:val="es-ES_tradnl"/>
        </w:rPr>
      </w:pPr>
    </w:p>
    <w:p w14:paraId="578420AD" w14:textId="77777777" w:rsidR="0026338E" w:rsidRDefault="0026338E" w:rsidP="0026338E">
      <w:pPr>
        <w:rPr>
          <w:lang w:val="es-ES_tradnl"/>
        </w:rPr>
      </w:pPr>
    </w:p>
    <w:p w14:paraId="02E66BC9" w14:textId="36C52469" w:rsidR="0026338E" w:rsidRPr="00682D22" w:rsidRDefault="0026338E" w:rsidP="0026338E">
      <w:pPr>
        <w:rPr>
          <w:lang w:val="es-ES_tradnl"/>
        </w:rPr>
      </w:pPr>
    </w:p>
    <w:p w14:paraId="5CC1B6D0" w14:textId="77777777" w:rsidR="0026338E" w:rsidRPr="00D25F8E" w:rsidRDefault="0026338E" w:rsidP="0026338E">
      <w:pPr>
        <w:rPr>
          <w:lang w:val="es-ES_tradnl"/>
        </w:rPr>
      </w:pPr>
    </w:p>
    <w:p w14:paraId="0E8F3DA2" w14:textId="516BFC91" w:rsidR="0026338E" w:rsidRDefault="0026338E" w:rsidP="0026338E"/>
    <w:p w14:paraId="05E30194" w14:textId="77777777" w:rsidR="00D95AE3" w:rsidRDefault="00000000"/>
    <w:sectPr w:rsidR="00D95AE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7DD7" w14:textId="77777777" w:rsidR="00E86A05" w:rsidRDefault="00E86A05" w:rsidP="0026338E">
      <w:pPr>
        <w:spacing w:after="0" w:line="240" w:lineRule="auto"/>
      </w:pPr>
      <w:r>
        <w:separator/>
      </w:r>
    </w:p>
  </w:endnote>
  <w:endnote w:type="continuationSeparator" w:id="0">
    <w:p w14:paraId="6ACB9106" w14:textId="77777777" w:rsidR="00E86A05" w:rsidRDefault="00E86A05" w:rsidP="0026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13FB" w14:textId="0AE7B226" w:rsidR="000327F3" w:rsidRPr="009272BF" w:rsidRDefault="003B2295" w:rsidP="009272BF">
    <w:pPr>
      <w:pStyle w:val="Piedepgina"/>
      <w:jc w:val="right"/>
      <w:rPr>
        <w:rFonts w:ascii="Arial" w:hAnsi="Arial" w:cs="Arial"/>
        <w:sz w:val="20"/>
        <w:szCs w:val="20"/>
      </w:rPr>
    </w:pPr>
    <w:r w:rsidRPr="00CB65E6">
      <w:rPr>
        <w:rFonts w:ascii="Arial" w:hAnsi="Arial" w:cs="Arial"/>
        <w:sz w:val="20"/>
        <w:szCs w:val="20"/>
      </w:rPr>
      <w:t xml:space="preserve">Página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PAGE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CB65E6">
      <w:rPr>
        <w:rFonts w:ascii="Arial" w:hAnsi="Arial" w:cs="Arial"/>
        <w:sz w:val="20"/>
        <w:szCs w:val="20"/>
      </w:rPr>
      <w:fldChar w:fldCharType="end"/>
    </w:r>
    <w:r w:rsidRPr="00CB65E6">
      <w:rPr>
        <w:rFonts w:ascii="Arial" w:hAnsi="Arial" w:cs="Arial"/>
        <w:sz w:val="20"/>
        <w:szCs w:val="20"/>
      </w:rPr>
      <w:t xml:space="preserve"> de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NUMPAGES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19</w:t>
    </w:r>
    <w:r w:rsidRPr="00CB65E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02C5" w14:textId="77777777" w:rsidR="00E86A05" w:rsidRDefault="00E86A05" w:rsidP="0026338E">
      <w:pPr>
        <w:spacing w:after="0" w:line="240" w:lineRule="auto"/>
      </w:pPr>
      <w:r>
        <w:separator/>
      </w:r>
    </w:p>
  </w:footnote>
  <w:footnote w:type="continuationSeparator" w:id="0">
    <w:p w14:paraId="7DD3F7AE" w14:textId="77777777" w:rsidR="00E86A05" w:rsidRDefault="00E86A05" w:rsidP="0026338E">
      <w:pPr>
        <w:spacing w:after="0" w:line="240" w:lineRule="auto"/>
      </w:pPr>
      <w:r>
        <w:continuationSeparator/>
      </w:r>
    </w:p>
  </w:footnote>
  <w:footnote w:id="1">
    <w:p w14:paraId="3E30E185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“Por medio de la cual se regula el Derecho Fundamental de Petición y se sustituye un título del Código de Procedimiento Administrativo y de lo Contencioso Administrativo”. </w:t>
      </w:r>
    </w:p>
  </w:footnote>
  <w:footnote w:id="2">
    <w:p w14:paraId="74488407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 T-377 de 2000 M.P. Alejandro Martínez Caballero, T-054 de 2004 M.P. Marco Gerardo Monroy Cabra, T-149 de 2013 M.P. Luis Guillermo Guerrero Pérez y T-077 de 2018 M.P. Antonio José Lizarazo. </w:t>
      </w:r>
    </w:p>
  </w:footnote>
  <w:footnote w:id="3">
    <w:p w14:paraId="1CFE0325" w14:textId="77777777" w:rsidR="001B3E9F" w:rsidRPr="00452A63" w:rsidRDefault="001B3E9F" w:rsidP="001B3E9F">
      <w:pPr>
        <w:pStyle w:val="Textonotapie"/>
        <w:snapToGrid w:val="0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C-951 de 2014. M.P. Martha Victoria Sáchica Méndez y T-487 de 2017 M.P. Alberto Rojas Ríos. </w:t>
      </w:r>
    </w:p>
  </w:footnote>
  <w:footnote w:id="4">
    <w:p w14:paraId="57CB6CFE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T-377 de 2000 M.P. Alejandro Martínez Caballero y C-274 de 2013 M.P. María Victoria Calle Correa. </w:t>
      </w:r>
    </w:p>
  </w:footnote>
  <w:footnote w:id="5">
    <w:p w14:paraId="32214236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sz w:val="18"/>
          <w:szCs w:val="18"/>
          <w:lang w:val="es-EC"/>
        </w:rPr>
      </w:pPr>
      <w:r w:rsidRPr="00452A63">
        <w:rPr>
          <w:rStyle w:val="Refdenotaalpie"/>
          <w:rFonts w:asciiTheme="minorHAnsi" w:hAnsiTheme="minorHAnsi" w:cstheme="minorHAnsi"/>
          <w:sz w:val="18"/>
          <w:szCs w:val="18"/>
        </w:rPr>
        <w:footnoteRef/>
      </w:r>
      <w:r w:rsidRPr="00452A63"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 w:rsidRPr="00452A63">
        <w:rPr>
          <w:rFonts w:asciiTheme="minorHAnsi" w:hAnsiTheme="minorHAnsi" w:cstheme="minorHAnsi"/>
          <w:sz w:val="18"/>
          <w:szCs w:val="18"/>
          <w:lang w:val="es-EC"/>
        </w:rPr>
        <w:tab/>
        <w:t xml:space="preserve">Corte Constitucional. T-149 de 2013 M.P. Luis Guillermo Guerrero Pérez.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B9"/>
    <w:multiLevelType w:val="hybridMultilevel"/>
    <w:tmpl w:val="5C885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084"/>
    <w:multiLevelType w:val="hybridMultilevel"/>
    <w:tmpl w:val="A1A4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22F4"/>
    <w:multiLevelType w:val="hybridMultilevel"/>
    <w:tmpl w:val="4B160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D71"/>
    <w:multiLevelType w:val="hybridMultilevel"/>
    <w:tmpl w:val="8D5A3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6DB6"/>
    <w:multiLevelType w:val="hybridMultilevel"/>
    <w:tmpl w:val="658C3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13149"/>
    <w:multiLevelType w:val="hybridMultilevel"/>
    <w:tmpl w:val="039CE7E2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10097">
    <w:abstractNumId w:val="3"/>
  </w:num>
  <w:num w:numId="2" w16cid:durableId="587159278">
    <w:abstractNumId w:val="4"/>
  </w:num>
  <w:num w:numId="3" w16cid:durableId="1114322010">
    <w:abstractNumId w:val="9"/>
  </w:num>
  <w:num w:numId="4" w16cid:durableId="212615546">
    <w:abstractNumId w:val="7"/>
  </w:num>
  <w:num w:numId="5" w16cid:durableId="1276403811">
    <w:abstractNumId w:val="6"/>
  </w:num>
  <w:num w:numId="6" w16cid:durableId="289938828">
    <w:abstractNumId w:val="1"/>
  </w:num>
  <w:num w:numId="7" w16cid:durableId="1389958778">
    <w:abstractNumId w:val="2"/>
  </w:num>
  <w:num w:numId="8" w16cid:durableId="952398661">
    <w:abstractNumId w:val="5"/>
  </w:num>
  <w:num w:numId="9" w16cid:durableId="1922911797">
    <w:abstractNumId w:val="0"/>
  </w:num>
  <w:num w:numId="10" w16cid:durableId="1179079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E"/>
    <w:rsid w:val="00004370"/>
    <w:rsid w:val="00031AE1"/>
    <w:rsid w:val="00106FA9"/>
    <w:rsid w:val="00132B33"/>
    <w:rsid w:val="001721B7"/>
    <w:rsid w:val="001A3DFB"/>
    <w:rsid w:val="001B3E9F"/>
    <w:rsid w:val="0026338E"/>
    <w:rsid w:val="002E683F"/>
    <w:rsid w:val="003B2295"/>
    <w:rsid w:val="003D0F04"/>
    <w:rsid w:val="004444A4"/>
    <w:rsid w:val="00473556"/>
    <w:rsid w:val="004F2E06"/>
    <w:rsid w:val="004F46B1"/>
    <w:rsid w:val="004F7AE1"/>
    <w:rsid w:val="005177A5"/>
    <w:rsid w:val="00596706"/>
    <w:rsid w:val="005C014F"/>
    <w:rsid w:val="00604D26"/>
    <w:rsid w:val="00645F44"/>
    <w:rsid w:val="00663CFE"/>
    <w:rsid w:val="00680A41"/>
    <w:rsid w:val="007C1597"/>
    <w:rsid w:val="00892DD9"/>
    <w:rsid w:val="009272BF"/>
    <w:rsid w:val="0094607F"/>
    <w:rsid w:val="00965231"/>
    <w:rsid w:val="009A30B9"/>
    <w:rsid w:val="009D7BF4"/>
    <w:rsid w:val="00A23AF8"/>
    <w:rsid w:val="00AB00B8"/>
    <w:rsid w:val="00AD0E76"/>
    <w:rsid w:val="00B34AA1"/>
    <w:rsid w:val="00B71B94"/>
    <w:rsid w:val="00BB677D"/>
    <w:rsid w:val="00BB67DC"/>
    <w:rsid w:val="00CA60D6"/>
    <w:rsid w:val="00D67C66"/>
    <w:rsid w:val="00D70341"/>
    <w:rsid w:val="00E86A05"/>
    <w:rsid w:val="00E946A8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366"/>
  <w15:chartTrackingRefBased/>
  <w15:docId w15:val="{6A8FEF83-EA52-FD46-BE2F-18D3304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8E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338E"/>
    <w:rPr>
      <w:b/>
      <w:bCs/>
    </w:rPr>
  </w:style>
  <w:style w:type="paragraph" w:styleId="Prrafodelista">
    <w:name w:val="List Paragraph"/>
    <w:basedOn w:val="Normal"/>
    <w:uiPriority w:val="34"/>
    <w:qFormat/>
    <w:rsid w:val="0026338E"/>
    <w:pPr>
      <w:spacing w:after="0" w:line="240" w:lineRule="auto"/>
      <w:ind w:left="720"/>
      <w:contextualSpacing/>
    </w:pPr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6338E"/>
  </w:style>
  <w:style w:type="paragraph" w:styleId="Textonotapie">
    <w:name w:val="footnote text"/>
    <w:basedOn w:val="Normal"/>
    <w:link w:val="TextonotapieCar"/>
    <w:uiPriority w:val="99"/>
    <w:semiHidden/>
    <w:unhideWhenUsed/>
    <w:rsid w:val="00263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3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8E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8E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26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26</cp:revision>
  <dcterms:created xsi:type="dcterms:W3CDTF">2021-11-18T17:13:00Z</dcterms:created>
  <dcterms:modified xsi:type="dcterms:W3CDTF">2023-01-02T20:38:00Z</dcterms:modified>
</cp:coreProperties>
</file>