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5E4D" w14:textId="77777777" w:rsidR="0026338E" w:rsidRPr="00B34AA1" w:rsidRDefault="0026338E" w:rsidP="0026338E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bookmarkStart w:id="0" w:name="_Hlk62640605"/>
      <w:proofErr w:type="spellStart"/>
      <w:r w:rsidRPr="00B34AA1">
        <w:rPr>
          <w:rFonts w:ascii="Arial" w:hAnsi="Arial" w:cs="Arial"/>
          <w:iCs/>
          <w:sz w:val="18"/>
          <w:szCs w:val="18"/>
          <w:lang w:val="en-US"/>
        </w:rPr>
        <w:t>Señor</w:t>
      </w:r>
      <w:proofErr w:type="spellEnd"/>
      <w:r w:rsidRPr="00B34AA1">
        <w:rPr>
          <w:rFonts w:ascii="Arial" w:hAnsi="Arial" w:cs="Arial"/>
          <w:iCs/>
          <w:sz w:val="18"/>
          <w:szCs w:val="18"/>
          <w:lang w:val="en-US"/>
        </w:rPr>
        <w:t>(es)</w:t>
      </w:r>
    </w:p>
    <w:p w14:paraId="50565104" w14:textId="00D314E8" w:rsidR="0026338E" w:rsidRPr="004F7AE1" w:rsidRDefault="004F7AE1" w:rsidP="0026338E">
      <w:pPr>
        <w:spacing w:after="0"/>
        <w:jc w:val="both"/>
        <w:rPr>
          <w:rFonts w:ascii="Arial" w:hAnsi="Arial" w:cs="Arial"/>
          <w:iCs/>
          <w:color w:val="2E74B5" w:themeColor="accent5" w:themeShade="BF"/>
          <w:sz w:val="18"/>
          <w:szCs w:val="18"/>
          <w:lang w:val="en-US"/>
        </w:rPr>
      </w:pP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JUEZ </w:t>
      </w:r>
      <w:r w:rsidR="001721B7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CIVIL </w:t>
      </w:r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DE {% for item in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filing_city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proofErr w:type="gram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%}{</w:t>
      </w:r>
      <w:proofErr w:type="gram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item|upper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}}{% </w:t>
      </w:r>
      <w:proofErr w:type="spellStart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endfor</w:t>
      </w:r>
      <w:proofErr w:type="spellEnd"/>
      <w:r w:rsidRPr="00E374AF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%} (REPARTO)</w:t>
      </w:r>
    </w:p>
    <w:p w14:paraId="1A6EE444" w14:textId="77777777" w:rsidR="0026338E" w:rsidRPr="0087564B" w:rsidRDefault="0026338E" w:rsidP="0026338E">
      <w:pPr>
        <w:spacing w:after="0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CO"/>
        </w:rPr>
      </w:pPr>
      <w:r w:rsidRPr="0087564B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E.S.D</w:t>
      </w:r>
    </w:p>
    <w:p w14:paraId="2B37D387" w14:textId="77777777" w:rsidR="0026338E" w:rsidRPr="0087564B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</w:pPr>
    </w:p>
    <w:p w14:paraId="7A9E876A" w14:textId="677739EF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2E74B5" w:themeColor="accent5" w:themeShade="BF"/>
          <w:sz w:val="18"/>
          <w:szCs w:val="18"/>
          <w:lang w:val="en-US"/>
        </w:rPr>
      </w:pPr>
      <w:r w:rsidRPr="00F20DD7"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  <w:t xml:space="preserve">Asunto: </w:t>
      </w:r>
      <w:r w:rsidRPr="00F20DD7">
        <w:rPr>
          <w:rStyle w:val="Textoennegrita"/>
          <w:rFonts w:ascii="Arial" w:hAnsi="Arial" w:cs="Arial"/>
          <w:sz w:val="18"/>
          <w:szCs w:val="18"/>
          <w:lang w:val="es-CO"/>
        </w:rPr>
        <w:t>ACCIÓN DE TUTELA</w:t>
      </w:r>
      <w:r w:rsidRPr="00F20DD7">
        <w:rPr>
          <w:rStyle w:val="Textoennegrita"/>
          <w:rFonts w:ascii="Arial" w:hAnsi="Arial" w:cs="Arial"/>
          <w:b w:val="0"/>
          <w:bCs w:val="0"/>
          <w:sz w:val="18"/>
          <w:szCs w:val="18"/>
          <w:lang w:val="es-CO"/>
        </w:rPr>
        <w:t xml:space="preserve"> de</w:t>
      </w:r>
      <w:r w:rsidRPr="00F20DD7">
        <w:rPr>
          <w:rStyle w:val="Textoennegrita"/>
          <w:rFonts w:ascii="Arial" w:hAnsi="Arial" w:cs="Arial"/>
          <w:sz w:val="18"/>
          <w:szCs w:val="18"/>
          <w:lang w:val="es-CO"/>
        </w:rPr>
        <w:t xml:space="preserve"> </w:t>
      </w:r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</w:t>
      </w:r>
      <w:proofErr w:type="gramStart"/>
      <w:r w:rsidR="004F2E06" w:rsidRPr="00CF641C">
        <w:rPr>
          <w:rFonts w:ascii="Arial" w:hAnsi="Arial" w:cs="Arial"/>
          <w:iCs/>
          <w:color w:val="ED7D31" w:themeColor="accent2"/>
          <w:sz w:val="18"/>
          <w:szCs w:val="18"/>
        </w:rPr>
        <w:t>%}</w:t>
      </w:r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{</w:t>
      </w:r>
      <w:proofErr w:type="gramEnd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 </w:t>
      </w:r>
      <w:proofErr w:type="spellStart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4F2E06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4F2E06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4F2E06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4F2E06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4F2E06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4F2E06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4F2E06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{{</w:t>
      </w:r>
      <w:r w:rsidR="004F2E06" w:rsidRPr="004F2E06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complaining</w:t>
      </w:r>
      <w:proofErr w:type="gram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_id_number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}},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representada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por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legal_representative_name|title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quien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identifica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con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legal_representative_type_id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 No. {{ </w:t>
      </w:r>
      <w:proofErr w:type="spellStart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>legal_representative_id_number</w:t>
      </w:r>
      <w:proofErr w:type="spellEnd"/>
      <w:r w:rsidR="004F2E06" w:rsidRPr="004F2E06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  <w:lang w:val="en-US"/>
        </w:rPr>
        <w:t xml:space="preserve"> }},</w:t>
      </w:r>
      <w:r w:rsidR="004F2E06" w:rsidRPr="004F2E06">
        <w:rPr>
          <w:rFonts w:ascii="Arial" w:hAnsi="Arial" w:cs="Arial"/>
          <w:iCs/>
          <w:color w:val="ED7D31" w:themeColor="accent2"/>
          <w:sz w:val="18"/>
          <w:szCs w:val="18"/>
          <w:lang w:val="en-US"/>
        </w:rPr>
        <w:t>{% endif %}</w:t>
      </w:r>
      <w:r w:rsidRPr="004F2E06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n-US"/>
        </w:rPr>
        <w:t xml:space="preserve"> </w:t>
      </w:r>
      <w:r w:rsidRPr="004F2E06">
        <w:rPr>
          <w:rStyle w:val="Textoennegrita"/>
          <w:rFonts w:ascii="Arial" w:hAnsi="Arial" w:cs="Arial"/>
          <w:b w:val="0"/>
          <w:bCs w:val="0"/>
          <w:sz w:val="18"/>
          <w:szCs w:val="18"/>
          <w:lang w:val="en-US"/>
        </w:rPr>
        <w:t xml:space="preserve">contra </w:t>
      </w:r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 xml:space="preserve">{{ </w:t>
      </w:r>
      <w:proofErr w:type="spellStart"/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>company_or_entity_name|upper</w:t>
      </w:r>
      <w:proofErr w:type="spellEnd"/>
      <w:r w:rsidRPr="004F2E06">
        <w:rPr>
          <w:rStyle w:val="Textoennegrita"/>
          <w:rFonts w:ascii="Arial" w:hAnsi="Arial" w:cs="Arial"/>
          <w:sz w:val="18"/>
          <w:szCs w:val="18"/>
          <w:lang w:val="en-US"/>
        </w:rPr>
        <w:t xml:space="preserve"> }}</w:t>
      </w:r>
    </w:p>
    <w:p w14:paraId="2EBDF85A" w14:textId="77777777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iCs/>
          <w:color w:val="2E74B5" w:themeColor="accent5" w:themeShade="BF"/>
          <w:sz w:val="18"/>
          <w:szCs w:val="18"/>
          <w:lang w:val="en-US"/>
        </w:rPr>
      </w:pPr>
    </w:p>
    <w:p w14:paraId="48ED5E80" w14:textId="77777777" w:rsidR="009A30B9" w:rsidRPr="004F2E06" w:rsidRDefault="009A30B9" w:rsidP="009A30B9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n-US"/>
        </w:rPr>
      </w:pPr>
    </w:p>
    <w:p w14:paraId="33FF4003" w14:textId="4D727ABE" w:rsidR="0026338E" w:rsidRPr="00B71B94" w:rsidRDefault="009A30B9" w:rsidP="00B71B94">
      <w:pPr>
        <w:jc w:val="both"/>
        <w:rPr>
          <w:rStyle w:val="Textoennegrita"/>
          <w:rFonts w:ascii="Arial" w:hAnsi="Arial" w:cs="Arial"/>
          <w:b w:val="0"/>
          <w:bCs w:val="0"/>
          <w:sz w:val="18"/>
          <w:szCs w:val="18"/>
        </w:rPr>
      </w:pPr>
      <w:bookmarkStart w:id="1" w:name="_Hlk62981040"/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DISRUPCIÓN AL DERECHO S.A.S., 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sociedad identificada con </w:t>
      </w:r>
      <w:proofErr w:type="spellStart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Nit</w:t>
      </w:r>
      <w:proofErr w:type="spellEnd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. 901.350.628 – 4, representada legalmente por </w:t>
      </w:r>
      <w:r w:rsidR="00473556" w:rsidRPr="00473556">
        <w:rPr>
          <w:rFonts w:ascii="Arial" w:hAnsi="Arial" w:cs="Arial"/>
          <w:sz w:val="18"/>
          <w:szCs w:val="18"/>
        </w:rPr>
        <w:t>Juan David Castilla Bahamón, identificado con cédula de ciudadanía No. 1.020.738.766 y Tarjeta profesional 252414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, sociedad que actúa como apoderada de</w:t>
      </w:r>
      <w:bookmarkEnd w:id="1"/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</w:t>
      </w:r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</w:t>
      </w:r>
      <w:proofErr w:type="gramStart"/>
      <w:r w:rsidR="003D0F04" w:rsidRPr="00CF641C">
        <w:rPr>
          <w:rFonts w:ascii="Arial" w:hAnsi="Arial" w:cs="Arial"/>
          <w:iCs/>
          <w:color w:val="ED7D31" w:themeColor="accent2"/>
          <w:sz w:val="18"/>
          <w:szCs w:val="18"/>
        </w:rPr>
        <w:t>%}</w:t>
      </w:r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{</w:t>
      </w:r>
      <w:proofErr w:type="gramEnd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 </w:t>
      </w:r>
      <w:proofErr w:type="spellStart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3D0F04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3D0F04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3D0F04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3D0F04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3D0F04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3D0F04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{{ </w:t>
      </w:r>
      <w:proofErr w:type="spellStart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legal_representative_id_numbe</w:t>
      </w:r>
      <w:r w:rsidR="003D0F04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3D0F04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3D0F04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342ECE" w:rsidRPr="00342ECE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{% if filing_city == ‘Bugalagrande’ or filing_city == ‘Choconta’ or filing_city == ‘Sabaneta’ %} y cuya dirección es {{ user_location }} {% endif %}</w:t>
      </w: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 xml:space="preserve"> </w:t>
      </w:r>
      <w:r w:rsidRPr="00682D22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con todo respeto manifiesto a usted que, en ejercicio del mecanismo constitucional de tutela consagrado en el artículo 86 de la Constitución Política de Colombia, reglamentado por el Decreto 2591 de 1991, y demás normas regulatorias, por este escrito formulo acción de tutela contra </w:t>
      </w:r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{{ </w:t>
      </w:r>
      <w:proofErr w:type="spellStart"/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>company_or_entity_name|upper</w:t>
      </w:r>
      <w:proofErr w:type="spellEnd"/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 }}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, con el objeto de que se ampare el derecho fundamental</w:t>
      </w:r>
      <w:r w:rsidR="00D70341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 xml:space="preserve"> de PETICIÓN</w:t>
      </w:r>
      <w:r w:rsidRPr="00682D22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conformidad con los siguientes:</w:t>
      </w:r>
    </w:p>
    <w:p w14:paraId="6247844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sz w:val="18"/>
          <w:szCs w:val="18"/>
          <w:lang w:val="es-ES_tradnl"/>
        </w:rPr>
      </w:pPr>
    </w:p>
    <w:p w14:paraId="6CABC70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Style w:val="Textoennegrita"/>
          <w:rFonts w:ascii="Arial" w:hAnsi="Arial" w:cs="Arial"/>
          <w:sz w:val="18"/>
          <w:szCs w:val="18"/>
          <w:lang w:val="es-ES_tradnl"/>
        </w:rPr>
        <w:t>HECHOS</w:t>
      </w:r>
    </w:p>
    <w:p w14:paraId="14FE5851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2942E805" w14:textId="265FFE7D" w:rsidR="00A23AF8" w:rsidRPr="00A23AF8" w:rsidRDefault="0026338E" w:rsidP="00A23AF8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>Que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fue impuesto el comparendo No. </w:t>
      </w:r>
      <w:proofErr w:type="gram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fotomulta</w:t>
      </w:r>
      <w:proofErr w:type="gram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>_number</w:t>
      </w:r>
      <w:proofErr w:type="spellEnd"/>
      <w:r w:rsidR="00A23AF8" w:rsidRPr="00682D22">
        <w:rPr>
          <w:rFonts w:ascii="Arial" w:hAnsi="Arial" w:cs="Arial"/>
          <w:iCs/>
          <w:sz w:val="18"/>
          <w:szCs w:val="18"/>
          <w:lang w:val="es-ES_tradnl"/>
        </w:rPr>
        <w:t xml:space="preserve"> }}</w:t>
      </w:r>
      <w:r w:rsidR="00A23AF8">
        <w:rPr>
          <w:rFonts w:ascii="Arial" w:hAnsi="Arial" w:cs="Arial"/>
          <w:iCs/>
          <w:sz w:val="18"/>
          <w:szCs w:val="18"/>
          <w:lang w:val="es-ES_tradnl"/>
        </w:rPr>
        <w:t xml:space="preserve"> a nombre de </w:t>
      </w:r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if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</w:t>
      </w:r>
      <w:proofErr w:type="spellStart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>client_type</w:t>
      </w:r>
      <w:proofErr w:type="spellEnd"/>
      <w:r w:rsidR="007C1597" w:rsidRPr="00CF641C">
        <w:rPr>
          <w:rFonts w:ascii="Arial" w:hAnsi="Arial" w:cs="Arial"/>
          <w:iCs/>
          <w:color w:val="ED7D31" w:themeColor="accent2"/>
          <w:sz w:val="18"/>
          <w:szCs w:val="18"/>
        </w:rPr>
        <w:t xml:space="preserve"> == ‘Persona Natural’ %}</w:t>
      </w:r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natural.name|upper</w:t>
      </w:r>
      <w:proofErr w:type="spellEnd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}}</w:t>
      </w:r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, quien se identifica con {{ </w:t>
      </w:r>
      <w:proofErr w:type="spellStart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>complaining_type_id</w:t>
      </w:r>
      <w:proofErr w:type="spellEnd"/>
      <w:r w:rsidR="007C1597" w:rsidRPr="00CF641C">
        <w:rPr>
          <w:rFonts w:ascii="Arial" w:hAnsi="Arial" w:cs="Arial"/>
          <w:iCs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else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{{ </w:t>
      </w:r>
      <w:proofErr w:type="spellStart"/>
      <w:r w:rsidR="007C1597" w:rsidRPr="00CF641C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legal.name</w:t>
      </w:r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>|upper</w:t>
      </w:r>
      <w:proofErr w:type="spellEnd"/>
      <w:r w:rsidR="007C1597" w:rsidRPr="004F1A1B">
        <w:rPr>
          <w:rFonts w:ascii="Arial" w:hAnsi="Arial" w:cs="Arial"/>
          <w:b/>
          <w:bCs/>
          <w:iCs/>
          <w:color w:val="000000" w:themeColor="text1"/>
          <w:sz w:val="18"/>
          <w:szCs w:val="18"/>
        </w:rPr>
        <w:t xml:space="preserve"> </w:t>
      </w:r>
      <w:r w:rsidR="007C1597" w:rsidRPr="004F1A1B">
        <w:rPr>
          <w:rFonts w:ascii="Arial" w:hAnsi="Arial" w:cs="Arial"/>
          <w:iCs/>
          <w:color w:val="000000" w:themeColor="text1"/>
          <w:sz w:val="18"/>
          <w:szCs w:val="18"/>
        </w:rPr>
        <w:t>}}</w:t>
      </w:r>
      <w:r w:rsidR="007C1597" w:rsidRPr="004F1A1B">
        <w:rPr>
          <w:rStyle w:val="Textoennegrita"/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sociedad debidamente constituida e identificada con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Nit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{{</w:t>
      </w:r>
      <w:r w:rsidR="007C1597" w:rsidRPr="004F1A1B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complaining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_id_number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 representada por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legal_representative_name|title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quien se identifica con 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legal_representative_type_id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 No. </w:t>
      </w:r>
      <w:proofErr w:type="gram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{{ </w:t>
      </w:r>
      <w:proofErr w:type="spellStart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legal</w:t>
      </w:r>
      <w:proofErr w:type="gram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_representative_id_numbe</w:t>
      </w:r>
      <w:r w:rsidR="007C1597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>r</w:t>
      </w:r>
      <w:proofErr w:type="spellEnd"/>
      <w:r w:rsidR="007C1597" w:rsidRPr="004F1A1B">
        <w:rPr>
          <w:rStyle w:val="Textoennegrita"/>
          <w:rFonts w:ascii="Arial" w:hAnsi="Arial" w:cs="Arial"/>
          <w:b w:val="0"/>
          <w:bCs w:val="0"/>
          <w:color w:val="000000" w:themeColor="text1"/>
          <w:sz w:val="18"/>
          <w:szCs w:val="18"/>
        </w:rPr>
        <w:t xml:space="preserve"> }},</w:t>
      </w:r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{% </w:t>
      </w:r>
      <w:proofErr w:type="spellStart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>endif</w:t>
      </w:r>
      <w:proofErr w:type="spellEnd"/>
      <w:r w:rsidR="007C1597" w:rsidRPr="004F1A1B">
        <w:rPr>
          <w:rFonts w:ascii="Arial" w:hAnsi="Arial" w:cs="Arial"/>
          <w:iCs/>
          <w:color w:val="ED7D31" w:themeColor="accent2"/>
          <w:sz w:val="18"/>
          <w:szCs w:val="18"/>
        </w:rPr>
        <w:t xml:space="preserve"> %}</w:t>
      </w: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51ABF49B" w14:textId="77777777" w:rsidR="00A23AF8" w:rsidRDefault="00A23AF8" w:rsidP="00A23AF8">
      <w:pPr>
        <w:pStyle w:val="NormalWeb"/>
        <w:spacing w:before="0" w:beforeAutospacing="0" w:after="0" w:afterAutospacing="0" w:line="276" w:lineRule="auto"/>
        <w:ind w:left="1418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260E152" w14:textId="6E34488F" w:rsidR="0026338E" w:rsidRPr="00680A41" w:rsidRDefault="00D70341" w:rsidP="00680A41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CO"/>
        </w:rPr>
        <w:t>Que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 para el </w:t>
      </w:r>
      <w:r>
        <w:rPr>
          <w:rFonts w:ascii="Arial" w:hAnsi="Arial" w:cs="Arial"/>
          <w:iCs/>
          <w:sz w:val="18"/>
          <w:szCs w:val="18"/>
          <w:lang w:val="es-CO"/>
        </w:rPr>
        <w:t xml:space="preserve">día </w:t>
      </w:r>
      <w:proofErr w:type="gramStart"/>
      <w:r>
        <w:rPr>
          <w:rFonts w:ascii="Arial" w:hAnsi="Arial" w:cs="Arial"/>
          <w:iCs/>
          <w:sz w:val="18"/>
          <w:szCs w:val="18"/>
          <w:lang w:val="es-CO"/>
        </w:rPr>
        <w:t xml:space="preserve">{{ </w:t>
      </w:r>
      <w:proofErr w:type="spellStart"/>
      <w:r>
        <w:rPr>
          <w:rFonts w:ascii="Arial" w:hAnsi="Arial" w:cs="Arial"/>
          <w:iCs/>
          <w:sz w:val="18"/>
          <w:szCs w:val="18"/>
          <w:lang w:val="es-CO"/>
        </w:rPr>
        <w:t>fecha</w:t>
      </w:r>
      <w:proofErr w:type="gramEnd"/>
      <w:r>
        <w:rPr>
          <w:rFonts w:ascii="Arial" w:hAnsi="Arial" w:cs="Arial"/>
          <w:iCs/>
          <w:sz w:val="18"/>
          <w:szCs w:val="18"/>
          <w:lang w:val="es-CO"/>
        </w:rPr>
        <w:t>_audiencia</w:t>
      </w:r>
      <w:proofErr w:type="spellEnd"/>
      <w:r>
        <w:rPr>
          <w:rFonts w:ascii="Arial" w:hAnsi="Arial" w:cs="Arial"/>
          <w:iCs/>
          <w:sz w:val="18"/>
          <w:szCs w:val="18"/>
          <w:lang w:val="es-CO"/>
        </w:rPr>
        <w:t xml:space="preserve"> }} </w:t>
      </w:r>
      <w:r w:rsidR="00892DD9">
        <w:rPr>
          <w:rFonts w:ascii="Arial" w:hAnsi="Arial" w:cs="Arial"/>
          <w:iCs/>
          <w:sz w:val="18"/>
          <w:szCs w:val="18"/>
          <w:lang w:val="es-CO"/>
        </w:rPr>
        <w:t>se llevaría a cabo la audiencia virtual de impugnación del comparendo. Sin embargo,</w:t>
      </w:r>
      <w:r>
        <w:rPr>
          <w:rFonts w:ascii="Arial" w:hAnsi="Arial" w:cs="Arial"/>
          <w:iCs/>
          <w:sz w:val="18"/>
          <w:szCs w:val="18"/>
          <w:lang w:val="es-CO"/>
        </w:rPr>
        <w:t xml:space="preserve"> </w:t>
      </w:r>
      <w:r w:rsidR="00892DD9">
        <w:rPr>
          <w:rFonts w:ascii="Arial" w:hAnsi="Arial" w:cs="Arial"/>
          <w:iCs/>
          <w:sz w:val="18"/>
          <w:szCs w:val="18"/>
          <w:lang w:val="es-CO"/>
        </w:rPr>
        <w:t xml:space="preserve">sin justificación alguna </w:t>
      </w:r>
      <w:r>
        <w:rPr>
          <w:rFonts w:ascii="Arial" w:hAnsi="Arial" w:cs="Arial"/>
          <w:iCs/>
          <w:sz w:val="18"/>
          <w:szCs w:val="18"/>
          <w:lang w:val="es-CO"/>
        </w:rPr>
        <w:t>la entidad nunca se conectó a la audiencia</w:t>
      </w:r>
      <w:r w:rsidR="00680A41">
        <w:rPr>
          <w:rFonts w:ascii="Arial" w:hAnsi="Arial" w:cs="Arial"/>
          <w:iCs/>
          <w:color w:val="000000" w:themeColor="text1"/>
          <w:sz w:val="18"/>
          <w:szCs w:val="18"/>
          <w:lang w:val="es-CO"/>
        </w:rPr>
        <w:t>.</w:t>
      </w:r>
    </w:p>
    <w:p w14:paraId="29664930" w14:textId="77777777" w:rsidR="00680A41" w:rsidRDefault="00680A41" w:rsidP="00680A41">
      <w:pPr>
        <w:pStyle w:val="Prrafodelista"/>
        <w:rPr>
          <w:rFonts w:ascii="Arial" w:hAnsi="Arial" w:cs="Arial"/>
          <w:i/>
          <w:sz w:val="18"/>
          <w:szCs w:val="18"/>
          <w:lang w:val="es-ES_tradnl"/>
        </w:rPr>
      </w:pPr>
    </w:p>
    <w:p w14:paraId="07D75098" w14:textId="77777777" w:rsidR="00D67C66" w:rsidRDefault="0026338E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155F5"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dado lo anterior el día </w:t>
      </w:r>
      <w:proofErr w:type="gramStart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D67C6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D67C66">
        <w:rPr>
          <w:rFonts w:ascii="Arial" w:hAnsi="Arial" w:cs="Arial"/>
          <w:iCs/>
          <w:sz w:val="18"/>
          <w:szCs w:val="18"/>
          <w:lang w:val="es-ES_tradnl"/>
        </w:rPr>
        <w:t>_solicitud_reprogramacion</w:t>
      </w:r>
      <w:proofErr w:type="spellEnd"/>
      <w:r w:rsidR="00D67C66">
        <w:rPr>
          <w:rFonts w:ascii="Arial" w:hAnsi="Arial" w:cs="Arial"/>
          <w:iCs/>
          <w:sz w:val="18"/>
          <w:szCs w:val="18"/>
          <w:lang w:val="es-ES_tradnl"/>
        </w:rPr>
        <w:t xml:space="preserve"> }} se solicitó a la entidad la reprogramación de la audiencia.</w:t>
      </w:r>
    </w:p>
    <w:p w14:paraId="6A3B9E2C" w14:textId="77777777" w:rsidR="00D67C66" w:rsidRDefault="00D67C66" w:rsidP="00D67C66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29B0B40C" w14:textId="20E93516" w:rsidR="0026338E" w:rsidRDefault="00CA60D6" w:rsidP="0026338E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Que hasta la fecha no se ha recibido respuesta </w:t>
      </w:r>
      <w:r w:rsidR="0094607F">
        <w:rPr>
          <w:rFonts w:ascii="Arial" w:hAnsi="Arial" w:cs="Arial"/>
          <w:iCs/>
          <w:sz w:val="18"/>
          <w:szCs w:val="18"/>
          <w:lang w:val="es-ES_tradnl"/>
        </w:rPr>
        <w:t>a la petición de reprogramación de la audiencia.</w:t>
      </w:r>
    </w:p>
    <w:p w14:paraId="3ECE1248" w14:textId="76F417E4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{%p if </w:t>
      </w:r>
      <w:proofErr w:type="spellStart"/>
      <w:r w:rsidRPr="00604D26">
        <w:rPr>
          <w:rFonts w:ascii="Arial" w:hAnsi="Arial" w:cs="Arial"/>
          <w:iCs/>
          <w:sz w:val="18"/>
          <w:szCs w:val="18"/>
          <w:lang w:val="en-US"/>
        </w:rPr>
        <w:t>tutela_audiencia</w:t>
      </w:r>
      <w:proofErr w:type="spellEnd"/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and </w:t>
      </w:r>
      <w:proofErr w:type="spellStart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>fallo_favorable</w:t>
      </w:r>
      <w:proofErr w:type="spellEnd"/>
      <w:r w:rsidR="00604D26" w:rsidRPr="00604D26">
        <w:rPr>
          <w:rFonts w:ascii="Arial" w:hAnsi="Arial" w:cs="Arial"/>
          <w:iCs/>
          <w:sz w:val="18"/>
          <w:szCs w:val="18"/>
          <w:lang w:val="en-US"/>
        </w:rPr>
        <w:t xml:space="preserve"> == True</w:t>
      </w:r>
      <w:r w:rsidRPr="00604D26">
        <w:rPr>
          <w:rFonts w:ascii="Arial" w:hAnsi="Arial" w:cs="Arial"/>
          <w:iCs/>
          <w:sz w:val="18"/>
          <w:szCs w:val="18"/>
          <w:lang w:val="en-US"/>
        </w:rPr>
        <w:t xml:space="preserve"> %}</w:t>
      </w:r>
    </w:p>
    <w:p w14:paraId="6B802D38" w14:textId="77777777" w:rsidR="005C014F" w:rsidRPr="00604D26" w:rsidRDefault="005C014F" w:rsidP="005C014F">
      <w:pPr>
        <w:spacing w:after="0" w:line="240" w:lineRule="auto"/>
        <w:jc w:val="both"/>
        <w:rPr>
          <w:rFonts w:ascii="Arial" w:hAnsi="Arial" w:cs="Arial"/>
          <w:iCs/>
          <w:sz w:val="18"/>
          <w:szCs w:val="18"/>
          <w:lang w:val="en-US"/>
        </w:rPr>
      </w:pPr>
    </w:p>
    <w:p w14:paraId="094CA651" w14:textId="1472C1F1" w:rsidR="0026338E" w:rsidRPr="005C014F" w:rsidRDefault="0026338E" w:rsidP="005C014F">
      <w:pPr>
        <w:pStyle w:val="Prrafodelista"/>
        <w:numPr>
          <w:ilvl w:val="0"/>
          <w:numId w:val="3"/>
        </w:numPr>
        <w:ind w:left="1418" w:hanging="1418"/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Que </w:t>
      </w:r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en el presente caso ya se había presentado una tutela debido a que la entidad no quería agendar la audiencia y mediante fallo del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fecha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_fallo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bajo el proceso No. </w:t>
      </w:r>
      <w:proofErr w:type="gramStart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{{ </w:t>
      </w:r>
      <w:proofErr w:type="spellStart"/>
      <w:r w:rsidR="00604D26">
        <w:rPr>
          <w:rFonts w:ascii="Arial" w:hAnsi="Arial" w:cs="Arial"/>
          <w:iCs/>
          <w:sz w:val="18"/>
          <w:szCs w:val="18"/>
          <w:lang w:val="es-ES_tradnl"/>
        </w:rPr>
        <w:t>tutela</w:t>
      </w:r>
      <w:proofErr w:type="gramEnd"/>
      <w:r w:rsidR="00604D26">
        <w:rPr>
          <w:rFonts w:ascii="Arial" w:hAnsi="Arial" w:cs="Arial"/>
          <w:iCs/>
          <w:sz w:val="18"/>
          <w:szCs w:val="18"/>
          <w:lang w:val="es-ES_tradnl"/>
        </w:rPr>
        <w:t>_numero</w:t>
      </w:r>
      <w:proofErr w:type="spellEnd"/>
      <w:r w:rsidR="00604D26">
        <w:rPr>
          <w:rFonts w:ascii="Arial" w:hAnsi="Arial" w:cs="Arial"/>
          <w:iCs/>
          <w:sz w:val="18"/>
          <w:szCs w:val="18"/>
          <w:lang w:val="es-ES_tradnl"/>
        </w:rPr>
        <w:t xml:space="preserve"> }} el juez amparó el derecho al debido proceso y ordenó a la entidad a agendar audiencia</w:t>
      </w:r>
      <w:r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.</w:t>
      </w:r>
    </w:p>
    <w:p w14:paraId="35D5CCA5" w14:textId="56091000" w:rsidR="005C014F" w:rsidRPr="005C014F" w:rsidRDefault="005C014F" w:rsidP="005C014F">
      <w:pPr>
        <w:jc w:val="both"/>
        <w:rPr>
          <w:rFonts w:ascii="Arial" w:hAnsi="Arial" w:cs="Arial"/>
          <w:iCs/>
          <w:sz w:val="18"/>
          <w:szCs w:val="18"/>
          <w:lang w:val="es-ES_tradnl"/>
        </w:rPr>
      </w:pPr>
      <w:r>
        <w:rPr>
          <w:rFonts w:ascii="Arial" w:hAnsi="Arial" w:cs="Arial"/>
          <w:iCs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iCs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iCs/>
          <w:sz w:val="18"/>
          <w:szCs w:val="18"/>
          <w:lang w:val="es-ES_tradnl"/>
        </w:rPr>
        <w:t xml:space="preserve"> %}</w:t>
      </w:r>
    </w:p>
    <w:p w14:paraId="5C95287F" w14:textId="77777777" w:rsidR="0026338E" w:rsidRPr="00682D22" w:rsidRDefault="0026338E" w:rsidP="0026338E">
      <w:pPr>
        <w:pStyle w:val="Prrafodelista"/>
        <w:rPr>
          <w:rFonts w:ascii="Arial" w:hAnsi="Arial" w:cs="Arial"/>
          <w:iCs/>
          <w:sz w:val="18"/>
          <w:szCs w:val="18"/>
          <w:lang w:val="es-ES_tradnl"/>
        </w:rPr>
      </w:pPr>
    </w:p>
    <w:p w14:paraId="037B8705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DERECHOS CUYA PROTECCIÓN SE DEMANDA</w:t>
      </w:r>
    </w:p>
    <w:p w14:paraId="34F78244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1138B" w14:textId="63CD2B43" w:rsidR="001B3E9F" w:rsidRPr="00330E41" w:rsidRDefault="001B3E9F" w:rsidP="001B3E9F">
      <w:pPr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lastRenderedPageBreak/>
        <w:t xml:space="preserve">Respecto al derecho de petición,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reglado en el artículo 23 de la Constitución Política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,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en la ley 1437 de 2011 y desarrollado por la Ley 1755 de 2015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1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. En particular, esta prerrogativa constitucional faculta a los particulares para solicitar información mediante peticiones respetuosas ante </w:t>
      </w:r>
      <w:proofErr w:type="gramStart"/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autoridades públicas</w:t>
      </w:r>
      <w:proofErr w:type="gramEnd"/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o </w:t>
      </w:r>
      <w:r w:rsidRPr="00330E41">
        <w:rPr>
          <w:rFonts w:ascii="Arial" w:eastAsia="Times New Roman" w:hAnsi="Arial" w:cs="Arial"/>
          <w:b/>
          <w:iCs/>
          <w:color w:val="000000" w:themeColor="text1"/>
          <w:sz w:val="18"/>
          <w:szCs w:val="18"/>
          <w:lang w:eastAsia="es-CO"/>
        </w:rPr>
        <w:t xml:space="preserve">particulares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el fin de obtener la satisfacción de un interés personal o colectivo. La jurisprudencia constitucional ha destacado la 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fundamentalidad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de este derecho al considerar que es: (i) determinante para la efectividad de los mecanismos de la democracia participativa</w:t>
      </w:r>
      <w:r w:rsidRPr="00330E41">
        <w:rPr>
          <w:rStyle w:val="Refdenotaalpie"/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footnoteReference w:id="2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vertAlign w:val="superscript"/>
          <w:lang w:eastAsia="es-CO"/>
        </w:rPr>
        <w:t xml:space="preserve"> 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y (</w:t>
      </w:r>
      <w:proofErr w:type="spellStart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ii</w:t>
      </w:r>
      <w:proofErr w:type="spellEnd"/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) tiene un nexo directo con otras garantías fundamentales como lo es el acceso a la información</w:t>
      </w:r>
      <w:r w:rsidRPr="00330E41">
        <w:rPr>
          <w:rFonts w:ascii="Arial" w:eastAsia="Times New Roman" w:hAnsi="Arial" w:cs="Arial"/>
          <w:iCs/>
          <w:sz w:val="18"/>
          <w:szCs w:val="18"/>
          <w:vertAlign w:val="superscript"/>
          <w:lang w:eastAsia="es-CO"/>
        </w:rPr>
        <w:footnoteReference w:id="3"/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>. Al respecto, la Corte Constitucional ha señalado:</w:t>
      </w:r>
    </w:p>
    <w:p w14:paraId="03777964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“Este derecho fundamental tiene nexo directo con el derecho de acceso a la información (artículo 74 CP), en la medida que los ciudadanos en ejercicio del derecho de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petición,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tienen la potestad de conocer la información sobre el proceder de las autoridades y/o particulares, de acuerdo a los parámetros establecidos por el legislador (…). [E]l derecho de petición es </w:t>
      </w:r>
      <w:proofErr w:type="gramStart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el género y el derecho a acceder</w:t>
      </w:r>
      <w:proofErr w:type="gramEnd"/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a la información pública es una manifestación específica del mismo”</w:t>
      </w:r>
      <w:r w:rsidRPr="00330E41">
        <w:rPr>
          <w:rStyle w:val="Refdenotaalpie"/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4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. </w:t>
      </w:r>
    </w:p>
    <w:p w14:paraId="1978A628" w14:textId="77777777" w:rsidR="001B3E9F" w:rsidRPr="00330E41" w:rsidRDefault="001B3E9F" w:rsidP="001B3E9F">
      <w:pPr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Con ese criterio, la Ley 1755 de 2015 y la jurisprudencia constitucional ha señalado que el núcleo esencial del derecho fundamental de petición es la resolución pronta y oportuna de la cuestión. </w:t>
      </w:r>
    </w:p>
    <w:p w14:paraId="448B022E" w14:textId="77777777" w:rsidR="001B3E9F" w:rsidRPr="00330E41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Teniendo en consideración el núcleo esencial de esta garantía </w:t>
      </w:r>
      <w:r w:rsidRPr="00330E41">
        <w:rPr>
          <w:rFonts w:ascii="Arial" w:eastAsia="Times New Roman" w:hAnsi="Arial" w:cs="Arial"/>
          <w:i/>
          <w:color w:val="000000" w:themeColor="text1"/>
          <w:sz w:val="18"/>
          <w:szCs w:val="18"/>
          <w:lang w:eastAsia="es-CO"/>
        </w:rPr>
        <w:t>ius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fundamental la Corte Constitucional ha advertido que la garantía real del derecho de petición radica en cabeza de la administración o el particular y, la obligación de este no cesa con la simple resolución del derecho de petición. En palabras del Tribunal: </w:t>
      </w:r>
    </w:p>
    <w:p w14:paraId="23DF7AA6" w14:textId="77777777" w:rsidR="001B3E9F" w:rsidRPr="00330E41" w:rsidRDefault="001B3E9F" w:rsidP="001B3E9F">
      <w:pPr>
        <w:ind w:left="540" w:right="558"/>
        <w:jc w:val="both"/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 “Es necesario además que dicha solución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remedie sin confusiones el fondo del asunto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que este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dotada de claridad y congruencia entre lo pedido y lo resuelto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; e igualmente, que su </w:t>
      </w:r>
      <w:r w:rsidRPr="00330E41">
        <w:rPr>
          <w:rFonts w:ascii="Arial" w:eastAsia="Times New Roman" w:hAnsi="Arial" w:cs="Arial"/>
          <w:b/>
          <w:bCs/>
          <w:i/>
          <w:iCs/>
          <w:color w:val="000000" w:themeColor="text1"/>
          <w:sz w:val="18"/>
          <w:szCs w:val="18"/>
          <w:lang w:eastAsia="es-CO"/>
        </w:rPr>
        <w:t>oportuna respuesta se ponga en conocimiento del solicitante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 xml:space="preserve">, sin que pueda tenerse como real, una contestación falta de constancia y que sólo sea conocida por la persona o entidad de quien se solicita la información” </w:t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vertAlign w:val="superscript"/>
          <w:lang w:eastAsia="es-CO"/>
        </w:rPr>
        <w:footnoteReference w:id="5"/>
      </w:r>
      <w:r w:rsidRPr="00330E41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lang w:eastAsia="es-CO"/>
        </w:rPr>
        <w:t>.</w:t>
      </w:r>
    </w:p>
    <w:p w14:paraId="505D4268" w14:textId="31C09EED" w:rsidR="0026338E" w:rsidRPr="001B3E9F" w:rsidRDefault="001B3E9F" w:rsidP="001B3E9F">
      <w:pPr>
        <w:ind w:right="49"/>
        <w:jc w:val="both"/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</w:pP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A la luz de lo expuesto, la efectividad y el respeto por el derecho de petición se encuentran supeditados a que la autoridad o el particular, emita una respuesta que abarque en forma sustancial y responda de manera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clara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congruente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, de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fondo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y </w:t>
      </w:r>
      <w:r w:rsidRPr="00330E41">
        <w:rPr>
          <w:rFonts w:ascii="Arial" w:eastAsia="Times New Roman" w:hAnsi="Arial" w:cs="Arial"/>
          <w:b/>
          <w:bCs/>
          <w:iCs/>
          <w:color w:val="000000" w:themeColor="text1"/>
          <w:sz w:val="18"/>
          <w:szCs w:val="18"/>
          <w:lang w:eastAsia="es-CO"/>
        </w:rPr>
        <w:t>oportuna</w:t>
      </w:r>
      <w:r w:rsidRPr="00330E41">
        <w:rPr>
          <w:rFonts w:ascii="Arial" w:eastAsia="Times New Roman" w:hAnsi="Arial" w:cs="Arial"/>
          <w:iCs/>
          <w:color w:val="000000" w:themeColor="text1"/>
          <w:sz w:val="18"/>
          <w:szCs w:val="18"/>
          <w:lang w:eastAsia="es-CO"/>
        </w:rPr>
        <w:t xml:space="preserve"> la materia objeto de solicitud.</w:t>
      </w:r>
    </w:p>
    <w:p w14:paraId="24C97E61" w14:textId="77777777" w:rsidR="0026338E" w:rsidRPr="00682D22" w:rsidRDefault="0026338E" w:rsidP="0026338E">
      <w:pPr>
        <w:spacing w:after="0" w:line="240" w:lineRule="auto"/>
        <w:ind w:right="49"/>
        <w:jc w:val="both"/>
        <w:textAlignment w:val="baseline"/>
        <w:rPr>
          <w:rFonts w:ascii="Arial" w:eastAsia="Times New Roman" w:hAnsi="Arial" w:cs="Arial"/>
          <w:sz w:val="18"/>
          <w:szCs w:val="18"/>
          <w:lang w:val="es-ES_tradnl" w:eastAsia="es-CO"/>
        </w:rPr>
      </w:pPr>
    </w:p>
    <w:p w14:paraId="6102069C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49"/>
        <w:jc w:val="center"/>
        <w:rPr>
          <w:rFonts w:ascii="Arial" w:hAnsi="Arial" w:cs="Arial"/>
          <w:b/>
          <w:b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sz w:val="18"/>
          <w:szCs w:val="18"/>
          <w:lang w:val="es-ES_tradnl"/>
        </w:rPr>
        <w:t>FUNDAMENTOS DE DERECHO</w:t>
      </w:r>
    </w:p>
    <w:p w14:paraId="25C4716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right="616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C404BDE" w14:textId="2EFE82E6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Fundamento esta acción en el artículo </w:t>
      </w:r>
      <w:r w:rsidR="001B3E9F">
        <w:rPr>
          <w:rFonts w:ascii="Arial" w:hAnsi="Arial" w:cs="Arial"/>
          <w:sz w:val="18"/>
          <w:szCs w:val="18"/>
          <w:lang w:val="es-ES_tradnl"/>
        </w:rPr>
        <w:t>23</w:t>
      </w:r>
      <w:r w:rsidRPr="00682D22">
        <w:rPr>
          <w:rFonts w:ascii="Arial" w:hAnsi="Arial" w:cs="Arial"/>
          <w:sz w:val="18"/>
          <w:szCs w:val="18"/>
          <w:lang w:val="es-ES_tradnl"/>
        </w:rPr>
        <w:t xml:space="preserve"> y 86 de la Constitución Política de Colombia.</w:t>
      </w:r>
    </w:p>
    <w:p w14:paraId="49AB8BB8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1BE64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PRETENSIONES</w:t>
      </w:r>
    </w:p>
    <w:p w14:paraId="2A5E738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04840427" w14:textId="1760624A" w:rsidR="0026338E" w:rsidRPr="00682D22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AMPARAR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el derecho fundamental </w:t>
      </w:r>
      <w:r w:rsidR="001B3E9F">
        <w:rPr>
          <w:rFonts w:ascii="Arial" w:hAnsi="Arial" w:cs="Arial"/>
          <w:iCs/>
          <w:sz w:val="18"/>
          <w:szCs w:val="18"/>
          <w:lang w:val="es-ES_tradnl"/>
        </w:rPr>
        <w:t>de petición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>.</w:t>
      </w:r>
    </w:p>
    <w:p w14:paraId="579FFF6B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ind w:left="1134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30168F01" w14:textId="625781C2" w:rsidR="0026338E" w:rsidRPr="007733F9" w:rsidRDefault="0026338E" w:rsidP="0026338E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ind w:left="1134" w:hanging="1134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 xml:space="preserve">ORDENAR </w:t>
      </w: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a </w:t>
      </w:r>
      <w:r w:rsidR="001B3E9F" w:rsidRP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entidad accionada</w:t>
      </w:r>
      <w:r w:rsidR="001B3E9F">
        <w:rPr>
          <w:rStyle w:val="Textoennegrita"/>
          <w:rFonts w:ascii="Arial" w:hAnsi="Arial" w:cs="Arial"/>
          <w:sz w:val="18"/>
          <w:szCs w:val="18"/>
          <w:lang w:val="es-ES_tradnl"/>
        </w:rPr>
        <w:t xml:space="preserve">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a responder 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la petición, concretamente, 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la solicitud de</w:t>
      </w:r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informar fecha, hora y </w:t>
      </w:r>
      <w:proofErr w:type="gramStart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link</w:t>
      </w:r>
      <w:proofErr w:type="gramEnd"/>
      <w:r w:rsidR="002E683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de acceso a la</w:t>
      </w:r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reprogramación virtual de la audiencia de impugnación del </w:t>
      </w:r>
      <w:proofErr w:type="spellStart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>fotocomparendo</w:t>
      </w:r>
      <w:proofErr w:type="spellEnd"/>
      <w:r w:rsidR="001B3E9F">
        <w:rPr>
          <w:rStyle w:val="Textoennegrita"/>
          <w:rFonts w:ascii="Arial" w:hAnsi="Arial" w:cs="Arial"/>
          <w:b w:val="0"/>
          <w:bCs w:val="0"/>
          <w:sz w:val="18"/>
          <w:szCs w:val="18"/>
          <w:lang w:val="es-ES_tradnl"/>
        </w:rPr>
        <w:t xml:space="preserve"> ya referenciado. </w:t>
      </w:r>
    </w:p>
    <w:p w14:paraId="350CE160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  <w:lang w:val="es-ES_tradnl"/>
        </w:rPr>
      </w:pPr>
    </w:p>
    <w:p w14:paraId="4A2EE3FC" w14:textId="77777777" w:rsidR="0026338E" w:rsidRPr="00682D22" w:rsidRDefault="0026338E" w:rsidP="002633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sz w:val="18"/>
          <w:szCs w:val="18"/>
          <w:lang w:val="es-ES_tradnl"/>
        </w:rPr>
        <w:t>PRUEBAS</w:t>
      </w:r>
    </w:p>
    <w:p w14:paraId="03ED18A9" w14:textId="77777777" w:rsidR="0026338E" w:rsidRPr="00682D22" w:rsidRDefault="0026338E" w:rsidP="0026338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5913960" w14:textId="32822B60" w:rsidR="0026338E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Copia solicitud reprogramación audiencia.</w:t>
      </w:r>
    </w:p>
    <w:p w14:paraId="46C6CA25" w14:textId="3B46A5E9" w:rsidR="001B3E9F" w:rsidRPr="00682D22" w:rsidRDefault="001B3E9F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Constancia radicado petición.</w:t>
      </w:r>
    </w:p>
    <w:p w14:paraId="4F52D517" w14:textId="77777777" w:rsidR="0026338E" w:rsidRPr="00682D22" w:rsidRDefault="0026338E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Poder.</w:t>
      </w:r>
    </w:p>
    <w:p w14:paraId="37C5BC8E" w14:textId="2057B317" w:rsidR="0026338E" w:rsidRPr="00682D22" w:rsidRDefault="0026338E" w:rsidP="0026338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Certificado de existencia y representación legal.</w:t>
      </w:r>
    </w:p>
    <w:p w14:paraId="37DF6E53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</w:p>
    <w:p w14:paraId="11983EB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JURAMENTO</w:t>
      </w:r>
    </w:p>
    <w:p w14:paraId="18AAE726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6F724929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sz w:val="18"/>
          <w:szCs w:val="18"/>
          <w:lang w:val="es-ES_tradnl"/>
        </w:rPr>
        <w:t xml:space="preserve">Manifiesto señor juez, bajo la gravedad de juramento, que </w:t>
      </w:r>
      <w:r>
        <w:rPr>
          <w:rFonts w:ascii="Arial" w:hAnsi="Arial" w:cs="Arial"/>
          <w:iCs/>
          <w:sz w:val="18"/>
          <w:szCs w:val="18"/>
          <w:lang w:val="es-ES_tradnl"/>
        </w:rPr>
        <w:t xml:space="preserve">se presentó una acción de tutela por hechos parecidos a los hechos presentados en la presente acción de tutela. </w:t>
      </w:r>
    </w:p>
    <w:p w14:paraId="0E6D981E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iCs/>
          <w:sz w:val="18"/>
          <w:szCs w:val="18"/>
          <w:lang w:val="es-ES_tradnl"/>
        </w:rPr>
      </w:pPr>
    </w:p>
    <w:p w14:paraId="1D7171DF" w14:textId="77777777" w:rsidR="0026338E" w:rsidRPr="00682D22" w:rsidRDefault="0026338E" w:rsidP="0026338E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iCs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sz w:val="18"/>
          <w:szCs w:val="18"/>
          <w:lang w:val="es-ES_tradnl"/>
        </w:rPr>
        <w:t>NOTIFICACIONES</w:t>
      </w:r>
    </w:p>
    <w:p w14:paraId="01692F49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3B47B38D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 xml:space="preserve">La parte accionada las recibirá </w:t>
      </w:r>
      <w:r w:rsidRPr="00330E41">
        <w:rPr>
          <w:rFonts w:ascii="Arial" w:hAnsi="Arial" w:cs="Arial"/>
          <w:iCs/>
          <w:color w:val="000000" w:themeColor="text1"/>
          <w:sz w:val="18"/>
          <w:szCs w:val="18"/>
        </w:rPr>
        <w:t>al correo electrónico:</w:t>
      </w:r>
    </w:p>
    <w:p w14:paraId="48BFEC42" w14:textId="77777777" w:rsidR="001B3E9F" w:rsidRPr="00330E41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8"/>
          <w:szCs w:val="18"/>
        </w:rPr>
      </w:pPr>
    </w:p>
    <w:p w14:paraId="208C802B" w14:textId="77777777" w:rsidR="00106FA9" w:rsidRPr="007B10BE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18"/>
          <w:szCs w:val="18"/>
          <w:lang w:val="en-US"/>
        </w:rPr>
      </w:pPr>
      <w:proofErr w:type="gramStart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{{ email</w:t>
      </w:r>
      <w:proofErr w:type="gramEnd"/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}}</w:t>
      </w:r>
    </w:p>
    <w:p w14:paraId="491DA5B2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7B10BE">
        <w:rPr>
          <w:rFonts w:ascii="Arial" w:hAnsi="Arial" w:cs="Arial"/>
          <w:color w:val="000000" w:themeColor="text1"/>
          <w:sz w:val="18"/>
          <w:szCs w:val="18"/>
          <w:lang w:val="en-US"/>
        </w:rPr>
        <w:t>{%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2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NA@gmail.com’ %}</w:t>
      </w:r>
    </w:p>
    <w:p w14:paraId="116A80B9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2 }}</w:t>
      </w:r>
    </w:p>
    <w:p w14:paraId="3DD8F1A1" w14:textId="77777777" w:rsidR="00106FA9" w:rsidRPr="00087809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46BA7EB6" w14:textId="77777777" w:rsidR="00106FA9" w:rsidRPr="003F33C4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3F33C4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3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3F33C4">
        <w:rPr>
          <w:rFonts w:ascii="Arial" w:hAnsi="Arial" w:cs="Arial"/>
          <w:color w:val="00C200"/>
          <w:sz w:val="18"/>
          <w:szCs w:val="18"/>
          <w:lang w:val="en-US"/>
        </w:rPr>
        <w:t>’NA@gmail.com’ %}</w:t>
      </w:r>
    </w:p>
    <w:p w14:paraId="7B9BE20E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3 }}</w:t>
      </w:r>
    </w:p>
    <w:p w14:paraId="263C4067" w14:textId="77777777" w:rsidR="00106FA9" w:rsidRPr="002B0F45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07F7912" w14:textId="77777777" w:rsidR="00106FA9" w:rsidRPr="00517A2D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n-US"/>
        </w:rPr>
      </w:pPr>
      <w:r w:rsidRPr="00517A2D">
        <w:rPr>
          <w:rFonts w:ascii="Arial" w:hAnsi="Arial" w:cs="Arial"/>
          <w:color w:val="00C200"/>
          <w:sz w:val="18"/>
          <w:szCs w:val="18"/>
          <w:lang w:val="en-US"/>
        </w:rPr>
        <w:t>{%p if email</w:t>
      </w:r>
      <w:proofErr w:type="gramStart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4</w:t>
      </w:r>
      <w:r>
        <w:rPr>
          <w:rFonts w:ascii="Arial" w:hAnsi="Arial" w:cs="Arial"/>
          <w:color w:val="00C200"/>
          <w:sz w:val="18"/>
          <w:szCs w:val="18"/>
          <w:lang w:val="en-US"/>
        </w:rPr>
        <w:t>!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=</w:t>
      </w:r>
      <w:proofErr w:type="gramEnd"/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</w:t>
      </w:r>
      <w:r w:rsidRPr="003F33C4">
        <w:rPr>
          <w:rFonts w:ascii="Arial" w:hAnsi="Arial" w:cs="Arial"/>
          <w:color w:val="00C200"/>
          <w:sz w:val="18"/>
          <w:szCs w:val="18"/>
          <w:lang w:val="en-US"/>
        </w:rPr>
        <w:t>NA@gmail.com</w:t>
      </w:r>
      <w:r w:rsidRPr="00517A2D">
        <w:rPr>
          <w:rFonts w:ascii="Arial" w:hAnsi="Arial" w:cs="Arial"/>
          <w:color w:val="00C200"/>
          <w:sz w:val="18"/>
          <w:szCs w:val="18"/>
          <w:lang w:val="en-US"/>
        </w:rPr>
        <w:t>’ %}</w:t>
      </w:r>
    </w:p>
    <w:p w14:paraId="65549695" w14:textId="77777777" w:rsidR="00106FA9" w:rsidRPr="008B0937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4 }}</w:t>
      </w:r>
    </w:p>
    <w:p w14:paraId="7921B375" w14:textId="77777777" w:rsidR="00106FA9" w:rsidRPr="0047670B" w:rsidRDefault="00106FA9" w:rsidP="00106FA9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8"/>
          <w:szCs w:val="18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8"/>
          <w:szCs w:val="18"/>
          <w:lang w:val="es-ES_tradnl"/>
        </w:rPr>
        <w:t xml:space="preserve"> %}</w:t>
      </w:r>
    </w:p>
    <w:p w14:paraId="7FB18C67" w14:textId="1FDDF1A8" w:rsidR="001B3E9F" w:rsidRPr="00330E41" w:rsidRDefault="001B3E9F" w:rsidP="00106FA9">
      <w:pPr>
        <w:pStyle w:val="Prrafodelista"/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14:paraId="5964477F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  <w:r w:rsidRPr="00330E41">
        <w:rPr>
          <w:rFonts w:ascii="Arial" w:hAnsi="Arial" w:cs="Arial"/>
          <w:sz w:val="18"/>
          <w:szCs w:val="18"/>
        </w:rPr>
        <w:t>La parte accionante al correo electrónico</w:t>
      </w:r>
      <w:r>
        <w:rPr>
          <w:rFonts w:ascii="Arial" w:hAnsi="Arial" w:cs="Arial"/>
          <w:sz w:val="18"/>
          <w:szCs w:val="18"/>
        </w:rPr>
        <w:t>:</w:t>
      </w:r>
    </w:p>
    <w:p w14:paraId="7717CB8B" w14:textId="77777777" w:rsidR="001B3E9F" w:rsidRDefault="001B3E9F" w:rsidP="001B3E9F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18"/>
          <w:szCs w:val="18"/>
        </w:rPr>
      </w:pPr>
    </w:p>
    <w:p w14:paraId="41B2D660" w14:textId="77777777" w:rsidR="00663CFE" w:rsidRPr="001331FA" w:rsidRDefault="00663CFE" w:rsidP="00663CFE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gramStart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{{ </w:t>
      </w:r>
      <w:proofErr w:type="spellStart"/>
      <w:r w:rsidRPr="00334251">
        <w:rPr>
          <w:rFonts w:ascii="Arial" w:hAnsi="Arial" w:cs="Arial"/>
          <w:iCs/>
          <w:color w:val="000000" w:themeColor="text1"/>
          <w:sz w:val="18"/>
          <w:szCs w:val="18"/>
        </w:rPr>
        <w:t>ouremail</w:t>
      </w:r>
      <w:proofErr w:type="spellEnd"/>
      <w:proofErr w:type="gramEnd"/>
      <w:r w:rsidRPr="001331FA">
        <w:rPr>
          <w:rFonts w:ascii="Arial" w:hAnsi="Arial" w:cs="Arial"/>
          <w:iCs/>
          <w:color w:val="000000" w:themeColor="text1"/>
          <w:sz w:val="18"/>
          <w:szCs w:val="18"/>
        </w:rPr>
        <w:t xml:space="preserve"> }}</w:t>
      </w:r>
    </w:p>
    <w:p w14:paraId="748842AC" w14:textId="124D7CA1" w:rsidR="0026338E" w:rsidRPr="00663CFE" w:rsidRDefault="0026338E" w:rsidP="00663CFE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72B5F9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sz w:val="18"/>
          <w:szCs w:val="18"/>
          <w:lang w:val="es-ES_tradnl"/>
        </w:rPr>
        <w:t xml:space="preserve">Del señor juez, </w:t>
      </w:r>
      <w:r w:rsidRPr="00682D22">
        <w:rPr>
          <w:rFonts w:ascii="Arial" w:hAnsi="Arial" w:cs="Arial"/>
          <w:sz w:val="18"/>
          <w:szCs w:val="18"/>
          <w:lang w:val="es-ES_tradnl"/>
        </w:rPr>
        <w:tab/>
      </w:r>
    </w:p>
    <w:p w14:paraId="0DBBE41B" w14:textId="77777777" w:rsidR="0026338E" w:rsidRPr="00682D22" w:rsidRDefault="0026338E" w:rsidP="0026338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F3DB22" w14:textId="77777777" w:rsidR="00473556" w:rsidRPr="00682D22" w:rsidRDefault="00473556" w:rsidP="00473556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2" w:name="_Hlk62662346"/>
      <w:bookmarkStart w:id="3" w:name="_Hlk62981089"/>
      <w:bookmarkEnd w:id="0"/>
      <w:r w:rsidRPr="00682D22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2AF054E" wp14:editId="5F6B424C">
            <wp:extent cx="1166329" cy="523270"/>
            <wp:effectExtent l="0" t="0" r="0" b="0"/>
            <wp:docPr id="6" name="Imagen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8ADC" w14:textId="77777777" w:rsidR="00473556" w:rsidRPr="00682D22" w:rsidRDefault="00473556" w:rsidP="00473556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631DD5CA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0A9F853F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24C773B7" w14:textId="77777777" w:rsidR="00473556" w:rsidRPr="00682D22" w:rsidRDefault="00473556" w:rsidP="00473556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2"/>
    </w:p>
    <w:bookmarkEnd w:id="3"/>
    <w:p w14:paraId="5C5B040A" w14:textId="77777777" w:rsidR="0026338E" w:rsidRDefault="0026338E" w:rsidP="0026338E">
      <w:pPr>
        <w:rPr>
          <w:lang w:val="es-ES_tradnl"/>
        </w:rPr>
      </w:pPr>
    </w:p>
    <w:p w14:paraId="2AB6ED65" w14:textId="77777777" w:rsidR="0026338E" w:rsidRDefault="0026338E" w:rsidP="0026338E">
      <w:pPr>
        <w:rPr>
          <w:lang w:val="es-ES_tradnl"/>
        </w:rPr>
      </w:pPr>
    </w:p>
    <w:p w14:paraId="46BDF589" w14:textId="77777777" w:rsidR="0026338E" w:rsidRDefault="0026338E" w:rsidP="0026338E">
      <w:pPr>
        <w:rPr>
          <w:lang w:val="es-ES_tradnl"/>
        </w:rPr>
      </w:pPr>
    </w:p>
    <w:p w14:paraId="00816B4E" w14:textId="77777777" w:rsidR="0026338E" w:rsidRDefault="0026338E" w:rsidP="0026338E">
      <w:pPr>
        <w:rPr>
          <w:lang w:val="es-ES_tradnl"/>
        </w:rPr>
      </w:pPr>
    </w:p>
    <w:p w14:paraId="7FFE3D57" w14:textId="77777777" w:rsidR="0026338E" w:rsidRDefault="0026338E" w:rsidP="0026338E">
      <w:pPr>
        <w:rPr>
          <w:lang w:val="es-ES_tradnl"/>
        </w:rPr>
      </w:pPr>
    </w:p>
    <w:p w14:paraId="578420AD" w14:textId="77777777" w:rsidR="0026338E" w:rsidRDefault="0026338E" w:rsidP="0026338E">
      <w:pPr>
        <w:rPr>
          <w:lang w:val="es-ES_tradnl"/>
        </w:rPr>
      </w:pPr>
    </w:p>
    <w:p w14:paraId="02E66BC9" w14:textId="36C52469" w:rsidR="0026338E" w:rsidRPr="00682D22" w:rsidRDefault="0026338E" w:rsidP="0026338E">
      <w:pPr>
        <w:rPr>
          <w:lang w:val="es-ES_tradnl"/>
        </w:rPr>
      </w:pPr>
    </w:p>
    <w:p w14:paraId="5CC1B6D0" w14:textId="77777777" w:rsidR="0026338E" w:rsidRPr="00D25F8E" w:rsidRDefault="0026338E" w:rsidP="0026338E">
      <w:pPr>
        <w:rPr>
          <w:lang w:val="es-ES_tradnl"/>
        </w:rPr>
      </w:pPr>
    </w:p>
    <w:p w14:paraId="0E8F3DA2" w14:textId="516BFC91" w:rsidR="0026338E" w:rsidRDefault="0026338E" w:rsidP="0026338E"/>
    <w:p w14:paraId="05E30194" w14:textId="77777777" w:rsidR="00D95AE3" w:rsidRDefault="00000000"/>
    <w:sectPr w:rsidR="00D95AE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2A6A4" w14:textId="77777777" w:rsidR="003F4680" w:rsidRDefault="003F4680" w:rsidP="0026338E">
      <w:pPr>
        <w:spacing w:after="0" w:line="240" w:lineRule="auto"/>
      </w:pPr>
      <w:r>
        <w:separator/>
      </w:r>
    </w:p>
  </w:endnote>
  <w:endnote w:type="continuationSeparator" w:id="0">
    <w:p w14:paraId="30677EFF" w14:textId="77777777" w:rsidR="003F4680" w:rsidRDefault="003F4680" w:rsidP="00263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5B5D" w14:textId="77777777" w:rsidR="000327F3" w:rsidRDefault="003B2295" w:rsidP="000327F3">
    <w:pPr>
      <w:pStyle w:val="Piedepgina"/>
      <w:jc w:val="right"/>
      <w:rPr>
        <w:rFonts w:ascii="Arial" w:hAnsi="Arial" w:cs="Arial"/>
        <w:sz w:val="20"/>
        <w:szCs w:val="20"/>
      </w:rPr>
    </w:pPr>
    <w:r w:rsidRPr="00CB65E6">
      <w:rPr>
        <w:rFonts w:ascii="Arial" w:hAnsi="Arial" w:cs="Arial"/>
        <w:sz w:val="20"/>
        <w:szCs w:val="20"/>
      </w:rPr>
      <w:t xml:space="preserve">Página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PAGE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3</w:t>
    </w:r>
    <w:r w:rsidRPr="00CB65E6">
      <w:rPr>
        <w:rFonts w:ascii="Arial" w:hAnsi="Arial" w:cs="Arial"/>
        <w:sz w:val="20"/>
        <w:szCs w:val="20"/>
      </w:rPr>
      <w:fldChar w:fldCharType="end"/>
    </w:r>
    <w:r w:rsidRPr="00CB65E6">
      <w:rPr>
        <w:rFonts w:ascii="Arial" w:hAnsi="Arial" w:cs="Arial"/>
        <w:sz w:val="20"/>
        <w:szCs w:val="20"/>
      </w:rPr>
      <w:t xml:space="preserve"> de </w:t>
    </w:r>
    <w:r w:rsidRPr="00CB65E6">
      <w:rPr>
        <w:rFonts w:ascii="Arial" w:hAnsi="Arial" w:cs="Arial"/>
        <w:sz w:val="20"/>
        <w:szCs w:val="20"/>
      </w:rPr>
      <w:fldChar w:fldCharType="begin"/>
    </w:r>
    <w:r w:rsidRPr="00CB65E6">
      <w:rPr>
        <w:rFonts w:ascii="Arial" w:hAnsi="Arial" w:cs="Arial"/>
        <w:sz w:val="20"/>
        <w:szCs w:val="20"/>
      </w:rPr>
      <w:instrText>NUMPAGES  \* Arabic  \* MERGEFORMAT</w:instrText>
    </w:r>
    <w:r w:rsidRPr="00CB65E6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19</w:t>
    </w:r>
    <w:r w:rsidRPr="00CB65E6">
      <w:rPr>
        <w:rFonts w:ascii="Arial" w:hAnsi="Arial" w:cs="Arial"/>
        <w:sz w:val="20"/>
        <w:szCs w:val="20"/>
      </w:rPr>
      <w:fldChar w:fldCharType="end"/>
    </w:r>
  </w:p>
  <w:p w14:paraId="3C6013FB" w14:textId="77777777" w:rsidR="000327F3" w:rsidRPr="00742F11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6AA3" w14:textId="77777777" w:rsidR="003F4680" w:rsidRDefault="003F4680" w:rsidP="0026338E">
      <w:pPr>
        <w:spacing w:after="0" w:line="240" w:lineRule="auto"/>
      </w:pPr>
      <w:r>
        <w:separator/>
      </w:r>
    </w:p>
  </w:footnote>
  <w:footnote w:type="continuationSeparator" w:id="0">
    <w:p w14:paraId="34DA512E" w14:textId="77777777" w:rsidR="003F4680" w:rsidRDefault="003F4680" w:rsidP="0026338E">
      <w:pPr>
        <w:spacing w:after="0" w:line="240" w:lineRule="auto"/>
      </w:pPr>
      <w:r>
        <w:continuationSeparator/>
      </w:r>
    </w:p>
  </w:footnote>
  <w:footnote w:id="1">
    <w:p w14:paraId="3E30E185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“Por medio de la cual se regula el Derecho Fundamental de Petición y se sustituye un título del Código de Procedimiento Administrativo y de lo Contencioso Administrativo”. </w:t>
      </w:r>
    </w:p>
  </w:footnote>
  <w:footnote w:id="2">
    <w:p w14:paraId="74488407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 T-377 de 2000 M.P. Alejandro Martínez Caballero, T-054 de 2004 M.P. Marco Gerardo Monroy Cabra, T-149 de 2013 M.P. Luis Guillermo Guerrero Pérez y T-077 de 2018 M.P. Antonio José Lizarazo. </w:t>
      </w:r>
    </w:p>
  </w:footnote>
  <w:footnote w:id="3">
    <w:p w14:paraId="1CFE0325" w14:textId="77777777" w:rsidR="001B3E9F" w:rsidRPr="00452A63" w:rsidRDefault="001B3E9F" w:rsidP="001B3E9F">
      <w:pPr>
        <w:pStyle w:val="Textonotapie"/>
        <w:snapToGrid w:val="0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C-951 de 2014. M.P. Martha Victoria Sáchica Méndez y T-487 de 2017 M.P. Alberto Rojas Ríos. </w:t>
      </w:r>
    </w:p>
  </w:footnote>
  <w:footnote w:id="4">
    <w:p w14:paraId="57CB6CFE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</w:pPr>
      <w:r w:rsidRPr="00452A63">
        <w:rPr>
          <w:rStyle w:val="Refdenotaalpie"/>
          <w:rFonts w:asciiTheme="minorHAnsi" w:hAnsiTheme="minorHAnsi" w:cstheme="minorHAnsi"/>
          <w:color w:val="000000" w:themeColor="text1"/>
          <w:sz w:val="18"/>
          <w:szCs w:val="18"/>
        </w:rPr>
        <w:footnoteRef/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 xml:space="preserve"> </w:t>
      </w:r>
      <w:r w:rsidRPr="00452A63">
        <w:rPr>
          <w:rFonts w:asciiTheme="minorHAnsi" w:hAnsiTheme="minorHAnsi" w:cstheme="minorHAnsi"/>
          <w:color w:val="000000" w:themeColor="text1"/>
          <w:sz w:val="18"/>
          <w:szCs w:val="18"/>
          <w:lang w:val="es-ES"/>
        </w:rPr>
        <w:tab/>
        <w:t xml:space="preserve">Corte Constitucional. Sentencias T-377 de 2000 M.P. Alejandro Martínez Caballero y C-274 de 2013 M.P. María Victoria Calle Correa. </w:t>
      </w:r>
    </w:p>
  </w:footnote>
  <w:footnote w:id="5">
    <w:p w14:paraId="32214236" w14:textId="77777777" w:rsidR="001B3E9F" w:rsidRPr="00452A63" w:rsidRDefault="001B3E9F" w:rsidP="001B3E9F">
      <w:pPr>
        <w:pStyle w:val="Textonotapie"/>
        <w:jc w:val="both"/>
        <w:rPr>
          <w:rFonts w:asciiTheme="minorHAnsi" w:hAnsiTheme="minorHAnsi" w:cstheme="minorHAnsi"/>
          <w:sz w:val="18"/>
          <w:szCs w:val="18"/>
          <w:lang w:val="es-EC"/>
        </w:rPr>
      </w:pPr>
      <w:r w:rsidRPr="00452A63">
        <w:rPr>
          <w:rStyle w:val="Refdenotaalpie"/>
          <w:rFonts w:asciiTheme="minorHAnsi" w:hAnsiTheme="minorHAnsi" w:cstheme="minorHAnsi"/>
          <w:sz w:val="18"/>
          <w:szCs w:val="18"/>
        </w:rPr>
        <w:footnoteRef/>
      </w:r>
      <w:r w:rsidRPr="00452A63"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 w:rsidRPr="00452A63">
        <w:rPr>
          <w:rFonts w:asciiTheme="minorHAnsi" w:hAnsiTheme="minorHAnsi" w:cstheme="minorHAnsi"/>
          <w:sz w:val="18"/>
          <w:szCs w:val="18"/>
          <w:lang w:val="es-EC"/>
        </w:rPr>
        <w:tab/>
        <w:t xml:space="preserve">Corte Constitucional. T-149 de 2013 M.P. Luis Guillermo Guerrero Pérez.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FB9"/>
    <w:multiLevelType w:val="hybridMultilevel"/>
    <w:tmpl w:val="5C885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938"/>
    <w:multiLevelType w:val="hybridMultilevel"/>
    <w:tmpl w:val="DA2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084"/>
    <w:multiLevelType w:val="hybridMultilevel"/>
    <w:tmpl w:val="A1A4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A5183"/>
    <w:multiLevelType w:val="hybridMultilevel"/>
    <w:tmpl w:val="246A3F5A"/>
    <w:lvl w:ilvl="0" w:tplc="83168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22F4"/>
    <w:multiLevelType w:val="hybridMultilevel"/>
    <w:tmpl w:val="4B160D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70D71"/>
    <w:multiLevelType w:val="hybridMultilevel"/>
    <w:tmpl w:val="8D5A3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4B3F"/>
    <w:multiLevelType w:val="hybridMultilevel"/>
    <w:tmpl w:val="F07C7B88"/>
    <w:lvl w:ilvl="0" w:tplc="F9E09C9A">
      <w:start w:val="1"/>
      <w:numFmt w:val="ordinalText"/>
      <w:lvlText w:val="%1:"/>
      <w:lvlJc w:val="left"/>
      <w:pPr>
        <w:ind w:left="720" w:hanging="360"/>
      </w:pPr>
      <w:rPr>
        <w:rFonts w:hint="default"/>
        <w:b/>
        <w:bCs/>
        <w:caps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A100D"/>
    <w:multiLevelType w:val="hybridMultilevel"/>
    <w:tmpl w:val="FEBC10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16DB6"/>
    <w:multiLevelType w:val="hybridMultilevel"/>
    <w:tmpl w:val="658C3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13149"/>
    <w:multiLevelType w:val="hybridMultilevel"/>
    <w:tmpl w:val="039CE7E2"/>
    <w:lvl w:ilvl="0" w:tplc="F17E0B94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10097">
    <w:abstractNumId w:val="3"/>
  </w:num>
  <w:num w:numId="2" w16cid:durableId="587159278">
    <w:abstractNumId w:val="4"/>
  </w:num>
  <w:num w:numId="3" w16cid:durableId="1114322010">
    <w:abstractNumId w:val="9"/>
  </w:num>
  <w:num w:numId="4" w16cid:durableId="212615546">
    <w:abstractNumId w:val="7"/>
  </w:num>
  <w:num w:numId="5" w16cid:durableId="1276403811">
    <w:abstractNumId w:val="6"/>
  </w:num>
  <w:num w:numId="6" w16cid:durableId="289938828">
    <w:abstractNumId w:val="1"/>
  </w:num>
  <w:num w:numId="7" w16cid:durableId="1389958778">
    <w:abstractNumId w:val="2"/>
  </w:num>
  <w:num w:numId="8" w16cid:durableId="952398661">
    <w:abstractNumId w:val="5"/>
  </w:num>
  <w:num w:numId="9" w16cid:durableId="1922911797">
    <w:abstractNumId w:val="0"/>
  </w:num>
  <w:num w:numId="10" w16cid:durableId="1179079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E"/>
    <w:rsid w:val="00004370"/>
    <w:rsid w:val="00031AE1"/>
    <w:rsid w:val="00106FA9"/>
    <w:rsid w:val="00132B33"/>
    <w:rsid w:val="001721B7"/>
    <w:rsid w:val="001A3DFB"/>
    <w:rsid w:val="001B3E9F"/>
    <w:rsid w:val="0026338E"/>
    <w:rsid w:val="002E683F"/>
    <w:rsid w:val="00342ECE"/>
    <w:rsid w:val="003B2295"/>
    <w:rsid w:val="003D0F04"/>
    <w:rsid w:val="003F4680"/>
    <w:rsid w:val="004444A4"/>
    <w:rsid w:val="00473556"/>
    <w:rsid w:val="004F2E06"/>
    <w:rsid w:val="004F46B1"/>
    <w:rsid w:val="004F7AE1"/>
    <w:rsid w:val="005177A5"/>
    <w:rsid w:val="00596706"/>
    <w:rsid w:val="005C014F"/>
    <w:rsid w:val="00604D26"/>
    <w:rsid w:val="00645F44"/>
    <w:rsid w:val="00663CFE"/>
    <w:rsid w:val="00680A41"/>
    <w:rsid w:val="007C1597"/>
    <w:rsid w:val="00892DD9"/>
    <w:rsid w:val="0094607F"/>
    <w:rsid w:val="00965231"/>
    <w:rsid w:val="009A30B9"/>
    <w:rsid w:val="009D7BF4"/>
    <w:rsid w:val="00A23AF8"/>
    <w:rsid w:val="00A319F7"/>
    <w:rsid w:val="00AB00B8"/>
    <w:rsid w:val="00AD0E76"/>
    <w:rsid w:val="00B34AA1"/>
    <w:rsid w:val="00B5710A"/>
    <w:rsid w:val="00B71B94"/>
    <w:rsid w:val="00BB677D"/>
    <w:rsid w:val="00BB67DC"/>
    <w:rsid w:val="00CA60D6"/>
    <w:rsid w:val="00D67C66"/>
    <w:rsid w:val="00D70341"/>
    <w:rsid w:val="00E946A8"/>
    <w:rsid w:val="00F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5366"/>
  <w15:chartTrackingRefBased/>
  <w15:docId w15:val="{6A8FEF83-EA52-FD46-BE2F-18D33048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38E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6338E"/>
    <w:rPr>
      <w:b/>
      <w:bCs/>
    </w:rPr>
  </w:style>
  <w:style w:type="paragraph" w:styleId="Prrafodelista">
    <w:name w:val="List Paragraph"/>
    <w:basedOn w:val="Normal"/>
    <w:uiPriority w:val="34"/>
    <w:qFormat/>
    <w:rsid w:val="0026338E"/>
    <w:pPr>
      <w:spacing w:after="0" w:line="240" w:lineRule="auto"/>
      <w:ind w:left="720"/>
      <w:contextualSpacing/>
    </w:pPr>
    <w:rPr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26338E"/>
  </w:style>
  <w:style w:type="paragraph" w:styleId="Textonotapie">
    <w:name w:val="footnote text"/>
    <w:basedOn w:val="Normal"/>
    <w:link w:val="TextonotapieCar"/>
    <w:uiPriority w:val="99"/>
    <w:semiHidden/>
    <w:unhideWhenUsed/>
    <w:rsid w:val="00263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38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8E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633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8E"/>
    <w:rPr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26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27</cp:revision>
  <dcterms:created xsi:type="dcterms:W3CDTF">2021-11-18T17:13:00Z</dcterms:created>
  <dcterms:modified xsi:type="dcterms:W3CDTF">2023-01-02T20:22:00Z</dcterms:modified>
</cp:coreProperties>
</file>