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5E4D" w14:textId="77777777" w:rsidR="0026338E" w:rsidRPr="00B34AA1" w:rsidRDefault="0026338E" w:rsidP="0026338E">
      <w:pPr>
        <w:spacing w:after="0" w:line="240" w:lineRule="auto"/>
        <w:jc w:val="both"/>
        <w:rPr>
          <w:rFonts w:ascii="Arial" w:hAnsi="Arial" w:cs="Arial"/>
          <w:iCs/>
          <w:sz w:val="18"/>
          <w:szCs w:val="18"/>
          <w:lang w:val="en-US"/>
        </w:rPr>
      </w:pPr>
      <w:bookmarkStart w:id="0" w:name="_Hlk62640605"/>
      <w:proofErr w:type="spellStart"/>
      <w:r w:rsidRPr="00B34AA1">
        <w:rPr>
          <w:rFonts w:ascii="Arial" w:hAnsi="Arial" w:cs="Arial"/>
          <w:iCs/>
          <w:sz w:val="18"/>
          <w:szCs w:val="18"/>
          <w:lang w:val="en-US"/>
        </w:rPr>
        <w:t>Señor</w:t>
      </w:r>
      <w:proofErr w:type="spellEnd"/>
      <w:r w:rsidRPr="00B34AA1">
        <w:rPr>
          <w:rFonts w:ascii="Arial" w:hAnsi="Arial" w:cs="Arial"/>
          <w:iCs/>
          <w:sz w:val="18"/>
          <w:szCs w:val="18"/>
          <w:lang w:val="en-US"/>
        </w:rPr>
        <w:t>(es)</w:t>
      </w:r>
    </w:p>
    <w:p w14:paraId="50565104" w14:textId="00D314E8" w:rsidR="0026338E" w:rsidRPr="004F7AE1" w:rsidRDefault="004F7AE1" w:rsidP="0026338E">
      <w:pPr>
        <w:spacing w:after="0"/>
        <w:jc w:val="both"/>
        <w:rPr>
          <w:rFonts w:ascii="Arial" w:hAnsi="Arial" w:cs="Arial"/>
          <w:iCs/>
          <w:color w:val="2E74B5" w:themeColor="accent5" w:themeShade="BF"/>
          <w:sz w:val="18"/>
          <w:szCs w:val="18"/>
          <w:lang w:val="en-US"/>
        </w:rPr>
      </w:pPr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JUEZ </w:t>
      </w:r>
      <w:r w:rsidR="001721B7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CIVIL </w:t>
      </w:r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DE {% for item in </w:t>
      </w:r>
      <w:proofErr w:type="spell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filing_city</w:t>
      </w:r>
      <w:proofErr w:type="spell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</w:t>
      </w:r>
      <w:proofErr w:type="gram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%}{</w:t>
      </w:r>
      <w:proofErr w:type="gram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 </w:t>
      </w:r>
      <w:proofErr w:type="spell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item|upper</w:t>
      </w:r>
      <w:proofErr w:type="spell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}}{% </w:t>
      </w:r>
      <w:proofErr w:type="spell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endfor</w:t>
      </w:r>
      <w:proofErr w:type="spell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%} (REPARTO)</w:t>
      </w:r>
    </w:p>
    <w:p w14:paraId="1A6EE444" w14:textId="77777777" w:rsidR="0026338E" w:rsidRPr="001F3F4A" w:rsidRDefault="0026338E" w:rsidP="0026338E">
      <w:pPr>
        <w:spacing w:after="0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1F3F4A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E.S.D</w:t>
      </w:r>
    </w:p>
    <w:p w14:paraId="2B37D387" w14:textId="77777777" w:rsidR="0026338E" w:rsidRPr="001F3F4A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sz w:val="18"/>
          <w:szCs w:val="18"/>
          <w:lang w:val="en-US"/>
        </w:rPr>
      </w:pPr>
    </w:p>
    <w:p w14:paraId="7A9E876A" w14:textId="01F60C68" w:rsidR="009A30B9" w:rsidRPr="001E2A15" w:rsidRDefault="009A30B9" w:rsidP="001F3F4A">
      <w:pPr>
        <w:spacing w:after="0" w:line="240" w:lineRule="auto"/>
        <w:jc w:val="both"/>
        <w:rPr>
          <w:rStyle w:val="Textoennegrita"/>
          <w:rFonts w:ascii="Arial" w:hAnsi="Arial" w:cs="Arial"/>
          <w:b w:val="0"/>
          <w:bCs w:val="0"/>
          <w:iCs/>
          <w:color w:val="000000" w:themeColor="text1"/>
          <w:sz w:val="18"/>
          <w:szCs w:val="18"/>
          <w:lang w:val="en-US"/>
        </w:rPr>
      </w:pPr>
      <w:proofErr w:type="spellStart"/>
      <w:r w:rsidRPr="001E2A15">
        <w:rPr>
          <w:rStyle w:val="Textoennegrita"/>
          <w:rFonts w:ascii="Arial" w:hAnsi="Arial" w:cs="Arial"/>
          <w:b w:val="0"/>
          <w:bCs w:val="0"/>
          <w:sz w:val="18"/>
          <w:szCs w:val="18"/>
          <w:lang w:val="en-US"/>
        </w:rPr>
        <w:t>Asunto</w:t>
      </w:r>
      <w:proofErr w:type="spellEnd"/>
      <w:r w:rsidRPr="001E2A15">
        <w:rPr>
          <w:rStyle w:val="Textoennegrita"/>
          <w:rFonts w:ascii="Arial" w:hAnsi="Arial" w:cs="Arial"/>
          <w:b w:val="0"/>
          <w:bCs w:val="0"/>
          <w:sz w:val="18"/>
          <w:szCs w:val="18"/>
          <w:lang w:val="en-US"/>
        </w:rPr>
        <w:t xml:space="preserve">: </w:t>
      </w:r>
      <w:r w:rsidRPr="001E2A15">
        <w:rPr>
          <w:rStyle w:val="Textoennegrita"/>
          <w:rFonts w:ascii="Arial" w:hAnsi="Arial" w:cs="Arial"/>
          <w:sz w:val="18"/>
          <w:szCs w:val="18"/>
          <w:lang w:val="en-US"/>
        </w:rPr>
        <w:t>ACCIÓN DE TUTELA</w:t>
      </w:r>
      <w:r w:rsidRPr="001E2A15">
        <w:rPr>
          <w:rStyle w:val="Textoennegrita"/>
          <w:rFonts w:ascii="Arial" w:hAnsi="Arial" w:cs="Arial"/>
          <w:b w:val="0"/>
          <w:bCs w:val="0"/>
          <w:sz w:val="18"/>
          <w:szCs w:val="18"/>
          <w:lang w:val="en-US"/>
        </w:rPr>
        <w:t xml:space="preserve"> de</w:t>
      </w:r>
      <w:r w:rsidRPr="001E2A15">
        <w:rPr>
          <w:rStyle w:val="Textoennegrita"/>
          <w:rFonts w:ascii="Arial" w:hAnsi="Arial" w:cs="Arial"/>
          <w:sz w:val="18"/>
          <w:szCs w:val="18"/>
          <w:lang w:val="en-US"/>
        </w:rPr>
        <w:t xml:space="preserve"> </w:t>
      </w:r>
      <w:bookmarkStart w:id="1" w:name="_Hlk125974544"/>
      <w:r w:rsidR="001F3F4A"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 xml:space="preserve">{% if </w:t>
      </w:r>
      <w:proofErr w:type="spellStart"/>
      <w:r w:rsidR="001F3F4A"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>client_type</w:t>
      </w:r>
      <w:proofErr w:type="spellEnd"/>
      <w:r w:rsidR="001F3F4A"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 xml:space="preserve"> == ‘Persona Natural’ </w:t>
      </w:r>
      <w:proofErr w:type="gramStart"/>
      <w:r w:rsidR="001F3F4A"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>%}</w:t>
      </w:r>
      <w:r w:rsidR="001F3F4A"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{</w:t>
      </w:r>
      <w:proofErr w:type="gramEnd"/>
      <w:r w:rsidR="001F3F4A"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="001F3F4A"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natural.name|upper</w:t>
      </w:r>
      <w:proofErr w:type="spellEnd"/>
      <w:r w:rsidR="001F3F4A"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  <w:r w:rsidR="001F3F4A"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>{% else %}</w:t>
      </w:r>
      <w:r w:rsidR="001F3F4A"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="001F3F4A"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legal.name|upper</w:t>
      </w:r>
      <w:proofErr w:type="spellEnd"/>
      <w:r w:rsidR="001F3F4A"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  <w:r w:rsidR="001F3F4A"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>{% endif %}</w:t>
      </w:r>
      <w:bookmarkEnd w:id="1"/>
      <w:r w:rsidR="001E2A15">
        <w:rPr>
          <w:rFonts w:ascii="Arial" w:hAnsi="Arial" w:cs="Arial"/>
          <w:iCs/>
          <w:sz w:val="18"/>
          <w:szCs w:val="18"/>
          <w:lang w:val="en-US"/>
        </w:rPr>
        <w:t xml:space="preserve"> </w:t>
      </w:r>
      <w:r w:rsidR="001E2A15" w:rsidRPr="001E2A15">
        <w:rPr>
          <w:rFonts w:ascii="Arial" w:eastAsia="Arial" w:hAnsi="Arial" w:cs="Arial"/>
          <w:sz w:val="18"/>
          <w:szCs w:val="18"/>
          <w:lang w:val="en-US"/>
        </w:rPr>
        <w:t xml:space="preserve">contra </w:t>
      </w:r>
      <w:r w:rsidR="001E2A15" w:rsidRPr="001E2A15">
        <w:rPr>
          <w:rFonts w:ascii="Arial" w:eastAsia="Arial" w:hAnsi="Arial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1E2A15" w:rsidRPr="001E2A15">
        <w:rPr>
          <w:rFonts w:ascii="Arial" w:eastAsia="Arial" w:hAnsi="Arial" w:cs="Arial"/>
          <w:b/>
          <w:bCs/>
          <w:sz w:val="18"/>
          <w:szCs w:val="18"/>
          <w:lang w:val="en-US"/>
        </w:rPr>
        <w:t>company_or_entity_name</w:t>
      </w:r>
      <w:proofErr w:type="spellEnd"/>
      <w:r w:rsidR="001E2A15" w:rsidRPr="001E2A15">
        <w:rPr>
          <w:rFonts w:ascii="Arial" w:eastAsia="Arial" w:hAnsi="Arial" w:cs="Arial"/>
          <w:b/>
          <w:bCs/>
          <w:sz w:val="18"/>
          <w:szCs w:val="18"/>
          <w:lang w:val="en-US"/>
        </w:rPr>
        <w:t xml:space="preserve"> }}</w:t>
      </w:r>
      <w:r w:rsidR="001E2A15" w:rsidRPr="001E2A15">
        <w:rPr>
          <w:rFonts w:ascii="Arial" w:eastAsia="Arial" w:hAnsi="Arial" w:cs="Arial"/>
          <w:sz w:val="18"/>
          <w:szCs w:val="18"/>
          <w:lang w:val="en-US"/>
        </w:rPr>
        <w:t>.</w:t>
      </w:r>
    </w:p>
    <w:p w14:paraId="2EBDF85A" w14:textId="77777777" w:rsidR="009A30B9" w:rsidRPr="001E2A15" w:rsidRDefault="009A30B9" w:rsidP="009A30B9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iCs/>
          <w:color w:val="2E74B5" w:themeColor="accent5" w:themeShade="BF"/>
          <w:sz w:val="18"/>
          <w:szCs w:val="18"/>
          <w:lang w:val="en-US"/>
        </w:rPr>
      </w:pPr>
    </w:p>
    <w:p w14:paraId="48ED5E80" w14:textId="77777777" w:rsidR="009A30B9" w:rsidRPr="001E2A15" w:rsidRDefault="009A30B9" w:rsidP="009A30B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355C76B7" w14:textId="5A64FE5F" w:rsidR="001F3F4A" w:rsidRPr="002B2A9E" w:rsidRDefault="00FD68F3" w:rsidP="001F3F4A">
      <w:pPr>
        <w:spacing w:after="0" w:line="240" w:lineRule="auto"/>
        <w:jc w:val="both"/>
        <w:rPr>
          <w:rFonts w:ascii="Arial" w:hAnsi="Arial" w:cs="Arial"/>
          <w:iCs/>
          <w:color w:val="ED7D31" w:themeColor="accent2"/>
          <w:sz w:val="18"/>
          <w:szCs w:val="18"/>
        </w:rPr>
      </w:pPr>
      <w:bookmarkStart w:id="2" w:name="_Hlk125977723"/>
      <w:bookmarkStart w:id="3" w:name="_Hlk126071171"/>
      <w:bookmarkStart w:id="4" w:name="_Hlk125981710"/>
      <w:bookmarkStart w:id="5" w:name="_Hlk125977759"/>
      <w:r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 xml:space="preserve">{% if </w:t>
      </w:r>
      <w:proofErr w:type="spellStart"/>
      <w:r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>client_type</w:t>
      </w:r>
      <w:proofErr w:type="spellEnd"/>
      <w:r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 xml:space="preserve"> == ‘Persona Natural’ </w:t>
      </w:r>
      <w:proofErr w:type="gramStart"/>
      <w:r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>%}</w:t>
      </w:r>
      <w:r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{</w:t>
      </w:r>
      <w:proofErr w:type="gramEnd"/>
      <w:r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natural.name|upper</w:t>
      </w:r>
      <w:proofErr w:type="spellEnd"/>
      <w:r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quien</w:t>
      </w:r>
      <w:proofErr w:type="spellEnd"/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 se </w:t>
      </w:r>
      <w:proofErr w:type="spellStart"/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identifica</w:t>
      </w:r>
      <w:proofErr w:type="spellEnd"/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 con {{ </w:t>
      </w:r>
      <w:proofErr w:type="spellStart"/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complaining_type_id</w:t>
      </w:r>
      <w:proofErr w:type="spellEnd"/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 }} No. {{ </w:t>
      </w:r>
      <w:proofErr w:type="spellStart"/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complaining_id_number</w:t>
      </w:r>
      <w:proofErr w:type="spellEnd"/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 xml:space="preserve"> }}</w:t>
      </w:r>
      <w:r w:rsidRPr="001E2A15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>{% else %}</w:t>
      </w:r>
      <w:r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legal.name|upper</w:t>
      </w:r>
      <w:proofErr w:type="spellEnd"/>
      <w:r w:rsidRPr="001E2A15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Pr="001E2A15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}}</w:t>
      </w:r>
      <w:r w:rsidRPr="001E2A15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E2A15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>sociedad</w:t>
      </w:r>
      <w:proofErr w:type="spellEnd"/>
      <w:r w:rsidRPr="001E2A15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E2A15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>debidamente</w:t>
      </w:r>
      <w:proofErr w:type="spellEnd"/>
      <w:r w:rsidRPr="001E2A15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E2A15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>constituida</w:t>
      </w:r>
      <w:proofErr w:type="spellEnd"/>
      <w:r w:rsidRPr="001E2A15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 xml:space="preserve"> e </w:t>
      </w:r>
      <w:proofErr w:type="spellStart"/>
      <w:r w:rsidRPr="001E2A15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>identificada</w:t>
      </w:r>
      <w:proofErr w:type="spellEnd"/>
      <w:r w:rsidRPr="001E2A15">
        <w:rPr>
          <w:rStyle w:val="Textoennegrita"/>
          <w:rFonts w:ascii="Arial" w:hAnsi="Arial" w:cs="Arial"/>
          <w:color w:val="000000" w:themeColor="text1"/>
          <w:sz w:val="18"/>
          <w:szCs w:val="18"/>
          <w:lang w:val="en-US"/>
        </w:rPr>
        <w:t xml:space="preserve"> con Nit. </w:t>
      </w:r>
      <w:proofErr w:type="gramStart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>{{</w:t>
      </w:r>
      <w:r w:rsidRPr="00C96D1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>complaining</w:t>
      </w:r>
      <w:proofErr w:type="gramEnd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>_id_number</w:t>
      </w:r>
      <w:proofErr w:type="spellEnd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 }}, representada por {{ </w:t>
      </w:r>
      <w:proofErr w:type="spellStart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>legal_representative_name|title</w:t>
      </w:r>
      <w:proofErr w:type="spellEnd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 }} quien se identifica con {{ </w:t>
      </w:r>
      <w:proofErr w:type="spellStart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>legal_representative_type_id</w:t>
      </w:r>
      <w:proofErr w:type="spellEnd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 }} No. </w:t>
      </w:r>
      <w:proofErr w:type="gramStart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{{ </w:t>
      </w:r>
      <w:proofErr w:type="spellStart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>legal</w:t>
      </w:r>
      <w:proofErr w:type="gramEnd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>_representative_id_number</w:t>
      </w:r>
      <w:proofErr w:type="spellEnd"/>
      <w:r w:rsidRPr="00C96D11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 }},</w:t>
      </w:r>
      <w:r w:rsidRPr="00C96D11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Pr="00C96D11">
        <w:rPr>
          <w:rFonts w:ascii="Arial" w:hAnsi="Arial" w:cs="Arial"/>
          <w:iCs/>
          <w:color w:val="ED7D31" w:themeColor="accent2"/>
          <w:sz w:val="18"/>
          <w:szCs w:val="18"/>
        </w:rPr>
        <w:t>endif</w:t>
      </w:r>
      <w:proofErr w:type="spellEnd"/>
      <w:r w:rsidRPr="00C96D11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bookmarkEnd w:id="2"/>
      <w:r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bookmarkEnd w:id="3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if</w:t>
      </w:r>
      <w:proofErr w:type="spellEnd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</w:t>
      </w:r>
      <w:proofErr w:type="spellStart"/>
      <w:r w:rsidRPr="00D134F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filing_city</w:t>
      </w:r>
      <w:proofErr w:type="spellEnd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== ‘</w:t>
      </w:r>
      <w:r w:rsidRPr="00D134F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Bugalagrande</w:t>
      </w:r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’ </w:t>
      </w:r>
      <w:proofErr w:type="spellStart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or</w:t>
      </w:r>
      <w:proofErr w:type="spellEnd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</w:t>
      </w:r>
      <w:proofErr w:type="spellStart"/>
      <w:r w:rsidRPr="00D134F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filing_city</w:t>
      </w:r>
      <w:proofErr w:type="spellEnd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== ‘</w:t>
      </w:r>
      <w:proofErr w:type="spellStart"/>
      <w:r w:rsidRPr="00D134F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Choconta</w:t>
      </w:r>
      <w:proofErr w:type="spellEnd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’ </w:t>
      </w:r>
      <w:proofErr w:type="spellStart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or</w:t>
      </w:r>
      <w:proofErr w:type="spellEnd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</w:t>
      </w:r>
      <w:proofErr w:type="spellStart"/>
      <w:r w:rsidRPr="00D134F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filing_city</w:t>
      </w:r>
      <w:proofErr w:type="spellEnd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== ‘</w:t>
      </w:r>
      <w:r w:rsidRPr="00D134F0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Sabaneta</w:t>
      </w:r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’ %}, con dirección, ubicación o residencia ubicada en {{ </w:t>
      </w:r>
      <w:proofErr w:type="spellStart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user_location</w:t>
      </w:r>
      <w:proofErr w:type="spellEnd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}} {% </w:t>
      </w:r>
      <w:proofErr w:type="spellStart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%}</w:t>
      </w:r>
      <w:bookmarkEnd w:id="4"/>
      <w:r w:rsidRPr="00E374AF">
        <w:rPr>
          <w:rFonts w:ascii="Arial" w:eastAsia="Arial" w:hAnsi="Arial" w:cs="Arial"/>
          <w:color w:val="000000" w:themeColor="text1"/>
          <w:sz w:val="18"/>
          <w:szCs w:val="18"/>
        </w:rPr>
        <w:t>,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presento acción de tutela</w:t>
      </w:r>
      <w:r w:rsidRPr="00E374AF">
        <w:rPr>
          <w:rFonts w:ascii="Arial" w:eastAsia="Arial" w:hAnsi="Arial" w:cs="Arial"/>
          <w:color w:val="000000" w:themeColor="text1"/>
          <w:sz w:val="18"/>
          <w:szCs w:val="18"/>
        </w:rPr>
        <w:t xml:space="preserve"> por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la</w:t>
      </w:r>
      <w:r w:rsidRPr="00E374AF">
        <w:rPr>
          <w:rFonts w:ascii="Arial" w:eastAsia="Arial" w:hAnsi="Arial" w:cs="Arial"/>
          <w:color w:val="000000" w:themeColor="text1"/>
          <w:sz w:val="18"/>
          <w:szCs w:val="18"/>
        </w:rPr>
        <w:t xml:space="preserve"> transgresión de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>l</w:t>
      </w:r>
      <w:r w:rsidRPr="00E374AF">
        <w:rPr>
          <w:rFonts w:ascii="Arial" w:eastAsia="Arial" w:hAnsi="Arial" w:cs="Arial"/>
          <w:color w:val="000000" w:themeColor="text1"/>
          <w:sz w:val="18"/>
          <w:szCs w:val="18"/>
        </w:rPr>
        <w:t xml:space="preserve"> derecho fundamental al debido proceso, consagrado en el artículo 29 de la Constitución Política, con base en los hechos que se expondrán a continuación</w:t>
      </w:r>
      <w:r w:rsidRPr="00330E41">
        <w:rPr>
          <w:rStyle w:val="Textoennegrita"/>
          <w:rFonts w:ascii="Arial" w:hAnsi="Arial" w:cs="Arial"/>
          <w:b w:val="0"/>
          <w:bCs w:val="0"/>
          <w:sz w:val="18"/>
          <w:szCs w:val="18"/>
        </w:rPr>
        <w:t>:</w:t>
      </w:r>
    </w:p>
    <w:bookmarkEnd w:id="5"/>
    <w:p w14:paraId="6247844F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sz w:val="18"/>
          <w:szCs w:val="18"/>
          <w:lang w:val="es-ES_tradnl"/>
        </w:rPr>
      </w:pPr>
    </w:p>
    <w:p w14:paraId="6CABC701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Style w:val="Textoennegrita"/>
          <w:rFonts w:ascii="Arial" w:hAnsi="Arial" w:cs="Arial"/>
          <w:sz w:val="18"/>
          <w:szCs w:val="18"/>
          <w:lang w:val="es-ES_tradnl"/>
        </w:rPr>
        <w:t>HECHOS</w:t>
      </w:r>
    </w:p>
    <w:p w14:paraId="14FE5851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2942E805" w14:textId="265FFE7D" w:rsidR="00A23AF8" w:rsidRPr="00A23AF8" w:rsidRDefault="0026338E" w:rsidP="00A23AF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sz w:val="18"/>
          <w:szCs w:val="18"/>
          <w:lang w:val="es-ES_tradnl"/>
        </w:rPr>
        <w:t>Que</w:t>
      </w:r>
      <w:r w:rsidR="00A23AF8">
        <w:rPr>
          <w:rFonts w:ascii="Arial" w:hAnsi="Arial" w:cs="Arial"/>
          <w:iCs/>
          <w:sz w:val="18"/>
          <w:szCs w:val="18"/>
          <w:lang w:val="es-ES_tradnl"/>
        </w:rPr>
        <w:t xml:space="preserve"> fue impuesto el comparendo No. </w:t>
      </w:r>
      <w:proofErr w:type="gramStart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>fotomulta</w:t>
      </w:r>
      <w:proofErr w:type="gramEnd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>_number</w:t>
      </w:r>
      <w:proofErr w:type="spellEnd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 xml:space="preserve"> }}</w:t>
      </w:r>
      <w:r w:rsidR="00A23AF8">
        <w:rPr>
          <w:rFonts w:ascii="Arial" w:hAnsi="Arial" w:cs="Arial"/>
          <w:iCs/>
          <w:sz w:val="18"/>
          <w:szCs w:val="18"/>
          <w:lang w:val="es-ES_tradnl"/>
        </w:rPr>
        <w:t xml:space="preserve"> a nombre de </w:t>
      </w:r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>if</w:t>
      </w:r>
      <w:proofErr w:type="spellEnd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proofErr w:type="spellStart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>client_type</w:t>
      </w:r>
      <w:proofErr w:type="spellEnd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== ‘Persona Natural’ %}</w:t>
      </w:r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7C1597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, quien se identifica con {{ </w:t>
      </w:r>
      <w:proofErr w:type="spellStart"/>
      <w:r w:rsidR="007C1597" w:rsidRPr="00CF641C">
        <w:rPr>
          <w:rFonts w:ascii="Arial" w:hAnsi="Arial" w:cs="Arial"/>
          <w:iCs/>
          <w:color w:val="000000" w:themeColor="text1"/>
          <w:sz w:val="18"/>
          <w:szCs w:val="18"/>
        </w:rPr>
        <w:t>complaining_type_id</w:t>
      </w:r>
      <w:proofErr w:type="spellEnd"/>
      <w:r w:rsidR="007C1597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 }} No. </w:t>
      </w:r>
      <w:proofErr w:type="gramStart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>complaining</w:t>
      </w:r>
      <w:proofErr w:type="gramEnd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>_id_number</w:t>
      </w:r>
      <w:proofErr w:type="spellEnd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>else</w:t>
      </w:r>
      <w:proofErr w:type="spellEnd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7C1597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</w:t>
      </w:r>
      <w:r w:rsidR="007C1597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|upper</w:t>
      </w:r>
      <w:proofErr w:type="spellEnd"/>
      <w:r w:rsidR="007C1597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>}}</w:t>
      </w:r>
      <w:r w:rsidR="007C1597" w:rsidRPr="004F1A1B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sociedad debidamente constituida e identificada con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Nit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. </w:t>
      </w:r>
      <w:proofErr w:type="gram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{{</w:t>
      </w:r>
      <w:r w:rsidR="007C1597" w:rsidRPr="004F1A1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complaining</w:t>
      </w:r>
      <w:proofErr w:type="gram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_id_number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 representada por {{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legal_representative_name|title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quien se identifica con {{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legal_representative_type_id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No. </w:t>
      </w:r>
      <w:proofErr w:type="gram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{{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</w:t>
      </w:r>
      <w:proofErr w:type="gram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_representative_id_numbe</w:t>
      </w:r>
      <w:r w:rsidR="007C1597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r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</w:t>
      </w:r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>endif</w:t>
      </w:r>
      <w:proofErr w:type="spellEnd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.</w:t>
      </w:r>
    </w:p>
    <w:p w14:paraId="51ABF49B" w14:textId="77777777" w:rsidR="00A23AF8" w:rsidRDefault="00A23AF8" w:rsidP="00A23AF8">
      <w:pPr>
        <w:pStyle w:val="NormalWeb"/>
        <w:spacing w:before="0" w:beforeAutospacing="0" w:after="0" w:afterAutospacing="0" w:line="276" w:lineRule="auto"/>
        <w:ind w:left="1418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1260E152" w14:textId="6E34488F" w:rsidR="0026338E" w:rsidRPr="00680A41" w:rsidRDefault="00D70341" w:rsidP="00680A4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CO"/>
        </w:rPr>
        <w:t>Que</w:t>
      </w:r>
      <w:r w:rsidR="00892DD9">
        <w:rPr>
          <w:rFonts w:ascii="Arial" w:hAnsi="Arial" w:cs="Arial"/>
          <w:iCs/>
          <w:sz w:val="18"/>
          <w:szCs w:val="18"/>
          <w:lang w:val="es-CO"/>
        </w:rPr>
        <w:t xml:space="preserve"> para el </w:t>
      </w:r>
      <w:r>
        <w:rPr>
          <w:rFonts w:ascii="Arial" w:hAnsi="Arial" w:cs="Arial"/>
          <w:iCs/>
          <w:sz w:val="18"/>
          <w:szCs w:val="18"/>
          <w:lang w:val="es-CO"/>
        </w:rPr>
        <w:t xml:space="preserve">día </w:t>
      </w:r>
      <w:proofErr w:type="gramStart"/>
      <w:r>
        <w:rPr>
          <w:rFonts w:ascii="Arial" w:hAnsi="Arial" w:cs="Arial"/>
          <w:iCs/>
          <w:sz w:val="18"/>
          <w:szCs w:val="18"/>
          <w:lang w:val="es-CO"/>
        </w:rPr>
        <w:t xml:space="preserve">{{ </w:t>
      </w:r>
      <w:proofErr w:type="spellStart"/>
      <w:r>
        <w:rPr>
          <w:rFonts w:ascii="Arial" w:hAnsi="Arial" w:cs="Arial"/>
          <w:iCs/>
          <w:sz w:val="18"/>
          <w:szCs w:val="18"/>
          <w:lang w:val="es-CO"/>
        </w:rPr>
        <w:t>fecha</w:t>
      </w:r>
      <w:proofErr w:type="gramEnd"/>
      <w:r>
        <w:rPr>
          <w:rFonts w:ascii="Arial" w:hAnsi="Arial" w:cs="Arial"/>
          <w:iCs/>
          <w:sz w:val="18"/>
          <w:szCs w:val="18"/>
          <w:lang w:val="es-CO"/>
        </w:rPr>
        <w:t>_audiencia</w:t>
      </w:r>
      <w:proofErr w:type="spellEnd"/>
      <w:r>
        <w:rPr>
          <w:rFonts w:ascii="Arial" w:hAnsi="Arial" w:cs="Arial"/>
          <w:iCs/>
          <w:sz w:val="18"/>
          <w:szCs w:val="18"/>
          <w:lang w:val="es-CO"/>
        </w:rPr>
        <w:t xml:space="preserve"> }} </w:t>
      </w:r>
      <w:r w:rsidR="00892DD9">
        <w:rPr>
          <w:rFonts w:ascii="Arial" w:hAnsi="Arial" w:cs="Arial"/>
          <w:iCs/>
          <w:sz w:val="18"/>
          <w:szCs w:val="18"/>
          <w:lang w:val="es-CO"/>
        </w:rPr>
        <w:t>se llevaría a cabo la audiencia virtual de impugnación del comparendo. Sin embargo,</w:t>
      </w:r>
      <w:r>
        <w:rPr>
          <w:rFonts w:ascii="Arial" w:hAnsi="Arial" w:cs="Arial"/>
          <w:iCs/>
          <w:sz w:val="18"/>
          <w:szCs w:val="18"/>
          <w:lang w:val="es-CO"/>
        </w:rPr>
        <w:t xml:space="preserve"> </w:t>
      </w:r>
      <w:r w:rsidR="00892DD9">
        <w:rPr>
          <w:rFonts w:ascii="Arial" w:hAnsi="Arial" w:cs="Arial"/>
          <w:iCs/>
          <w:sz w:val="18"/>
          <w:szCs w:val="18"/>
          <w:lang w:val="es-CO"/>
        </w:rPr>
        <w:t xml:space="preserve">sin justificación alguna </w:t>
      </w:r>
      <w:r>
        <w:rPr>
          <w:rFonts w:ascii="Arial" w:hAnsi="Arial" w:cs="Arial"/>
          <w:iCs/>
          <w:sz w:val="18"/>
          <w:szCs w:val="18"/>
          <w:lang w:val="es-CO"/>
        </w:rPr>
        <w:t>la entidad nunca se conectó a la audiencia</w:t>
      </w:r>
      <w:r w:rsidR="00680A41">
        <w:rPr>
          <w:rFonts w:ascii="Arial" w:hAnsi="Arial" w:cs="Arial"/>
          <w:iCs/>
          <w:color w:val="000000" w:themeColor="text1"/>
          <w:sz w:val="18"/>
          <w:szCs w:val="18"/>
          <w:lang w:val="es-CO"/>
        </w:rPr>
        <w:t>.</w:t>
      </w:r>
    </w:p>
    <w:p w14:paraId="29664930" w14:textId="77777777" w:rsidR="00680A41" w:rsidRDefault="00680A41" w:rsidP="00680A41">
      <w:pPr>
        <w:pStyle w:val="Prrafodelista"/>
        <w:rPr>
          <w:rFonts w:ascii="Arial" w:hAnsi="Arial" w:cs="Arial"/>
          <w:i/>
          <w:sz w:val="18"/>
          <w:szCs w:val="18"/>
          <w:lang w:val="es-ES_tradnl"/>
        </w:rPr>
      </w:pPr>
    </w:p>
    <w:p w14:paraId="07D75098" w14:textId="77777777" w:rsidR="00D67C66" w:rsidRDefault="0026338E" w:rsidP="0026338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155F5">
        <w:rPr>
          <w:rFonts w:ascii="Arial" w:hAnsi="Arial" w:cs="Arial"/>
          <w:iCs/>
          <w:sz w:val="18"/>
          <w:szCs w:val="18"/>
          <w:lang w:val="es-ES_tradnl"/>
        </w:rPr>
        <w:t xml:space="preserve">Que </w:t>
      </w:r>
      <w:r w:rsidR="00D67C66">
        <w:rPr>
          <w:rFonts w:ascii="Arial" w:hAnsi="Arial" w:cs="Arial"/>
          <w:iCs/>
          <w:sz w:val="18"/>
          <w:szCs w:val="18"/>
          <w:lang w:val="es-ES_tradnl"/>
        </w:rPr>
        <w:t xml:space="preserve">dado lo anterior el día </w:t>
      </w:r>
      <w:proofErr w:type="gramStart"/>
      <w:r w:rsidR="00D67C66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D67C66">
        <w:rPr>
          <w:rFonts w:ascii="Arial" w:hAnsi="Arial" w:cs="Arial"/>
          <w:iCs/>
          <w:sz w:val="18"/>
          <w:szCs w:val="18"/>
          <w:lang w:val="es-ES_tradnl"/>
        </w:rPr>
        <w:t>fecha</w:t>
      </w:r>
      <w:proofErr w:type="gramEnd"/>
      <w:r w:rsidR="00D67C66">
        <w:rPr>
          <w:rFonts w:ascii="Arial" w:hAnsi="Arial" w:cs="Arial"/>
          <w:iCs/>
          <w:sz w:val="18"/>
          <w:szCs w:val="18"/>
          <w:lang w:val="es-ES_tradnl"/>
        </w:rPr>
        <w:t>_solicitud_reprogramacion</w:t>
      </w:r>
      <w:proofErr w:type="spellEnd"/>
      <w:r w:rsidR="00D67C66">
        <w:rPr>
          <w:rFonts w:ascii="Arial" w:hAnsi="Arial" w:cs="Arial"/>
          <w:iCs/>
          <w:sz w:val="18"/>
          <w:szCs w:val="18"/>
          <w:lang w:val="es-ES_tradnl"/>
        </w:rPr>
        <w:t xml:space="preserve"> }} se solicitó a la entidad la reprogramación de la audiencia.</w:t>
      </w:r>
    </w:p>
    <w:p w14:paraId="0AD94E1A" w14:textId="77777777" w:rsidR="007163E7" w:rsidRDefault="007163E7" w:rsidP="007163E7">
      <w:pPr>
        <w:pStyle w:val="Prrafodelista"/>
        <w:rPr>
          <w:rFonts w:ascii="Arial" w:hAnsi="Arial" w:cs="Arial"/>
          <w:iCs/>
          <w:sz w:val="18"/>
          <w:szCs w:val="18"/>
          <w:lang w:val="es-ES_tradnl"/>
        </w:rPr>
      </w:pPr>
    </w:p>
    <w:p w14:paraId="2C711FAF" w14:textId="4A294D84" w:rsidR="007163E7" w:rsidRDefault="007163E7" w:rsidP="0026338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ES_tradnl"/>
        </w:rPr>
        <w:t>Que hasta la fecha no se ha recibido respuesta a la petición de reprogramación de la audiencia.</w:t>
      </w:r>
    </w:p>
    <w:p w14:paraId="6A3B9E2C" w14:textId="77777777" w:rsidR="00D67C66" w:rsidRDefault="00D67C66" w:rsidP="00D67C66">
      <w:pPr>
        <w:pStyle w:val="Prrafodelista"/>
        <w:rPr>
          <w:rFonts w:ascii="Arial" w:hAnsi="Arial" w:cs="Arial"/>
          <w:iCs/>
          <w:sz w:val="18"/>
          <w:szCs w:val="18"/>
          <w:lang w:val="es-ES_tradnl"/>
        </w:rPr>
      </w:pPr>
    </w:p>
    <w:p w14:paraId="3ECE1248" w14:textId="76F417E4" w:rsidR="005C014F" w:rsidRPr="00604D26" w:rsidRDefault="005C014F" w:rsidP="005C014F">
      <w:pPr>
        <w:spacing w:after="0" w:line="240" w:lineRule="auto"/>
        <w:jc w:val="both"/>
        <w:rPr>
          <w:rFonts w:ascii="Arial" w:hAnsi="Arial" w:cs="Arial"/>
          <w:iCs/>
          <w:sz w:val="18"/>
          <w:szCs w:val="18"/>
          <w:lang w:val="en-US"/>
        </w:rPr>
      </w:pPr>
      <w:r w:rsidRPr="00604D26">
        <w:rPr>
          <w:rFonts w:ascii="Arial" w:hAnsi="Arial" w:cs="Arial"/>
          <w:iCs/>
          <w:sz w:val="18"/>
          <w:szCs w:val="18"/>
          <w:lang w:val="en-US"/>
        </w:rPr>
        <w:t xml:space="preserve">{%p if </w:t>
      </w:r>
      <w:proofErr w:type="spellStart"/>
      <w:r w:rsidRPr="00604D26">
        <w:rPr>
          <w:rFonts w:ascii="Arial" w:hAnsi="Arial" w:cs="Arial"/>
          <w:iCs/>
          <w:sz w:val="18"/>
          <w:szCs w:val="18"/>
          <w:lang w:val="en-US"/>
        </w:rPr>
        <w:t>tutela_audiencia</w:t>
      </w:r>
      <w:proofErr w:type="spellEnd"/>
      <w:r w:rsidRPr="00604D26">
        <w:rPr>
          <w:rFonts w:ascii="Arial" w:hAnsi="Arial" w:cs="Arial"/>
          <w:iCs/>
          <w:sz w:val="18"/>
          <w:szCs w:val="18"/>
          <w:lang w:val="en-US"/>
        </w:rPr>
        <w:t xml:space="preserve"> == True</w:t>
      </w:r>
      <w:r w:rsidR="00604D26" w:rsidRPr="00604D26">
        <w:rPr>
          <w:rFonts w:ascii="Arial" w:hAnsi="Arial" w:cs="Arial"/>
          <w:iCs/>
          <w:sz w:val="18"/>
          <w:szCs w:val="18"/>
          <w:lang w:val="en-US"/>
        </w:rPr>
        <w:t xml:space="preserve"> and </w:t>
      </w:r>
      <w:proofErr w:type="spellStart"/>
      <w:r w:rsidR="00604D26" w:rsidRPr="00604D26">
        <w:rPr>
          <w:rFonts w:ascii="Arial" w:hAnsi="Arial" w:cs="Arial"/>
          <w:iCs/>
          <w:sz w:val="18"/>
          <w:szCs w:val="18"/>
          <w:lang w:val="en-US"/>
        </w:rPr>
        <w:t>fallo_favorable</w:t>
      </w:r>
      <w:proofErr w:type="spellEnd"/>
      <w:r w:rsidR="00604D26" w:rsidRPr="00604D26">
        <w:rPr>
          <w:rFonts w:ascii="Arial" w:hAnsi="Arial" w:cs="Arial"/>
          <w:iCs/>
          <w:sz w:val="18"/>
          <w:szCs w:val="18"/>
          <w:lang w:val="en-US"/>
        </w:rPr>
        <w:t xml:space="preserve"> == True</w:t>
      </w:r>
      <w:r w:rsidRPr="00604D26">
        <w:rPr>
          <w:rFonts w:ascii="Arial" w:hAnsi="Arial" w:cs="Arial"/>
          <w:iCs/>
          <w:sz w:val="18"/>
          <w:szCs w:val="18"/>
          <w:lang w:val="en-US"/>
        </w:rPr>
        <w:t xml:space="preserve"> %}</w:t>
      </w:r>
    </w:p>
    <w:p w14:paraId="6B802D38" w14:textId="77777777" w:rsidR="005C014F" w:rsidRPr="00604D26" w:rsidRDefault="005C014F" w:rsidP="005C014F">
      <w:pPr>
        <w:spacing w:after="0" w:line="240" w:lineRule="auto"/>
        <w:jc w:val="both"/>
        <w:rPr>
          <w:rFonts w:ascii="Arial" w:hAnsi="Arial" w:cs="Arial"/>
          <w:iCs/>
          <w:sz w:val="18"/>
          <w:szCs w:val="18"/>
          <w:lang w:val="en-US"/>
        </w:rPr>
      </w:pPr>
    </w:p>
    <w:p w14:paraId="094CA651" w14:textId="1472C1F1" w:rsidR="0026338E" w:rsidRPr="005C014F" w:rsidRDefault="0026338E" w:rsidP="005C014F">
      <w:pPr>
        <w:pStyle w:val="Prrafodelista"/>
        <w:numPr>
          <w:ilvl w:val="0"/>
          <w:numId w:val="3"/>
        </w:numPr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ES_tradnl"/>
        </w:rPr>
        <w:t xml:space="preserve">Que </w:t>
      </w:r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en el presente caso ya se había presentado una tutela debido a que la entidad no quería agendar la audiencia y mediante fallo del </w:t>
      </w:r>
      <w:proofErr w:type="gramStart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604D26">
        <w:rPr>
          <w:rFonts w:ascii="Arial" w:hAnsi="Arial" w:cs="Arial"/>
          <w:iCs/>
          <w:sz w:val="18"/>
          <w:szCs w:val="18"/>
          <w:lang w:val="es-ES_tradnl"/>
        </w:rPr>
        <w:t>fecha</w:t>
      </w:r>
      <w:proofErr w:type="gramEnd"/>
      <w:r w:rsidR="00604D26">
        <w:rPr>
          <w:rFonts w:ascii="Arial" w:hAnsi="Arial" w:cs="Arial"/>
          <w:iCs/>
          <w:sz w:val="18"/>
          <w:szCs w:val="18"/>
          <w:lang w:val="es-ES_tradnl"/>
        </w:rPr>
        <w:t>_fallo</w:t>
      </w:r>
      <w:proofErr w:type="spellEnd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 }} bajo el proceso No. </w:t>
      </w:r>
      <w:proofErr w:type="gramStart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604D26">
        <w:rPr>
          <w:rFonts w:ascii="Arial" w:hAnsi="Arial" w:cs="Arial"/>
          <w:iCs/>
          <w:sz w:val="18"/>
          <w:szCs w:val="18"/>
          <w:lang w:val="es-ES_tradnl"/>
        </w:rPr>
        <w:t>tutela</w:t>
      </w:r>
      <w:proofErr w:type="gramEnd"/>
      <w:r w:rsidR="00604D26">
        <w:rPr>
          <w:rFonts w:ascii="Arial" w:hAnsi="Arial" w:cs="Arial"/>
          <w:iCs/>
          <w:sz w:val="18"/>
          <w:szCs w:val="18"/>
          <w:lang w:val="es-ES_tradnl"/>
        </w:rPr>
        <w:t>_numero</w:t>
      </w:r>
      <w:proofErr w:type="spellEnd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 }} el juez amparó el derecho al debido proceso y ordenó a la entidad a agendar audiencia</w:t>
      </w:r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.</w:t>
      </w:r>
    </w:p>
    <w:p w14:paraId="35D5CCA5" w14:textId="56091000" w:rsidR="005C014F" w:rsidRPr="005C014F" w:rsidRDefault="005C014F" w:rsidP="005C014F">
      <w:pPr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iCs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iCs/>
          <w:sz w:val="18"/>
          <w:szCs w:val="18"/>
          <w:lang w:val="es-ES_tradnl"/>
        </w:rPr>
        <w:t xml:space="preserve"> %}</w:t>
      </w:r>
    </w:p>
    <w:p w14:paraId="5C95287F" w14:textId="77777777" w:rsidR="0026338E" w:rsidRPr="00682D22" w:rsidRDefault="0026338E" w:rsidP="0026338E">
      <w:pPr>
        <w:pStyle w:val="Prrafodelista"/>
        <w:rPr>
          <w:rFonts w:ascii="Arial" w:hAnsi="Arial" w:cs="Arial"/>
          <w:iCs/>
          <w:sz w:val="18"/>
          <w:szCs w:val="18"/>
          <w:lang w:val="es-ES_tradnl"/>
        </w:rPr>
      </w:pPr>
    </w:p>
    <w:p w14:paraId="037B8705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DERECHOS CUYA PROTECCIÓN SE DEMANDA</w:t>
      </w:r>
    </w:p>
    <w:p w14:paraId="34F78244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1138B" w14:textId="63CD2B43" w:rsidR="001B3E9F" w:rsidRPr="00330E41" w:rsidRDefault="001B3E9F" w:rsidP="001B3E9F">
      <w:pPr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Respecto al derecho de petición,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reglado en el artículo 23 de la Constitución Política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,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en la ley 1437 de 2011 y desarrollado por la Ley 1755 de 2015</w:t>
      </w:r>
      <w:r w:rsidRPr="00330E41">
        <w:rPr>
          <w:rStyle w:val="Refdenotaalpie"/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1"/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. En particular, esta prerrogativa constitucional faculta a los particulares para solicitar información mediante peticiones respetuosas ante </w:t>
      </w:r>
      <w:proofErr w:type="gramStart"/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autoridades públicas</w:t>
      </w:r>
      <w:proofErr w:type="gramEnd"/>
      <w:r w:rsidRPr="00330E41">
        <w:rPr>
          <w:rFonts w:ascii="Arial" w:eastAsia="Times New Roman" w:hAnsi="Arial" w:cs="Arial"/>
          <w:b/>
          <w:iCs/>
          <w:color w:val="000000" w:themeColor="text1"/>
          <w:sz w:val="18"/>
          <w:szCs w:val="18"/>
          <w:lang w:eastAsia="es-CO"/>
        </w:rPr>
        <w:t xml:space="preserve">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o </w:t>
      </w:r>
      <w:r w:rsidRPr="00330E41">
        <w:rPr>
          <w:rFonts w:ascii="Arial" w:eastAsia="Times New Roman" w:hAnsi="Arial" w:cs="Arial"/>
          <w:b/>
          <w:iCs/>
          <w:color w:val="000000" w:themeColor="text1"/>
          <w:sz w:val="18"/>
          <w:szCs w:val="18"/>
          <w:lang w:eastAsia="es-CO"/>
        </w:rPr>
        <w:t xml:space="preserve">particulares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con el fin de obtener la satisfacción de un interés personal o colectivo. La jurisprudencia constitucional ha destacado la </w:t>
      </w:r>
      <w:proofErr w:type="spellStart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fundamentalidad</w:t>
      </w:r>
      <w:proofErr w:type="spellEnd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de este derecho al considerar que es: (i) determinante para la efectividad de los mecanismos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lastRenderedPageBreak/>
        <w:t>de la democracia participativa</w:t>
      </w:r>
      <w:r w:rsidRPr="00330E41">
        <w:rPr>
          <w:rStyle w:val="Refdenotaalpie"/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2"/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t xml:space="preserve">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y (</w:t>
      </w:r>
      <w:proofErr w:type="spellStart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ii</w:t>
      </w:r>
      <w:proofErr w:type="spellEnd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) tiene un nexo directo con otras garantías fundamentales como lo es el acceso a la información</w:t>
      </w:r>
      <w:r w:rsidRPr="00330E41">
        <w:rPr>
          <w:rFonts w:ascii="Arial" w:eastAsia="Times New Roman" w:hAnsi="Arial" w:cs="Arial"/>
          <w:iCs/>
          <w:sz w:val="18"/>
          <w:szCs w:val="18"/>
          <w:vertAlign w:val="superscript"/>
          <w:lang w:eastAsia="es-CO"/>
        </w:rPr>
        <w:footnoteReference w:id="3"/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. Al respecto, la Corte Constitucional ha señalado:</w:t>
      </w:r>
    </w:p>
    <w:p w14:paraId="03777964" w14:textId="77777777" w:rsidR="001B3E9F" w:rsidRPr="00330E41" w:rsidRDefault="001B3E9F" w:rsidP="001B3E9F">
      <w:pPr>
        <w:ind w:left="540" w:right="558"/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“Este derecho fundamental tiene nexo directo con el derecho de acceso a la información (artículo 74 CP), en la medida que los ciudadanos en ejercicio del derecho de </w:t>
      </w:r>
      <w:proofErr w:type="gramStart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petición,</w:t>
      </w:r>
      <w:proofErr w:type="gramEnd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tienen la potestad de conocer la información sobre el proceder de las autoridades y/o particulares, de acuerdo a los parámetros establecidos por el legislador (…). [E]l derecho de petición es </w:t>
      </w:r>
      <w:proofErr w:type="gramStart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el género y el derecho a acceder</w:t>
      </w:r>
      <w:proofErr w:type="gramEnd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a la información pública es una manifestación específica del mismo”</w:t>
      </w:r>
      <w:r w:rsidRPr="00330E41">
        <w:rPr>
          <w:rStyle w:val="Refdenotaalpie"/>
          <w:rFonts w:ascii="Arial" w:eastAsia="Times New Roman" w:hAnsi="Arial" w:cs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4"/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. </w:t>
      </w:r>
    </w:p>
    <w:p w14:paraId="1978A628" w14:textId="77777777" w:rsidR="001B3E9F" w:rsidRPr="00330E41" w:rsidRDefault="001B3E9F" w:rsidP="001B3E9F">
      <w:pPr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Con ese criterio, la Ley 1755 de 2015 y la jurisprudencia constitucional ha señalado que el núcleo esencial del derecho fundamental de petición es la resolución pronta y oportuna de la cuestión. </w:t>
      </w:r>
    </w:p>
    <w:p w14:paraId="448B022E" w14:textId="77777777" w:rsidR="001B3E9F" w:rsidRPr="00330E41" w:rsidRDefault="001B3E9F" w:rsidP="001B3E9F">
      <w:pPr>
        <w:ind w:right="49"/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Teniendo en consideración el núcleo esencial de esta garantía </w:t>
      </w:r>
      <w:r w:rsidRPr="00330E41">
        <w:rPr>
          <w:rFonts w:ascii="Arial" w:eastAsia="Times New Roman" w:hAnsi="Arial" w:cs="Arial"/>
          <w:i/>
          <w:color w:val="000000" w:themeColor="text1"/>
          <w:sz w:val="18"/>
          <w:szCs w:val="18"/>
          <w:lang w:eastAsia="es-CO"/>
        </w:rPr>
        <w:t>ius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fundamental la Corte Constitucional ha advertido que la garantía real del derecho de petición radica en cabeza de la administración o el particular y, la obligación de este no cesa con la simple resolución del derecho de petición. En palabras del Tribunal: </w:t>
      </w:r>
    </w:p>
    <w:p w14:paraId="23DF7AA6" w14:textId="77777777" w:rsidR="001B3E9F" w:rsidRPr="00330E41" w:rsidRDefault="001B3E9F" w:rsidP="001B3E9F">
      <w:pPr>
        <w:ind w:left="540" w:right="558"/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“Es necesario además que dicha solución </w:t>
      </w:r>
      <w:r w:rsidRPr="00330E4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remedie sin confusiones el fondo del asunto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; que este </w:t>
      </w:r>
      <w:r w:rsidRPr="00330E4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dotada de claridad y congruencia entre lo pedido y lo resuelto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; e igualmente, que su </w:t>
      </w:r>
      <w:r w:rsidRPr="00330E4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oportuna respuesta se ponga en conocimiento del solicitante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, sin que pueda tenerse como real, una contestación falta de constancia y que sólo sea conocida por la persona o entidad de quien se solicita la información” 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5"/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.</w:t>
      </w:r>
    </w:p>
    <w:p w14:paraId="505D4268" w14:textId="31C09EED" w:rsidR="0026338E" w:rsidRPr="001B3E9F" w:rsidRDefault="001B3E9F" w:rsidP="001B3E9F">
      <w:pPr>
        <w:ind w:right="49"/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A la luz de lo expuesto, la efectividad y el respeto por el derecho de petición se encuentran supeditados a que la autoridad o el particular, emita una respuesta que abarque en forma sustancial y responda de manera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clara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,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congruente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, de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fondo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y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oportuna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la materia objeto de solicitud.</w:t>
      </w:r>
    </w:p>
    <w:p w14:paraId="24C97E61" w14:textId="77777777" w:rsidR="0026338E" w:rsidRPr="00682D22" w:rsidRDefault="0026338E" w:rsidP="0026338E">
      <w:pPr>
        <w:spacing w:after="0" w:line="240" w:lineRule="auto"/>
        <w:ind w:right="49"/>
        <w:jc w:val="both"/>
        <w:textAlignment w:val="baseline"/>
        <w:rPr>
          <w:rFonts w:ascii="Arial" w:eastAsia="Times New Roman" w:hAnsi="Arial" w:cs="Arial"/>
          <w:sz w:val="18"/>
          <w:szCs w:val="18"/>
          <w:lang w:val="es-ES_tradnl" w:eastAsia="es-CO"/>
        </w:rPr>
      </w:pPr>
    </w:p>
    <w:p w14:paraId="6102069C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ind w:right="49"/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sz w:val="18"/>
          <w:szCs w:val="18"/>
          <w:lang w:val="es-ES_tradnl"/>
        </w:rPr>
        <w:t>FUNDAMENTOS DE DERECHO</w:t>
      </w:r>
    </w:p>
    <w:p w14:paraId="25C4716E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ind w:right="616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C404BDE" w14:textId="2EFE82E6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sz w:val="18"/>
          <w:szCs w:val="18"/>
          <w:lang w:val="es-ES_tradnl"/>
        </w:rPr>
        <w:t xml:space="preserve">Fundamento esta acción en el artículo </w:t>
      </w:r>
      <w:r w:rsidR="001B3E9F">
        <w:rPr>
          <w:rFonts w:ascii="Arial" w:hAnsi="Arial" w:cs="Arial"/>
          <w:sz w:val="18"/>
          <w:szCs w:val="18"/>
          <w:lang w:val="es-ES_tradnl"/>
        </w:rPr>
        <w:t>23</w:t>
      </w:r>
      <w:r w:rsidRPr="00682D22">
        <w:rPr>
          <w:rFonts w:ascii="Arial" w:hAnsi="Arial" w:cs="Arial"/>
          <w:sz w:val="18"/>
          <w:szCs w:val="18"/>
          <w:lang w:val="es-ES_tradnl"/>
        </w:rPr>
        <w:t xml:space="preserve"> y 86 de la Constitución Política de Colombia.</w:t>
      </w:r>
    </w:p>
    <w:p w14:paraId="49AB8BB8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1BE649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sz w:val="18"/>
          <w:szCs w:val="18"/>
          <w:lang w:val="es-ES_tradnl"/>
        </w:rPr>
        <w:t>PRETENSIONES</w:t>
      </w:r>
    </w:p>
    <w:p w14:paraId="2A5E738F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04840427" w14:textId="1760624A" w:rsidR="0026338E" w:rsidRPr="00682D22" w:rsidRDefault="0026338E" w:rsidP="0026338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 w:hanging="1134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 xml:space="preserve">AMPARAR </w:t>
      </w:r>
      <w:r w:rsidRPr="00682D22">
        <w:rPr>
          <w:rFonts w:ascii="Arial" w:hAnsi="Arial" w:cs="Arial"/>
          <w:iCs/>
          <w:sz w:val="18"/>
          <w:szCs w:val="18"/>
          <w:lang w:val="es-ES_tradnl"/>
        </w:rPr>
        <w:t xml:space="preserve">el derecho fundamental </w:t>
      </w:r>
      <w:r w:rsidR="001B3E9F">
        <w:rPr>
          <w:rFonts w:ascii="Arial" w:hAnsi="Arial" w:cs="Arial"/>
          <w:iCs/>
          <w:sz w:val="18"/>
          <w:szCs w:val="18"/>
          <w:lang w:val="es-ES_tradnl"/>
        </w:rPr>
        <w:t>de petición</w:t>
      </w:r>
      <w:r w:rsidRPr="00682D22">
        <w:rPr>
          <w:rFonts w:ascii="Arial" w:hAnsi="Arial" w:cs="Arial"/>
          <w:iCs/>
          <w:sz w:val="18"/>
          <w:szCs w:val="18"/>
          <w:lang w:val="es-ES_tradnl"/>
        </w:rPr>
        <w:t>.</w:t>
      </w:r>
    </w:p>
    <w:p w14:paraId="579FFF6B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ind w:left="1134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30168F01" w14:textId="625781C2" w:rsidR="0026338E" w:rsidRPr="007733F9" w:rsidRDefault="0026338E" w:rsidP="0026338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 w:hanging="1134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 xml:space="preserve">ORDENAR </w:t>
      </w:r>
      <w:r w:rsidRPr="00682D22">
        <w:rPr>
          <w:rFonts w:ascii="Arial" w:hAnsi="Arial" w:cs="Arial"/>
          <w:iCs/>
          <w:sz w:val="18"/>
          <w:szCs w:val="18"/>
          <w:lang w:val="es-ES_tradnl"/>
        </w:rPr>
        <w:t xml:space="preserve">a </w:t>
      </w:r>
      <w:r w:rsidR="001B3E9F" w:rsidRP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la entidad accionada</w:t>
      </w:r>
      <w:r w:rsidR="001B3E9F">
        <w:rPr>
          <w:rStyle w:val="Textoennegrita"/>
          <w:rFonts w:ascii="Arial" w:hAnsi="Arial" w:cs="Arial"/>
          <w:sz w:val="18"/>
          <w:szCs w:val="18"/>
          <w:lang w:val="es-ES_tradnl"/>
        </w:rPr>
        <w:t xml:space="preserve"> </w:t>
      </w:r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a responder </w:t>
      </w:r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la petición, concretamente, </w:t>
      </w:r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la solicitud de</w:t>
      </w:r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informar fecha, hora y </w:t>
      </w:r>
      <w:proofErr w:type="gramStart"/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link</w:t>
      </w:r>
      <w:proofErr w:type="gramEnd"/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de acceso a la</w:t>
      </w:r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reprogramación virtual de la audiencia de impugnación del </w:t>
      </w:r>
      <w:proofErr w:type="spellStart"/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fotocomparendo</w:t>
      </w:r>
      <w:proofErr w:type="spellEnd"/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ya referenciado. </w:t>
      </w:r>
    </w:p>
    <w:p w14:paraId="350CE160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18"/>
          <w:szCs w:val="18"/>
          <w:lang w:val="es-ES_tradnl"/>
        </w:rPr>
      </w:pPr>
    </w:p>
    <w:p w14:paraId="4A2EE3FC" w14:textId="77777777" w:rsidR="0026338E" w:rsidRPr="00682D22" w:rsidRDefault="0026338E" w:rsidP="002633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sz w:val="18"/>
          <w:szCs w:val="18"/>
          <w:lang w:val="es-ES_tradnl"/>
        </w:rPr>
        <w:t>PRUEBAS</w:t>
      </w:r>
    </w:p>
    <w:p w14:paraId="03ED18A9" w14:textId="77777777" w:rsidR="0026338E" w:rsidRPr="00682D22" w:rsidRDefault="0026338E" w:rsidP="0026338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5913960" w14:textId="32822B60" w:rsidR="0026338E" w:rsidRDefault="001B3E9F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Copia solicitud reprogramación audiencia.</w:t>
      </w:r>
    </w:p>
    <w:p w14:paraId="46C6CA25" w14:textId="3B46A5E9" w:rsidR="001B3E9F" w:rsidRPr="00682D22" w:rsidRDefault="001B3E9F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Constancia radicado petición.</w:t>
      </w:r>
    </w:p>
    <w:p w14:paraId="37DF6E53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11983EB9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>JURAMENTO</w:t>
      </w:r>
    </w:p>
    <w:p w14:paraId="18AAE726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iCs/>
          <w:sz w:val="18"/>
          <w:szCs w:val="18"/>
          <w:lang w:val="es-ES_tradnl"/>
        </w:rPr>
      </w:pPr>
    </w:p>
    <w:p w14:paraId="6F724929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sz w:val="18"/>
          <w:szCs w:val="18"/>
          <w:lang w:val="es-ES_tradnl"/>
        </w:rPr>
        <w:t xml:space="preserve">Manifiesto señor juez, bajo la gravedad de juramento, que </w:t>
      </w:r>
      <w:r>
        <w:rPr>
          <w:rFonts w:ascii="Arial" w:hAnsi="Arial" w:cs="Arial"/>
          <w:iCs/>
          <w:sz w:val="18"/>
          <w:szCs w:val="18"/>
          <w:lang w:val="es-ES_tradnl"/>
        </w:rPr>
        <w:t xml:space="preserve">se presentó una acción de tutela por hechos parecidos a los hechos presentados en la presente acción de tutela. </w:t>
      </w:r>
    </w:p>
    <w:p w14:paraId="0E6D981E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iCs/>
          <w:sz w:val="18"/>
          <w:szCs w:val="18"/>
          <w:lang w:val="es-ES_tradnl"/>
        </w:rPr>
      </w:pPr>
    </w:p>
    <w:p w14:paraId="1D7171DF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>NOTIFICACIONES</w:t>
      </w:r>
    </w:p>
    <w:p w14:paraId="01692F49" w14:textId="77777777" w:rsidR="001B3E9F" w:rsidRPr="00330E41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3B47B38D" w14:textId="77777777" w:rsidR="001B3E9F" w:rsidRPr="00330E41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  <w:r w:rsidRPr="00330E41">
        <w:rPr>
          <w:rFonts w:ascii="Arial" w:hAnsi="Arial" w:cs="Arial"/>
          <w:sz w:val="18"/>
          <w:szCs w:val="18"/>
        </w:rPr>
        <w:t xml:space="preserve">La parte accionada las recibirá </w:t>
      </w:r>
      <w:r w:rsidRPr="00330E41">
        <w:rPr>
          <w:rFonts w:ascii="Arial" w:hAnsi="Arial" w:cs="Arial"/>
          <w:iCs/>
          <w:color w:val="000000" w:themeColor="text1"/>
          <w:sz w:val="18"/>
          <w:szCs w:val="18"/>
        </w:rPr>
        <w:t>al correo electrónico:</w:t>
      </w:r>
    </w:p>
    <w:p w14:paraId="48BFEC42" w14:textId="77777777" w:rsidR="001B3E9F" w:rsidRPr="00330E41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</w:p>
    <w:p w14:paraId="208C802B" w14:textId="77777777" w:rsidR="00106FA9" w:rsidRPr="007B10BE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proofErr w:type="gramStart"/>
      <w:r w:rsidRPr="007B10BE">
        <w:rPr>
          <w:rFonts w:ascii="Arial" w:hAnsi="Arial" w:cs="Arial"/>
          <w:color w:val="000000" w:themeColor="text1"/>
          <w:sz w:val="18"/>
          <w:szCs w:val="18"/>
          <w:lang w:val="en-US"/>
        </w:rPr>
        <w:t>{{ email</w:t>
      </w:r>
      <w:proofErr w:type="gramEnd"/>
      <w:r w:rsidRPr="007B10BE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}}</w:t>
      </w:r>
    </w:p>
    <w:p w14:paraId="491DA5B2" w14:textId="77777777" w:rsidR="00106FA9" w:rsidRPr="003F33C4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7B10BE">
        <w:rPr>
          <w:rFonts w:ascii="Arial" w:hAnsi="Arial" w:cs="Arial"/>
          <w:color w:val="000000" w:themeColor="text1"/>
          <w:sz w:val="18"/>
          <w:szCs w:val="18"/>
          <w:lang w:val="en-US"/>
        </w:rPr>
        <w:t>{%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p if email</w:t>
      </w:r>
      <w:proofErr w:type="gramStart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2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>
        <w:rPr>
          <w:rFonts w:ascii="Arial" w:hAnsi="Arial" w:cs="Arial"/>
          <w:color w:val="00C200"/>
          <w:sz w:val="18"/>
          <w:szCs w:val="18"/>
          <w:lang w:val="en-US"/>
        </w:rPr>
        <w:t>’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NA@gmail.com’ %}</w:t>
      </w:r>
    </w:p>
    <w:p w14:paraId="116A80B9" w14:textId="77777777" w:rsidR="00106FA9" w:rsidRPr="008B0937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2 }}</w:t>
      </w:r>
    </w:p>
    <w:p w14:paraId="3DD8F1A1" w14:textId="77777777" w:rsidR="00106FA9" w:rsidRPr="00087809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46BA7EB6" w14:textId="77777777" w:rsidR="00106FA9" w:rsidRPr="003F33C4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3F33C4">
        <w:rPr>
          <w:rFonts w:ascii="Arial" w:hAnsi="Arial" w:cs="Arial"/>
          <w:color w:val="00C200"/>
          <w:sz w:val="18"/>
          <w:szCs w:val="18"/>
          <w:lang w:val="en-US"/>
        </w:rPr>
        <w:t>{%p if email</w:t>
      </w:r>
      <w:proofErr w:type="gramStart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3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’NA@gmail.com’ %}</w:t>
      </w:r>
    </w:p>
    <w:p w14:paraId="7B9BE20E" w14:textId="77777777" w:rsidR="00106FA9" w:rsidRPr="008B0937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3 }}</w:t>
      </w:r>
    </w:p>
    <w:p w14:paraId="263C4067" w14:textId="77777777" w:rsidR="00106FA9" w:rsidRPr="002B0F45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707F7912" w14:textId="77777777" w:rsidR="00106FA9" w:rsidRPr="00517A2D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517A2D">
        <w:rPr>
          <w:rFonts w:ascii="Arial" w:hAnsi="Arial" w:cs="Arial"/>
          <w:color w:val="00C200"/>
          <w:sz w:val="18"/>
          <w:szCs w:val="18"/>
          <w:lang w:val="en-US"/>
        </w:rPr>
        <w:t>{%p if email</w:t>
      </w:r>
      <w:proofErr w:type="gramStart"/>
      <w:r w:rsidRPr="00517A2D">
        <w:rPr>
          <w:rFonts w:ascii="Arial" w:hAnsi="Arial" w:cs="Arial"/>
          <w:color w:val="00C200"/>
          <w:sz w:val="18"/>
          <w:szCs w:val="18"/>
          <w:lang w:val="en-US"/>
        </w:rPr>
        <w:t>4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517A2D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 w:rsidRPr="00517A2D">
        <w:rPr>
          <w:rFonts w:ascii="Arial" w:hAnsi="Arial" w:cs="Arial"/>
          <w:color w:val="00C200"/>
          <w:sz w:val="18"/>
          <w:szCs w:val="18"/>
          <w:lang w:val="en-US"/>
        </w:rPr>
        <w:t>’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NA@gmail.com</w:t>
      </w:r>
      <w:r w:rsidRPr="00517A2D">
        <w:rPr>
          <w:rFonts w:ascii="Arial" w:hAnsi="Arial" w:cs="Arial"/>
          <w:color w:val="00C200"/>
          <w:sz w:val="18"/>
          <w:szCs w:val="18"/>
          <w:lang w:val="en-US"/>
        </w:rPr>
        <w:t>’ %}</w:t>
      </w:r>
    </w:p>
    <w:p w14:paraId="65549695" w14:textId="77777777" w:rsidR="00106FA9" w:rsidRPr="008B0937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4 }}</w:t>
      </w:r>
    </w:p>
    <w:p w14:paraId="7921B375" w14:textId="77777777" w:rsidR="00106FA9" w:rsidRPr="0047670B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7FB18C67" w14:textId="1FDDF1A8" w:rsidR="001B3E9F" w:rsidRPr="00330E41" w:rsidRDefault="001B3E9F" w:rsidP="00106FA9">
      <w:pPr>
        <w:pStyle w:val="Prrafodelista"/>
        <w:shd w:val="clear" w:color="auto" w:fill="FFFFFF"/>
        <w:jc w:val="both"/>
        <w:rPr>
          <w:rFonts w:ascii="Arial" w:hAnsi="Arial" w:cs="Arial"/>
          <w:sz w:val="18"/>
          <w:szCs w:val="18"/>
        </w:rPr>
      </w:pPr>
    </w:p>
    <w:p w14:paraId="5964477F" w14:textId="77777777" w:rsidR="001B3E9F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  <w:r w:rsidRPr="00330E41">
        <w:rPr>
          <w:rFonts w:ascii="Arial" w:hAnsi="Arial" w:cs="Arial"/>
          <w:sz w:val="18"/>
          <w:szCs w:val="18"/>
        </w:rPr>
        <w:t>La parte accionante al correo electrónico</w:t>
      </w:r>
      <w:r>
        <w:rPr>
          <w:rFonts w:ascii="Arial" w:hAnsi="Arial" w:cs="Arial"/>
          <w:sz w:val="18"/>
          <w:szCs w:val="18"/>
        </w:rPr>
        <w:t>:</w:t>
      </w:r>
    </w:p>
    <w:p w14:paraId="7717CB8B" w14:textId="77777777" w:rsidR="001B3E9F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</w:p>
    <w:p w14:paraId="41B2D660" w14:textId="77777777" w:rsidR="00663CFE" w:rsidRPr="001331FA" w:rsidRDefault="00663CFE" w:rsidP="00663CFE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 w:rsidRPr="001331FA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Pr="00334251">
        <w:rPr>
          <w:rFonts w:ascii="Arial" w:hAnsi="Arial" w:cs="Arial"/>
          <w:iCs/>
          <w:color w:val="000000" w:themeColor="text1"/>
          <w:sz w:val="18"/>
          <w:szCs w:val="18"/>
        </w:rPr>
        <w:t>ouremail</w:t>
      </w:r>
      <w:proofErr w:type="spellEnd"/>
      <w:proofErr w:type="gramEnd"/>
      <w:r w:rsidRPr="001331FA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</w:p>
    <w:p w14:paraId="748842AC" w14:textId="124D7CA1" w:rsidR="0026338E" w:rsidRPr="00663CFE" w:rsidRDefault="0026338E" w:rsidP="00663CFE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72B5F9" w14:textId="77777777" w:rsidR="0026338E" w:rsidRPr="00682D22" w:rsidRDefault="0026338E" w:rsidP="0026338E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sz w:val="18"/>
          <w:szCs w:val="18"/>
          <w:lang w:val="es-ES_tradnl"/>
        </w:rPr>
        <w:t xml:space="preserve">Del señor juez, </w:t>
      </w:r>
      <w:r w:rsidRPr="00682D22">
        <w:rPr>
          <w:rFonts w:ascii="Arial" w:hAnsi="Arial" w:cs="Arial"/>
          <w:sz w:val="18"/>
          <w:szCs w:val="18"/>
          <w:lang w:val="es-ES_tradnl"/>
        </w:rPr>
        <w:tab/>
      </w:r>
    </w:p>
    <w:p w14:paraId="0DBBE41B" w14:textId="77777777" w:rsidR="0026338E" w:rsidRPr="00682D22" w:rsidRDefault="0026338E" w:rsidP="0026338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58F5C8" w14:textId="77777777" w:rsidR="001F3F4A" w:rsidRPr="00FA1D6B" w:rsidRDefault="001F3F4A" w:rsidP="001F3F4A">
      <w:pPr>
        <w:spacing w:after="0" w:line="240" w:lineRule="auto"/>
        <w:rPr>
          <w:rFonts w:ascii="Arial" w:hAnsi="Arial" w:cs="Arial"/>
          <w:iCs/>
          <w:color w:val="000000" w:themeColor="text1"/>
          <w:sz w:val="72"/>
          <w:szCs w:val="72"/>
          <w:lang w:val="en-US"/>
        </w:rPr>
      </w:pPr>
      <w:bookmarkStart w:id="6" w:name="_Hlk125973530"/>
      <w:bookmarkStart w:id="7" w:name="_Hlk125977966"/>
      <w:bookmarkEnd w:id="0"/>
      <w:r w:rsidRPr="00FA1D6B">
        <w:rPr>
          <w:rFonts w:ascii="Arial" w:hAnsi="Arial" w:cs="Arial"/>
          <w:iCs/>
          <w:color w:val="000000" w:themeColor="text1"/>
          <w:sz w:val="72"/>
          <w:szCs w:val="72"/>
          <w:lang w:val="en-US"/>
        </w:rPr>
        <w:t>{{Signature}}</w:t>
      </w:r>
    </w:p>
    <w:p w14:paraId="51D9CCAD" w14:textId="77777777" w:rsidR="001F3F4A" w:rsidRPr="006B1BC9" w:rsidRDefault="001F3F4A" w:rsidP="001F3F4A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6B1BC9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__________________________</w:t>
      </w:r>
    </w:p>
    <w:p w14:paraId="2B8DEC94" w14:textId="77777777" w:rsidR="001F3F4A" w:rsidRPr="00E146F0" w:rsidRDefault="001F3F4A" w:rsidP="001F3F4A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{%p if </w:t>
      </w:r>
      <w:proofErr w:type="spellStart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client_type</w:t>
      </w:r>
      <w:proofErr w:type="spellEnd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 == ‘Persona Natural’ %}</w:t>
      </w:r>
    </w:p>
    <w:p w14:paraId="7EB9BA89" w14:textId="77777777" w:rsidR="001F3F4A" w:rsidRPr="00E146F0" w:rsidRDefault="001F3F4A" w:rsidP="001F3F4A">
      <w:pPr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b/>
          <w:sz w:val="18"/>
          <w:szCs w:val="18"/>
          <w:lang w:val="en-US"/>
        </w:rPr>
        <w:t>natural</w:t>
      </w:r>
      <w:proofErr w:type="gram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</w:p>
    <w:p w14:paraId="363612A1" w14:textId="77777777" w:rsidR="001F3F4A" w:rsidRPr="00182F77" w:rsidRDefault="001F3F4A" w:rsidP="001F3F4A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complaining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_type_id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 No. </w:t>
      </w:r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>complaining_id_number</w:t>
      </w:r>
      <w:proofErr w:type="spellEnd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537583E0" w14:textId="77777777" w:rsidR="001F3F4A" w:rsidRPr="00E146F0" w:rsidRDefault="001F3F4A" w:rsidP="001F3F4A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{%p else %}</w:t>
      </w: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</w:p>
    <w:p w14:paraId="5E511CF6" w14:textId="77777777" w:rsidR="001F3F4A" w:rsidRPr="00E146F0" w:rsidRDefault="001F3F4A" w:rsidP="001F3F4A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legal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_representative_name|title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68D0FB7B" w14:textId="77777777" w:rsidR="001F3F4A" w:rsidRPr="00C41482" w:rsidRDefault="001F3F4A" w:rsidP="001F3F4A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spellStart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Representante</w:t>
      </w:r>
      <w:proofErr w:type="spellEnd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Legal</w:t>
      </w:r>
    </w:p>
    <w:p w14:paraId="344C9006" w14:textId="77777777" w:rsidR="001F3F4A" w:rsidRPr="00C41482" w:rsidRDefault="001F3F4A" w:rsidP="001F3F4A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proofErr w:type="gramStart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Pr="00C41482">
        <w:rPr>
          <w:rFonts w:ascii="Arial" w:eastAsia="Arial" w:hAnsi="Arial" w:cs="Arial"/>
          <w:b/>
          <w:sz w:val="18"/>
          <w:szCs w:val="18"/>
          <w:lang w:val="en-US"/>
        </w:rPr>
        <w:t>legal</w:t>
      </w:r>
      <w:proofErr w:type="gramEnd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</w:p>
    <w:p w14:paraId="783E170F" w14:textId="77777777" w:rsidR="001F3F4A" w:rsidRDefault="001F3F4A" w:rsidP="001F3F4A">
      <w:pPr>
        <w:spacing w:after="0" w:line="240" w:lineRule="auto"/>
        <w:jc w:val="both"/>
        <w:rPr>
          <w:rFonts w:ascii="Arial" w:eastAsia="Arial" w:hAnsi="Arial" w:cs="Arial"/>
          <w:color w:val="0000FF"/>
          <w:sz w:val="18"/>
          <w:szCs w:val="18"/>
          <w:lang w:val="en-US"/>
        </w:rPr>
      </w:pPr>
      <w:r w:rsidRPr="00FA1D6B">
        <w:rPr>
          <w:rFonts w:ascii="Arial" w:eastAsia="Arial" w:hAnsi="Arial" w:cs="Arial"/>
          <w:color w:val="0000FF"/>
          <w:sz w:val="18"/>
          <w:szCs w:val="18"/>
          <w:lang w:val="en-US"/>
        </w:rPr>
        <w:t>{%p endif %}</w:t>
      </w:r>
      <w:bookmarkEnd w:id="6"/>
    </w:p>
    <w:bookmarkEnd w:id="7"/>
    <w:p w14:paraId="5C5B040A" w14:textId="77777777" w:rsidR="0026338E" w:rsidRDefault="0026338E" w:rsidP="0026338E">
      <w:pPr>
        <w:rPr>
          <w:lang w:val="es-ES_tradnl"/>
        </w:rPr>
      </w:pPr>
    </w:p>
    <w:p w14:paraId="2AB6ED65" w14:textId="77777777" w:rsidR="0026338E" w:rsidRDefault="0026338E" w:rsidP="0026338E">
      <w:pPr>
        <w:rPr>
          <w:lang w:val="es-ES_tradnl"/>
        </w:rPr>
      </w:pPr>
    </w:p>
    <w:p w14:paraId="46BDF589" w14:textId="77777777" w:rsidR="0026338E" w:rsidRDefault="0026338E" w:rsidP="0026338E">
      <w:pPr>
        <w:rPr>
          <w:lang w:val="es-ES_tradnl"/>
        </w:rPr>
      </w:pPr>
    </w:p>
    <w:p w14:paraId="00816B4E" w14:textId="77777777" w:rsidR="0026338E" w:rsidRDefault="0026338E" w:rsidP="0026338E">
      <w:pPr>
        <w:rPr>
          <w:lang w:val="es-ES_tradnl"/>
        </w:rPr>
      </w:pPr>
    </w:p>
    <w:p w14:paraId="7FFE3D57" w14:textId="77777777" w:rsidR="0026338E" w:rsidRDefault="0026338E" w:rsidP="0026338E">
      <w:pPr>
        <w:rPr>
          <w:lang w:val="es-ES_tradnl"/>
        </w:rPr>
      </w:pPr>
    </w:p>
    <w:p w14:paraId="578420AD" w14:textId="77777777" w:rsidR="0026338E" w:rsidRDefault="0026338E" w:rsidP="0026338E">
      <w:pPr>
        <w:rPr>
          <w:lang w:val="es-ES_tradnl"/>
        </w:rPr>
      </w:pPr>
    </w:p>
    <w:p w14:paraId="02E66BC9" w14:textId="36C52469" w:rsidR="0026338E" w:rsidRPr="00682D22" w:rsidRDefault="0026338E" w:rsidP="0026338E">
      <w:pPr>
        <w:rPr>
          <w:lang w:val="es-ES_tradnl"/>
        </w:rPr>
      </w:pPr>
    </w:p>
    <w:p w14:paraId="5CC1B6D0" w14:textId="77777777" w:rsidR="0026338E" w:rsidRPr="00D25F8E" w:rsidRDefault="0026338E" w:rsidP="0026338E">
      <w:pPr>
        <w:rPr>
          <w:lang w:val="es-ES_tradnl"/>
        </w:rPr>
      </w:pPr>
    </w:p>
    <w:p w14:paraId="0E8F3DA2" w14:textId="516BFC91" w:rsidR="0026338E" w:rsidRDefault="0026338E" w:rsidP="0026338E"/>
    <w:p w14:paraId="05E30194" w14:textId="77777777" w:rsidR="00D95AE3" w:rsidRDefault="00000000"/>
    <w:sectPr w:rsidR="00D95AE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D3AC" w14:textId="77777777" w:rsidR="00391FE1" w:rsidRDefault="00391FE1" w:rsidP="0026338E">
      <w:pPr>
        <w:spacing w:after="0" w:line="240" w:lineRule="auto"/>
      </w:pPr>
      <w:r>
        <w:separator/>
      </w:r>
    </w:p>
  </w:endnote>
  <w:endnote w:type="continuationSeparator" w:id="0">
    <w:p w14:paraId="10227AB9" w14:textId="77777777" w:rsidR="00391FE1" w:rsidRDefault="00391FE1" w:rsidP="0026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5B5D" w14:textId="77777777" w:rsidR="000327F3" w:rsidRDefault="003B2295" w:rsidP="000327F3">
    <w:pPr>
      <w:pStyle w:val="Piedepgina"/>
      <w:jc w:val="right"/>
      <w:rPr>
        <w:rFonts w:ascii="Arial" w:hAnsi="Arial" w:cs="Arial"/>
        <w:sz w:val="20"/>
        <w:szCs w:val="20"/>
      </w:rPr>
    </w:pPr>
    <w:r w:rsidRPr="00CB65E6">
      <w:rPr>
        <w:rFonts w:ascii="Arial" w:hAnsi="Arial" w:cs="Arial"/>
        <w:sz w:val="20"/>
        <w:szCs w:val="20"/>
      </w:rPr>
      <w:t xml:space="preserve">Página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PAGE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3</w:t>
    </w:r>
    <w:r w:rsidRPr="00CB65E6">
      <w:rPr>
        <w:rFonts w:ascii="Arial" w:hAnsi="Arial" w:cs="Arial"/>
        <w:sz w:val="20"/>
        <w:szCs w:val="20"/>
      </w:rPr>
      <w:fldChar w:fldCharType="end"/>
    </w:r>
    <w:r w:rsidRPr="00CB65E6">
      <w:rPr>
        <w:rFonts w:ascii="Arial" w:hAnsi="Arial" w:cs="Arial"/>
        <w:sz w:val="20"/>
        <w:szCs w:val="20"/>
      </w:rPr>
      <w:t xml:space="preserve"> de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NUMPAGES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19</w:t>
    </w:r>
    <w:r w:rsidRPr="00CB65E6">
      <w:rPr>
        <w:rFonts w:ascii="Arial" w:hAnsi="Arial" w:cs="Arial"/>
        <w:sz w:val="20"/>
        <w:szCs w:val="20"/>
      </w:rPr>
      <w:fldChar w:fldCharType="end"/>
    </w:r>
  </w:p>
  <w:p w14:paraId="3C6013FB" w14:textId="77777777" w:rsidR="000327F3" w:rsidRPr="00742F11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4A3C" w14:textId="77777777" w:rsidR="00391FE1" w:rsidRDefault="00391FE1" w:rsidP="0026338E">
      <w:pPr>
        <w:spacing w:after="0" w:line="240" w:lineRule="auto"/>
      </w:pPr>
      <w:r>
        <w:separator/>
      </w:r>
    </w:p>
  </w:footnote>
  <w:footnote w:type="continuationSeparator" w:id="0">
    <w:p w14:paraId="0F4389AC" w14:textId="77777777" w:rsidR="00391FE1" w:rsidRDefault="00391FE1" w:rsidP="0026338E">
      <w:pPr>
        <w:spacing w:after="0" w:line="240" w:lineRule="auto"/>
      </w:pPr>
      <w:r>
        <w:continuationSeparator/>
      </w:r>
    </w:p>
  </w:footnote>
  <w:footnote w:id="1">
    <w:p w14:paraId="3E30E185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“Por medio de la cual se regula el Derecho Fundamental de Petición y se sustituye un título del Código de Procedimiento Administrativo y de lo Contencioso Administrativo”. </w:t>
      </w:r>
    </w:p>
  </w:footnote>
  <w:footnote w:id="2">
    <w:p w14:paraId="74488407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 T-377 de 2000 M.P. Alejandro Martínez Caballero, T-054 de 2004 M.P. Marco Gerardo Monroy Cabra, T-149 de 2013 M.P. Luis Guillermo Guerrero Pérez y T-077 de 2018 M.P. Antonio José Lizarazo. </w:t>
      </w:r>
    </w:p>
  </w:footnote>
  <w:footnote w:id="3">
    <w:p w14:paraId="1CFE0325" w14:textId="77777777" w:rsidR="001B3E9F" w:rsidRPr="00452A63" w:rsidRDefault="001B3E9F" w:rsidP="001B3E9F">
      <w:pPr>
        <w:pStyle w:val="Textonotapie"/>
        <w:snapToGrid w:val="0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Constitucional. Sentencias C-951 de 2014. M.P. Martha Victoria Sáchica Méndez y T-487 de 2017 M.P. Alberto Rojas Ríos. </w:t>
      </w:r>
    </w:p>
  </w:footnote>
  <w:footnote w:id="4">
    <w:p w14:paraId="57CB6CFE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Constitucional. Sentencias T-377 de 2000 M.P. Alejandro Martínez Caballero y C-274 de 2013 M.P. María Victoria Calle Correa. </w:t>
      </w:r>
    </w:p>
  </w:footnote>
  <w:footnote w:id="5">
    <w:p w14:paraId="32214236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sz w:val="18"/>
          <w:szCs w:val="18"/>
          <w:lang w:val="es-EC"/>
        </w:rPr>
      </w:pPr>
      <w:r w:rsidRPr="00452A63">
        <w:rPr>
          <w:rStyle w:val="Refdenotaalpie"/>
          <w:rFonts w:asciiTheme="minorHAnsi" w:hAnsiTheme="minorHAnsi" w:cstheme="minorHAnsi"/>
          <w:sz w:val="18"/>
          <w:szCs w:val="18"/>
        </w:rPr>
        <w:footnoteRef/>
      </w:r>
      <w:r w:rsidRPr="00452A63">
        <w:rPr>
          <w:rFonts w:asciiTheme="minorHAnsi" w:hAnsiTheme="minorHAnsi" w:cstheme="minorHAnsi"/>
          <w:sz w:val="18"/>
          <w:szCs w:val="18"/>
          <w:lang w:val="es-CO"/>
        </w:rPr>
        <w:t xml:space="preserve"> </w:t>
      </w:r>
      <w:r w:rsidRPr="00452A63">
        <w:rPr>
          <w:rFonts w:asciiTheme="minorHAnsi" w:hAnsiTheme="minorHAnsi" w:cstheme="minorHAnsi"/>
          <w:sz w:val="18"/>
          <w:szCs w:val="18"/>
          <w:lang w:val="es-EC"/>
        </w:rPr>
        <w:tab/>
        <w:t xml:space="preserve">Corte Constitucional. T-149 de 2013 M.P. Luis Guillermo Guerrero Pérez.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FB9"/>
    <w:multiLevelType w:val="hybridMultilevel"/>
    <w:tmpl w:val="5C885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938"/>
    <w:multiLevelType w:val="hybridMultilevel"/>
    <w:tmpl w:val="DA2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51084"/>
    <w:multiLevelType w:val="hybridMultilevel"/>
    <w:tmpl w:val="A1A4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A5183"/>
    <w:multiLevelType w:val="hybridMultilevel"/>
    <w:tmpl w:val="246A3F5A"/>
    <w:lvl w:ilvl="0" w:tplc="83168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22F4"/>
    <w:multiLevelType w:val="hybridMultilevel"/>
    <w:tmpl w:val="4B160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0D71"/>
    <w:multiLevelType w:val="hybridMultilevel"/>
    <w:tmpl w:val="8D5A3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A4B3F"/>
    <w:multiLevelType w:val="hybridMultilevel"/>
    <w:tmpl w:val="F07C7B88"/>
    <w:lvl w:ilvl="0" w:tplc="F9E09C9A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A100D"/>
    <w:multiLevelType w:val="hybridMultilevel"/>
    <w:tmpl w:val="FEBC1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16DB6"/>
    <w:multiLevelType w:val="hybridMultilevel"/>
    <w:tmpl w:val="658C3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13149"/>
    <w:multiLevelType w:val="hybridMultilevel"/>
    <w:tmpl w:val="039CE7E2"/>
    <w:lvl w:ilvl="0" w:tplc="F17E0B94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10097">
    <w:abstractNumId w:val="3"/>
  </w:num>
  <w:num w:numId="2" w16cid:durableId="587159278">
    <w:abstractNumId w:val="4"/>
  </w:num>
  <w:num w:numId="3" w16cid:durableId="1114322010">
    <w:abstractNumId w:val="9"/>
  </w:num>
  <w:num w:numId="4" w16cid:durableId="212615546">
    <w:abstractNumId w:val="7"/>
  </w:num>
  <w:num w:numId="5" w16cid:durableId="1276403811">
    <w:abstractNumId w:val="6"/>
  </w:num>
  <w:num w:numId="6" w16cid:durableId="289938828">
    <w:abstractNumId w:val="1"/>
  </w:num>
  <w:num w:numId="7" w16cid:durableId="1389958778">
    <w:abstractNumId w:val="2"/>
  </w:num>
  <w:num w:numId="8" w16cid:durableId="952398661">
    <w:abstractNumId w:val="5"/>
  </w:num>
  <w:num w:numId="9" w16cid:durableId="1922911797">
    <w:abstractNumId w:val="0"/>
  </w:num>
  <w:num w:numId="10" w16cid:durableId="1179079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8E"/>
    <w:rsid w:val="00004370"/>
    <w:rsid w:val="00031AE1"/>
    <w:rsid w:val="00106FA9"/>
    <w:rsid w:val="00132B33"/>
    <w:rsid w:val="001721B7"/>
    <w:rsid w:val="001A3DFB"/>
    <w:rsid w:val="001B3E9F"/>
    <w:rsid w:val="001E2A15"/>
    <w:rsid w:val="001F3F4A"/>
    <w:rsid w:val="0026338E"/>
    <w:rsid w:val="00291259"/>
    <w:rsid w:val="002E683F"/>
    <w:rsid w:val="002E7208"/>
    <w:rsid w:val="00342ECE"/>
    <w:rsid w:val="00391FE1"/>
    <w:rsid w:val="003B2295"/>
    <w:rsid w:val="003D0F04"/>
    <w:rsid w:val="003F4680"/>
    <w:rsid w:val="004444A4"/>
    <w:rsid w:val="00473556"/>
    <w:rsid w:val="004F2E06"/>
    <w:rsid w:val="004F46B1"/>
    <w:rsid w:val="004F7AE1"/>
    <w:rsid w:val="005177A5"/>
    <w:rsid w:val="00596706"/>
    <w:rsid w:val="005C014F"/>
    <w:rsid w:val="00604D26"/>
    <w:rsid w:val="00645F44"/>
    <w:rsid w:val="00663CFE"/>
    <w:rsid w:val="00680A41"/>
    <w:rsid w:val="007163E7"/>
    <w:rsid w:val="007C1597"/>
    <w:rsid w:val="00892DD9"/>
    <w:rsid w:val="0094607F"/>
    <w:rsid w:val="00965231"/>
    <w:rsid w:val="009A30B9"/>
    <w:rsid w:val="009D7BF4"/>
    <w:rsid w:val="00A23AF8"/>
    <w:rsid w:val="00A319F7"/>
    <w:rsid w:val="00AB00B8"/>
    <w:rsid w:val="00AD0E76"/>
    <w:rsid w:val="00B34AA1"/>
    <w:rsid w:val="00B5710A"/>
    <w:rsid w:val="00B71B94"/>
    <w:rsid w:val="00BB677D"/>
    <w:rsid w:val="00BB67DC"/>
    <w:rsid w:val="00CA60D6"/>
    <w:rsid w:val="00D67C66"/>
    <w:rsid w:val="00D70341"/>
    <w:rsid w:val="00D72B2F"/>
    <w:rsid w:val="00DF294E"/>
    <w:rsid w:val="00E21688"/>
    <w:rsid w:val="00E946A8"/>
    <w:rsid w:val="00F638CE"/>
    <w:rsid w:val="00F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5366"/>
  <w15:chartTrackingRefBased/>
  <w15:docId w15:val="{6A8FEF83-EA52-FD46-BE2F-18D33048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38E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6338E"/>
    <w:rPr>
      <w:b/>
      <w:bCs/>
    </w:rPr>
  </w:style>
  <w:style w:type="paragraph" w:styleId="Prrafodelista">
    <w:name w:val="List Paragraph"/>
    <w:basedOn w:val="Normal"/>
    <w:uiPriority w:val="34"/>
    <w:qFormat/>
    <w:rsid w:val="0026338E"/>
    <w:pPr>
      <w:spacing w:after="0" w:line="240" w:lineRule="auto"/>
      <w:ind w:left="720"/>
      <w:contextualSpacing/>
    </w:pPr>
    <w:rPr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26338E"/>
  </w:style>
  <w:style w:type="paragraph" w:styleId="Textonotapie">
    <w:name w:val="footnote text"/>
    <w:basedOn w:val="Normal"/>
    <w:link w:val="TextonotapieCar"/>
    <w:uiPriority w:val="99"/>
    <w:semiHidden/>
    <w:unhideWhenUsed/>
    <w:rsid w:val="002633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3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63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38E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63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38E"/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263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940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32</cp:revision>
  <dcterms:created xsi:type="dcterms:W3CDTF">2021-11-18T17:13:00Z</dcterms:created>
  <dcterms:modified xsi:type="dcterms:W3CDTF">2023-06-28T16:15:00Z</dcterms:modified>
</cp:coreProperties>
</file>