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C9BA" w14:textId="77777777" w:rsidR="003403D7" w:rsidRPr="0028191A" w:rsidRDefault="003403D7" w:rsidP="003403D7">
      <w:pPr>
        <w:pStyle w:val="NormalWeb"/>
        <w:spacing w:before="0" w:beforeAutospacing="0" w:after="0" w:afterAutospacing="0" w:line="276" w:lineRule="auto"/>
        <w:jc w:val="both"/>
        <w:rPr>
          <w:rFonts w:ascii="Avenir Next LT Pro" w:hAnsi="Avenir Next LT Pro" w:cs="Calibri"/>
          <w:iCs/>
          <w:color w:val="000000" w:themeColor="text1"/>
          <w:sz w:val="22"/>
          <w:szCs w:val="22"/>
        </w:rPr>
      </w:pPr>
      <w:bookmarkStart w:id="0" w:name="OLE_LINK1"/>
      <w:bookmarkStart w:id="1" w:name="OLE_LINK2"/>
    </w:p>
    <w:p w14:paraId="2655E5D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r w:rsidRPr="002E6E8C">
        <w:rPr>
          <w:rFonts w:ascii="Avenir Next LT Pro" w:hAnsi="Avenir Next LT Pro" w:cs="Calibri"/>
          <w:iCs/>
          <w:color w:val="000000" w:themeColor="text1"/>
          <w:sz w:val="22"/>
          <w:szCs w:val="22"/>
          <w:lang w:val="en-US"/>
        </w:rPr>
        <w:t>{{ city }}, {{ date_presentation }}</w:t>
      </w:r>
    </w:p>
    <w:p w14:paraId="485E8FDE"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243A303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6757D5CA"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000000" w:themeColor="text1"/>
          <w:lang w:val="en-US"/>
        </w:rPr>
        <w:t>Señor(es)</w:t>
      </w:r>
    </w:p>
    <w:p w14:paraId="2FB1883E" w14:textId="77777777" w:rsidR="003403D7" w:rsidRPr="002E6E8C" w:rsidRDefault="003403D7" w:rsidP="003403D7">
      <w:pPr>
        <w:spacing w:after="0"/>
        <w:jc w:val="both"/>
        <w:rPr>
          <w:rFonts w:ascii="Avenir Next LT Pro" w:hAnsi="Avenir Next LT Pro" w:cs="Calibri"/>
          <w:b/>
          <w:bCs/>
          <w:iCs/>
          <w:color w:val="000000" w:themeColor="text1"/>
          <w:lang w:val="en-US"/>
        </w:rPr>
      </w:pPr>
      <w:r w:rsidRPr="002E6E8C">
        <w:rPr>
          <w:rFonts w:ascii="Avenir Next LT Pro" w:hAnsi="Avenir Next LT Pro" w:cs="Calibri"/>
          <w:b/>
          <w:bCs/>
          <w:iCs/>
          <w:color w:val="000000" w:themeColor="text1"/>
          <w:lang w:val="en-US"/>
        </w:rPr>
        <w:t>{{ company_or_entity_name|upper }}</w:t>
      </w:r>
    </w:p>
    <w:p w14:paraId="48C46E8A" w14:textId="2066BE2C" w:rsidR="003403D7" w:rsidRDefault="003403D7" w:rsidP="003403D7">
      <w:pPr>
        <w:spacing w:after="0"/>
        <w:jc w:val="both"/>
        <w:rPr>
          <w:rFonts w:ascii="Avenir Next LT Pro" w:hAnsi="Avenir Next LT Pro" w:cs="Calibri"/>
          <w:iCs/>
          <w:color w:val="4472C4" w:themeColor="accent1"/>
          <w:lang w:val="en-US"/>
        </w:rPr>
      </w:pPr>
      <w:r w:rsidRPr="002E6E8C">
        <w:rPr>
          <w:rFonts w:ascii="Avenir Next LT Pro" w:hAnsi="Avenir Next LT Pro" w:cs="Calibri"/>
          <w:iCs/>
          <w:color w:val="4472C4" w:themeColor="accent1"/>
          <w:lang w:val="en-US"/>
        </w:rPr>
        <w:t>{%p if send_method == 'address' %}</w:t>
      </w:r>
    </w:p>
    <w:p w14:paraId="32D190EE" w14:textId="77777777" w:rsidR="003403D7" w:rsidRPr="003403D7" w:rsidRDefault="003403D7" w:rsidP="003403D7">
      <w:pPr>
        <w:spacing w:after="0"/>
        <w:jc w:val="both"/>
        <w:rPr>
          <w:rFonts w:ascii="Avenir Next LT Pro" w:hAnsi="Avenir Next LT Pro" w:cs="Calibri"/>
          <w:iCs/>
          <w:color w:val="000000" w:themeColor="text1"/>
          <w:lang w:val="en-US"/>
        </w:rPr>
      </w:pPr>
      <w:r w:rsidRPr="003403D7">
        <w:rPr>
          <w:rFonts w:ascii="Avenir Next LT Pro" w:hAnsi="Avenir Next LT Pro" w:cs="Calibri"/>
          <w:iCs/>
          <w:color w:val="000000" w:themeColor="text1"/>
          <w:lang w:val="en-US"/>
        </w:rPr>
        <w:t>{{ filing_city }}</w:t>
      </w:r>
    </w:p>
    <w:p w14:paraId="2CB1CA69" w14:textId="54DB52F0" w:rsidR="003403D7"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000000" w:themeColor="text1"/>
          <w:lang w:val="en-US"/>
        </w:rPr>
        <w:t>{{ filing_address }}</w:t>
      </w:r>
    </w:p>
    <w:p w14:paraId="3BAEF0B7" w14:textId="77777777"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4472C4" w:themeColor="accent1"/>
          <w:lang w:val="en-US"/>
        </w:rPr>
        <w:t>{%p elif send_method == ‘emails’ %}</w:t>
      </w:r>
    </w:p>
    <w:p w14:paraId="36510122" w14:textId="4B678CBB" w:rsidR="002B26AC" w:rsidRDefault="002B26AC" w:rsidP="002B26AC">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000000" w:themeColor="text1"/>
          <w:lang w:val="en-US"/>
        </w:rPr>
        <w:t>{{ email</w:t>
      </w:r>
      <w:r w:rsidR="00AD20F5">
        <w:rPr>
          <w:rFonts w:ascii="Avenir Next LT Pro" w:hAnsi="Avenir Next LT Pro" w:cs="Calibri"/>
          <w:iCs/>
          <w:color w:val="000000" w:themeColor="text1"/>
          <w:lang w:val="en-US"/>
        </w:rPr>
        <w:t>|lower</w:t>
      </w:r>
      <w:r w:rsidRPr="002E6E8C">
        <w:rPr>
          <w:rFonts w:ascii="Avenir Next LT Pro" w:hAnsi="Avenir Next LT Pro" w:cs="Calibri"/>
          <w:iCs/>
          <w:color w:val="000000" w:themeColor="text1"/>
          <w:lang w:val="en-US"/>
        </w:rPr>
        <w:t xml:space="preserve"> }}</w:t>
      </w:r>
    </w:p>
    <w:p w14:paraId="07A02E58" w14:textId="7709CA21"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0070C0"/>
          <w:lang w:val="en-US"/>
        </w:rPr>
        <w:t xml:space="preserve">{%p </w:t>
      </w:r>
      <w:r w:rsidR="002B26AC">
        <w:rPr>
          <w:rFonts w:ascii="Avenir Next LT Pro" w:hAnsi="Avenir Next LT Pro" w:cs="Calibri"/>
          <w:iCs/>
          <w:color w:val="0070C0"/>
          <w:lang w:val="en-US"/>
        </w:rPr>
        <w:t>else</w:t>
      </w:r>
      <w:r w:rsidRPr="002E6E8C">
        <w:rPr>
          <w:rFonts w:ascii="Avenir Next LT Pro" w:hAnsi="Avenir Next LT Pro" w:cs="Calibri"/>
          <w:iCs/>
          <w:color w:val="0070C0"/>
          <w:lang w:val="en-US"/>
        </w:rPr>
        <w:t xml:space="preserve"> %}</w:t>
      </w:r>
    </w:p>
    <w:p w14:paraId="271E8FDB" w14:textId="478317D4" w:rsidR="003403D7" w:rsidRPr="002B26AC" w:rsidRDefault="003403D7" w:rsidP="003403D7">
      <w:pPr>
        <w:spacing w:after="0"/>
        <w:jc w:val="both"/>
        <w:rPr>
          <w:rFonts w:ascii="Avenir Next LT Pro" w:hAnsi="Avenir Next LT Pro" w:cs="Calibri"/>
          <w:iCs/>
          <w:color w:val="000000" w:themeColor="text1"/>
          <w:lang w:val="en-US"/>
        </w:rPr>
      </w:pPr>
      <w:r w:rsidRPr="002B26AC">
        <w:rPr>
          <w:rFonts w:ascii="Avenir Next LT Pro" w:hAnsi="Avenir Next LT Pro" w:cs="Calibri"/>
          <w:iCs/>
          <w:color w:val="000000" w:themeColor="text1"/>
          <w:lang w:val="en-US"/>
        </w:rPr>
        <w:t>E.S.M</w:t>
      </w:r>
    </w:p>
    <w:p w14:paraId="5A818CA3" w14:textId="6A89E780" w:rsidR="003403D7" w:rsidRPr="00AD20F5" w:rsidRDefault="003403D7" w:rsidP="003403D7">
      <w:pPr>
        <w:spacing w:after="0"/>
        <w:jc w:val="both"/>
        <w:rPr>
          <w:rFonts w:ascii="Avenir Next LT Pro" w:hAnsi="Avenir Next LT Pro" w:cs="Calibri"/>
          <w:iCs/>
          <w:color w:val="000000" w:themeColor="text1"/>
        </w:rPr>
      </w:pPr>
      <w:r w:rsidRPr="00AD20F5">
        <w:rPr>
          <w:rFonts w:ascii="Avenir Next LT Pro" w:hAnsi="Avenir Next LT Pro" w:cs="Calibri"/>
          <w:iCs/>
          <w:color w:val="4472C4" w:themeColor="accent1"/>
        </w:rPr>
        <w:t>{%p endif %}</w:t>
      </w:r>
    </w:p>
    <w:p w14:paraId="36FD3F61" w14:textId="77777777" w:rsidR="003403D7" w:rsidRPr="00AD20F5"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2C7530E0" w14:textId="77777777" w:rsidR="003403D7" w:rsidRPr="0028191A" w:rsidRDefault="003403D7" w:rsidP="003403D7">
      <w:pPr>
        <w:pStyle w:val="NormalWeb"/>
        <w:spacing w:before="0" w:beforeAutospacing="0" w:after="0" w:afterAutospacing="0" w:line="276" w:lineRule="auto"/>
        <w:ind w:firstLine="708"/>
        <w:jc w:val="both"/>
        <w:rPr>
          <w:rStyle w:val="Textoennegrita"/>
          <w:rFonts w:ascii="Avenir Next LT Pro" w:hAnsi="Avenir Next LT Pro" w:cs="Calibri"/>
          <w:color w:val="000000" w:themeColor="text1"/>
          <w:sz w:val="22"/>
          <w:szCs w:val="22"/>
        </w:rPr>
      </w:pPr>
      <w:r w:rsidRPr="0028191A">
        <w:rPr>
          <w:rStyle w:val="Textoennegrita"/>
          <w:rFonts w:ascii="Avenir Next LT Pro" w:hAnsi="Avenir Next LT Pro" w:cs="Calibri"/>
          <w:color w:val="000000" w:themeColor="text1"/>
          <w:sz w:val="22"/>
          <w:szCs w:val="22"/>
        </w:rPr>
        <w:t>Ref.: Derecho de Petición.</w:t>
      </w:r>
    </w:p>
    <w:p w14:paraId="17BA4786" w14:textId="77777777" w:rsidR="003403D7" w:rsidRPr="0028191A"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6056909B" w14:textId="77777777" w:rsidR="003403D7" w:rsidRPr="00905002"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iCs/>
          <w:color w:val="000000" w:themeColor="text1"/>
          <w:sz w:val="22"/>
          <w:szCs w:val="22"/>
        </w:rPr>
      </w:pPr>
      <w:r w:rsidRPr="002E6E8C">
        <w:rPr>
          <w:rFonts w:ascii="Avenir Next LT Pro" w:hAnsi="Avenir Next LT Pro" w:cs="Calibri"/>
          <w:iCs/>
          <w:color w:val="ED7D31" w:themeColor="accent2"/>
          <w:sz w:val="22"/>
          <w:szCs w:val="22"/>
          <w:lang w:val="en-US"/>
        </w:rPr>
        <w:t>{% if client_type == ‘Persona Natural’ %}</w:t>
      </w:r>
      <w:r w:rsidRPr="002E6E8C">
        <w:rPr>
          <w:rFonts w:ascii="Avenir Next LT Pro" w:hAnsi="Avenir Next LT Pro" w:cs="Calibri"/>
          <w:b/>
          <w:bCs/>
          <w:iCs/>
          <w:color w:val="000000" w:themeColor="text1"/>
          <w:sz w:val="22"/>
          <w:szCs w:val="22"/>
          <w:lang w:val="en-US"/>
        </w:rPr>
        <w:t>{{ complaining.name|upper }}</w:t>
      </w:r>
      <w:r w:rsidRPr="002E6E8C">
        <w:rPr>
          <w:rFonts w:ascii="Avenir Next LT Pro" w:hAnsi="Avenir Next LT Pro" w:cs="Calibri"/>
          <w:iCs/>
          <w:color w:val="000000" w:themeColor="text1"/>
          <w:sz w:val="22"/>
          <w:szCs w:val="22"/>
          <w:lang w:val="en-US"/>
        </w:rPr>
        <w:t xml:space="preserve">, quien se identifica con {{ complaining_type_id }} No. </w:t>
      </w:r>
      <w:r w:rsidRPr="003403D7">
        <w:rPr>
          <w:rFonts w:ascii="Avenir Next LT Pro" w:hAnsi="Avenir Next LT Pro" w:cs="Calibri"/>
          <w:iCs/>
          <w:color w:val="000000" w:themeColor="text1"/>
          <w:sz w:val="22"/>
          <w:szCs w:val="22"/>
          <w:lang w:val="en-US"/>
        </w:rPr>
        <w:t>{{ complaining_id_number|upper }}</w:t>
      </w:r>
      <w:r w:rsidRPr="003403D7">
        <w:rPr>
          <w:rFonts w:ascii="Avenir Next LT Pro" w:hAnsi="Avenir Next LT Pro" w:cs="Calibri"/>
          <w:iCs/>
          <w:color w:val="ED7D31" w:themeColor="accent2"/>
          <w:sz w:val="22"/>
          <w:szCs w:val="22"/>
          <w:lang w:val="en-US"/>
        </w:rPr>
        <w:t>{% else %}</w:t>
      </w:r>
      <w:r w:rsidRPr="003403D7">
        <w:rPr>
          <w:rFonts w:ascii="Avenir Next LT Pro" w:hAnsi="Avenir Next LT Pro" w:cs="Calibri"/>
          <w:b/>
          <w:bCs/>
          <w:iCs/>
          <w:color w:val="000000" w:themeColor="text1"/>
          <w:sz w:val="22"/>
          <w:szCs w:val="22"/>
          <w:lang w:val="en-US"/>
        </w:rPr>
        <w:t>{{ complaining_company|upper }}</w:t>
      </w:r>
      <w:r w:rsidRPr="003403D7">
        <w:rPr>
          <w:rStyle w:val="Textoennegrita"/>
          <w:rFonts w:ascii="Avenir Next LT Pro" w:hAnsi="Avenir Next LT Pro" w:cs="Calibri"/>
          <w:b w:val="0"/>
          <w:bCs w:val="0"/>
          <w:color w:val="000000" w:themeColor="text1"/>
          <w:sz w:val="22"/>
          <w:szCs w:val="22"/>
          <w:lang w:val="en-US"/>
        </w:rPr>
        <w:t>, sociedad debidamente constituida e identificada con Nit. {{</w:t>
      </w:r>
      <w:r w:rsidRPr="003403D7">
        <w:rPr>
          <w:rFonts w:ascii="Avenir Next LT Pro" w:hAnsi="Avenir Next LT Pro"/>
          <w:lang w:val="en-US"/>
        </w:rPr>
        <w:t xml:space="preserve"> </w:t>
      </w:r>
      <w:r w:rsidRPr="003403D7">
        <w:rPr>
          <w:rStyle w:val="Textoennegrita"/>
          <w:rFonts w:ascii="Avenir Next LT Pro" w:hAnsi="Avenir Next LT Pro" w:cs="Calibri"/>
          <w:b w:val="0"/>
          <w:bCs w:val="0"/>
          <w:color w:val="000000" w:themeColor="text1"/>
          <w:sz w:val="22"/>
          <w:szCs w:val="22"/>
          <w:lang w:val="en-US"/>
        </w:rPr>
        <w:t xml:space="preserve">complaining_id_number }}, representada por {{ legal.name|title }}, quien se identifica con {{ legal_representative_type_id }} No. </w:t>
      </w:r>
      <w:r>
        <w:rPr>
          <w:rStyle w:val="Textoennegrita"/>
          <w:rFonts w:ascii="Avenir Next LT Pro" w:hAnsi="Avenir Next LT Pro" w:cs="Calibri"/>
          <w:b w:val="0"/>
          <w:bCs w:val="0"/>
          <w:color w:val="000000" w:themeColor="text1"/>
          <w:sz w:val="22"/>
          <w:szCs w:val="22"/>
        </w:rPr>
        <w:t xml:space="preserve">{{ </w:t>
      </w:r>
      <w:r w:rsidRPr="00243E84">
        <w:rPr>
          <w:rStyle w:val="Textoennegrita"/>
          <w:rFonts w:ascii="Avenir Next LT Pro" w:hAnsi="Avenir Next LT Pro" w:cs="Calibri"/>
          <w:b w:val="0"/>
          <w:bCs w:val="0"/>
          <w:color w:val="000000" w:themeColor="text1"/>
          <w:sz w:val="22"/>
          <w:szCs w:val="22"/>
        </w:rPr>
        <w:t>legal_representative_id_number</w:t>
      </w:r>
      <w:r>
        <w:rPr>
          <w:rStyle w:val="Textoennegrita"/>
          <w:rFonts w:ascii="Avenir Next LT Pro" w:hAnsi="Avenir Next LT Pro" w:cs="Calibri"/>
          <w:b w:val="0"/>
          <w:bCs w:val="0"/>
          <w:color w:val="000000" w:themeColor="text1"/>
          <w:sz w:val="22"/>
          <w:szCs w:val="22"/>
        </w:rPr>
        <w:t>|upper }}</w:t>
      </w:r>
      <w:r w:rsidRPr="00C513EC">
        <w:rPr>
          <w:rFonts w:ascii="Avenir Next LT Pro" w:hAnsi="Avenir Next LT Pro" w:cs="Calibri"/>
          <w:iCs/>
          <w:color w:val="ED7D31" w:themeColor="accent2"/>
          <w:sz w:val="22"/>
          <w:szCs w:val="22"/>
        </w:rPr>
        <w:t>{% endif %}</w:t>
      </w:r>
      <w:r w:rsidRPr="00C513EC">
        <w:rPr>
          <w:rFonts w:ascii="Avenir Next LT Pro" w:hAnsi="Avenir Next LT Pro" w:cs="Calibri"/>
          <w:iCs/>
          <w:color w:val="000000" w:themeColor="text1"/>
          <w:sz w:val="22"/>
          <w:szCs w:val="22"/>
        </w:rPr>
        <w:t xml:space="preserve"> </w:t>
      </w:r>
      <w:r w:rsidRPr="0028191A">
        <w:rPr>
          <w:rStyle w:val="Textoennegrita"/>
          <w:rFonts w:ascii="Avenir Next LT Pro" w:hAnsi="Avenir Next LT Pro" w:cs="Calibri"/>
          <w:b w:val="0"/>
          <w:bCs w:val="0"/>
          <w:color w:val="000000" w:themeColor="text1"/>
          <w:sz w:val="22"/>
          <w:szCs w:val="22"/>
        </w:rPr>
        <w:t>con fundamento en el artículo 23 de la Constitución Política de Colombia y las demás normas concordantes que lo regulan y desarrollan, presento ante ustedes el presente derecho de petición.</w:t>
      </w:r>
    </w:p>
    <w:p w14:paraId="73F67B99" w14:textId="77777777" w:rsidR="003403D7" w:rsidRPr="0028191A"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color w:val="000000" w:themeColor="text1"/>
          <w:sz w:val="22"/>
          <w:szCs w:val="22"/>
        </w:rPr>
      </w:pPr>
    </w:p>
    <w:p w14:paraId="51F08EFF" w14:textId="77777777" w:rsidR="003403D7" w:rsidRPr="002E6E8C" w:rsidRDefault="003403D7" w:rsidP="003403D7">
      <w:pPr>
        <w:pStyle w:val="NormalWeb"/>
        <w:spacing w:before="0" w:beforeAutospacing="0" w:after="0" w:afterAutospacing="0" w:line="276" w:lineRule="auto"/>
        <w:jc w:val="center"/>
        <w:rPr>
          <w:rStyle w:val="Textoennegrita"/>
          <w:rFonts w:ascii="Avenir Next LT Pro" w:hAnsi="Avenir Next LT Pro" w:cs="Calibri"/>
          <w:color w:val="000000" w:themeColor="text1"/>
          <w:sz w:val="22"/>
          <w:szCs w:val="22"/>
          <w:lang w:val="en-US"/>
        </w:rPr>
      </w:pPr>
      <w:bookmarkStart w:id="2" w:name="_Hlk36551939"/>
      <w:r w:rsidRPr="002E6E8C">
        <w:rPr>
          <w:rStyle w:val="Textoennegrita"/>
          <w:rFonts w:ascii="Avenir Next LT Pro" w:hAnsi="Avenir Next LT Pro" w:cs="Calibri"/>
          <w:color w:val="000000" w:themeColor="text1"/>
          <w:sz w:val="22"/>
          <w:szCs w:val="22"/>
          <w:lang w:val="en-US"/>
        </w:rPr>
        <w:t>HECHOS</w:t>
      </w:r>
    </w:p>
    <w:bookmarkEnd w:id="2"/>
    <w:p w14:paraId="73DDCFAD" w14:textId="77777777" w:rsidR="003403D7" w:rsidRPr="002E6E8C" w:rsidRDefault="003403D7" w:rsidP="003403D7">
      <w:pPr>
        <w:spacing w:after="0"/>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r w:rsidRPr="002E6E8C">
        <w:rPr>
          <w:rFonts w:ascii="Avenir Next LT Pro" w:hAnsi="Avenir Next LT Pro" w:cs="Calibri"/>
          <w:iCs/>
          <w:color w:val="7030A0"/>
          <w:lang w:val="en-US"/>
        </w:rPr>
        <w:t xml:space="preserve">fact </w:t>
      </w:r>
      <w:r w:rsidRPr="002E6E8C">
        <w:rPr>
          <w:rFonts w:ascii="Avenir Next LT Pro" w:hAnsi="Avenir Next LT Pro" w:cs="Calibri"/>
          <w:color w:val="7030A0"/>
          <w:lang w:val="en-US"/>
        </w:rPr>
        <w:t xml:space="preserve">in </w:t>
      </w:r>
      <w:r w:rsidRPr="002E6E8C">
        <w:rPr>
          <w:rFonts w:ascii="Avenir Next LT Pro" w:hAnsi="Avenir Next LT Pro" w:cs="Calibri"/>
          <w:iCs/>
          <w:color w:val="7030A0"/>
          <w:lang w:val="en-US"/>
        </w:rPr>
        <w:t>facts</w:t>
      </w:r>
      <w:r w:rsidRPr="002E6E8C">
        <w:rPr>
          <w:rFonts w:ascii="Avenir Next LT Pro" w:hAnsi="Avenir Next LT Pro" w:cs="Calibri"/>
          <w:color w:val="7030A0"/>
          <w:lang w:val="en-US"/>
        </w:rPr>
        <w:t xml:space="preserve"> %}</w:t>
      </w:r>
    </w:p>
    <w:p w14:paraId="1F75181C" w14:textId="77777777" w:rsidR="003403D7" w:rsidRPr="002E6E8C" w:rsidRDefault="003403D7" w:rsidP="003403D7">
      <w:pPr>
        <w:pStyle w:val="Prrafodelista"/>
        <w:numPr>
          <w:ilvl w:val="0"/>
          <w:numId w:val="7"/>
        </w:numPr>
        <w:ind w:left="1418" w:hanging="1418"/>
        <w:jc w:val="both"/>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t>{{ fix_punctuation(fact.name|capitalize) }}</w:t>
      </w:r>
    </w:p>
    <w:p w14:paraId="41B20CA2" w14:textId="77777777" w:rsidR="0087341C" w:rsidRDefault="003403D7" w:rsidP="0087341C">
      <w:pPr>
        <w:jc w:val="both"/>
        <w:rPr>
          <w:rFonts w:ascii="Avenir Next LT Pro" w:hAnsi="Avenir Next LT Pro" w:cs="Calibri"/>
          <w:color w:val="7030A0"/>
          <w:lang w:val="en-US"/>
        </w:rPr>
      </w:pPr>
      <w:r w:rsidRPr="002E6E8C">
        <w:rPr>
          <w:rFonts w:ascii="Avenir Next LT Pro" w:hAnsi="Avenir Next LT Pro" w:cs="Calibri"/>
          <w:color w:val="7030A0"/>
          <w:lang w:val="en-US"/>
        </w:rPr>
        <w:t>{%p endfor %}</w:t>
      </w:r>
    </w:p>
    <w:p w14:paraId="673FE584" w14:textId="77777777" w:rsidR="0087341C" w:rsidRDefault="003403D7" w:rsidP="0087341C">
      <w:pPr>
        <w:jc w:val="center"/>
        <w:rPr>
          <w:rFonts w:ascii="Avenir Next LT Pro" w:hAnsi="Avenir Next LT Pro" w:cs="Calibri"/>
          <w:color w:val="000000" w:themeColor="text1"/>
          <w:lang w:val="en-US"/>
        </w:rPr>
      </w:pPr>
      <w:r w:rsidRPr="002E6E8C">
        <w:rPr>
          <w:rFonts w:ascii="Avenir Next LT Pro" w:hAnsi="Avenir Next LT Pro" w:cs="Calibri"/>
          <w:b/>
          <w:color w:val="000000" w:themeColor="text1"/>
          <w:lang w:val="en-US"/>
        </w:rPr>
        <w:t>SOLICITUD</w:t>
      </w:r>
    </w:p>
    <w:p w14:paraId="22736752" w14:textId="755C0BDC" w:rsidR="003403D7" w:rsidRPr="002E6E8C" w:rsidRDefault="003403D7" w:rsidP="0087341C">
      <w:pPr>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r w:rsidRPr="002E6E8C">
        <w:rPr>
          <w:rFonts w:ascii="Avenir Next LT Pro" w:hAnsi="Avenir Next LT Pro" w:cs="Calibri"/>
          <w:iCs/>
          <w:color w:val="7030A0"/>
          <w:lang w:val="en-US"/>
        </w:rPr>
        <w:t>reques in request</w:t>
      </w:r>
      <w:r w:rsidRPr="002E6E8C">
        <w:rPr>
          <w:rFonts w:ascii="Avenir Next LT Pro" w:hAnsi="Avenir Next LT Pro" w:cs="Calibri"/>
          <w:color w:val="7030A0"/>
          <w:lang w:val="en-US"/>
        </w:rPr>
        <w:t>%}</w:t>
      </w:r>
    </w:p>
    <w:p w14:paraId="404F887C" w14:textId="77777777" w:rsidR="003403D7" w:rsidRPr="002E6E8C" w:rsidRDefault="003403D7" w:rsidP="003403D7">
      <w:pPr>
        <w:pStyle w:val="Prrafodelista"/>
        <w:numPr>
          <w:ilvl w:val="0"/>
          <w:numId w:val="8"/>
        </w:numPr>
        <w:ind w:left="1418" w:hanging="1429"/>
        <w:jc w:val="both"/>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t>{{</w:t>
      </w:r>
      <w:r w:rsidRPr="002E6E8C">
        <w:rPr>
          <w:rFonts w:ascii="Avenir Next LT Pro" w:hAnsi="Avenir Next LT Pro" w:cs="Calibri"/>
          <w:iCs/>
          <w:color w:val="000000" w:themeColor="text1"/>
          <w:lang w:val="en-US"/>
        </w:rPr>
        <w:t xml:space="preserve"> </w:t>
      </w:r>
      <w:r w:rsidRPr="002E6E8C">
        <w:rPr>
          <w:rFonts w:ascii="Avenir Next LT Pro" w:hAnsi="Avenir Next LT Pro" w:cs="Calibri"/>
          <w:color w:val="000000" w:themeColor="text1"/>
          <w:lang w:val="en-US"/>
        </w:rPr>
        <w:t>fix_punctuation(</w:t>
      </w:r>
      <w:r w:rsidRPr="002E6E8C">
        <w:rPr>
          <w:rFonts w:ascii="Avenir Next LT Pro" w:hAnsi="Avenir Next LT Pro" w:cs="Calibri"/>
          <w:iCs/>
          <w:color w:val="000000" w:themeColor="text1"/>
          <w:lang w:val="en-US"/>
        </w:rPr>
        <w:t>reques</w:t>
      </w:r>
      <w:r w:rsidRPr="002E6E8C">
        <w:rPr>
          <w:rFonts w:ascii="Avenir Next LT Pro" w:hAnsi="Avenir Next LT Pro" w:cs="Calibri"/>
          <w:color w:val="000000" w:themeColor="text1"/>
          <w:lang w:val="en-US"/>
        </w:rPr>
        <w:t>.name|capitalize) }}</w:t>
      </w:r>
    </w:p>
    <w:p w14:paraId="4633D2C4" w14:textId="77777777" w:rsidR="003403D7" w:rsidRPr="00B2684D" w:rsidRDefault="003403D7" w:rsidP="003403D7">
      <w:pPr>
        <w:jc w:val="both"/>
        <w:rPr>
          <w:rFonts w:ascii="Avenir Next LT Pro" w:hAnsi="Avenir Next LT Pro" w:cs="Calibri"/>
          <w:color w:val="000000" w:themeColor="text1"/>
        </w:rPr>
      </w:pPr>
      <w:r w:rsidRPr="004165D7">
        <w:rPr>
          <w:rFonts w:ascii="Avenir Next LT Pro" w:hAnsi="Avenir Next LT Pro" w:cs="Calibri"/>
          <w:color w:val="7030A0"/>
        </w:rPr>
        <w:t>{%p endfor %}</w:t>
      </w:r>
    </w:p>
    <w:p w14:paraId="4D297B40" w14:textId="77777777" w:rsidR="003403D7" w:rsidRPr="0028191A" w:rsidRDefault="003403D7" w:rsidP="003403D7">
      <w:pPr>
        <w:rPr>
          <w:rFonts w:ascii="Avenir Next LT Pro" w:hAnsi="Avenir Next LT Pro" w:cs="Calibri"/>
          <w:b/>
          <w:bCs/>
          <w:color w:val="000000" w:themeColor="text1"/>
        </w:rPr>
      </w:pPr>
    </w:p>
    <w:p w14:paraId="4B6A1C1E" w14:textId="77777777" w:rsidR="003403D7" w:rsidRPr="0028191A" w:rsidRDefault="003403D7" w:rsidP="003403D7">
      <w:pPr>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t>FUNDAMENTOS DE DERECHO</w:t>
      </w:r>
    </w:p>
    <w:p w14:paraId="40C58AE2" w14:textId="77777777" w:rsidR="003403D7" w:rsidRPr="00AD20F5" w:rsidRDefault="003403D7" w:rsidP="003403D7">
      <w:pPr>
        <w:jc w:val="both"/>
        <w:rPr>
          <w:rFonts w:ascii="Avenir Next LT Pro" w:eastAsia="Times New Roman" w:hAnsi="Avenir Next LT Pro" w:cs="Calibri"/>
          <w:iCs/>
          <w:color w:val="000000" w:themeColor="text1"/>
          <w:lang w:val="en-US" w:eastAsia="es-CO"/>
        </w:rPr>
      </w:pPr>
      <w:r w:rsidRPr="00AD20F5">
        <w:rPr>
          <w:rFonts w:ascii="Avenir Next LT Pro" w:eastAsia="Times New Roman" w:hAnsi="Avenir Next LT Pro" w:cs="Calibri"/>
          <w:iCs/>
          <w:color w:val="00B050"/>
          <w:lang w:val="en-US" w:eastAsia="es-CO"/>
        </w:rPr>
        <w:t>{%p if ( entity_type == “Pública” or ( entity_type == “No sé” ) ) %}</w:t>
      </w:r>
    </w:p>
    <w:p w14:paraId="756DCD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lastRenderedPageBreak/>
        <w:t>Presento esta petición con fundamento en el artículo 23 de la Constitución Política, regulado y desarrollado por la Ley 1755 de 2015</w:t>
      </w:r>
      <w:r w:rsidRPr="0028191A">
        <w:rPr>
          <w:rStyle w:val="Refdenotaalpie"/>
          <w:rFonts w:ascii="Avenir Next LT Pro" w:eastAsia="Times New Roman" w:hAnsi="Avenir Next LT Pro" w:cs="Calibri"/>
          <w:iCs/>
          <w:color w:val="000000" w:themeColor="text1"/>
          <w:vertAlign w:val="superscript"/>
          <w:lang w:eastAsia="es-CO"/>
        </w:rPr>
        <w:footnoteReference w:id="1"/>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Cs/>
          <w:iCs/>
          <w:color w:val="000000" w:themeColor="text1"/>
          <w:lang w:eastAsia="es-CO"/>
        </w:rPr>
        <w:t>particulares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Refdenotaalpie"/>
          <w:rFonts w:ascii="Avenir Next LT Pro" w:eastAsia="Times New Roman" w:hAnsi="Avenir Next LT Pro" w:cs="Calibri"/>
          <w:iCs/>
          <w:color w:val="000000" w:themeColor="text1"/>
          <w:vertAlign w:val="superscript"/>
          <w:lang w:eastAsia="es-CO"/>
        </w:rPr>
        <w:footnoteReference w:id="2"/>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y (ii) tiene un nexo directo con otras garantías fundamentales como lo es el acceso a la información</w:t>
      </w:r>
      <w:r w:rsidRPr="0028191A">
        <w:rPr>
          <w:rFonts w:ascii="Avenir Next LT Pro" w:eastAsia="Times New Roman" w:hAnsi="Avenir Next LT Pro"/>
          <w:iCs/>
          <w:vertAlign w:val="superscript"/>
          <w:lang w:eastAsia="es-CO"/>
        </w:rPr>
        <w:footnoteReference w:id="3"/>
      </w:r>
      <w:r w:rsidRPr="0028191A">
        <w:rPr>
          <w:rFonts w:ascii="Avenir Next LT Pro" w:eastAsia="Times New Roman" w:hAnsi="Avenir Next LT Pro" w:cs="Calibri"/>
          <w:iCs/>
          <w:color w:val="000000" w:themeColor="text1"/>
          <w:lang w:eastAsia="es-CO"/>
        </w:rPr>
        <w:t>. Al respecto, la Corte Constitucional ha señalado:</w:t>
      </w:r>
    </w:p>
    <w:p w14:paraId="107A394E"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28191A">
        <w:rPr>
          <w:rStyle w:val="Refdenotaalpie"/>
          <w:rFonts w:ascii="Avenir Next LT Pro" w:eastAsia="Times New Roman" w:hAnsi="Avenir Next LT Pro" w:cs="Calibri"/>
          <w:i/>
          <w:iCs/>
          <w:color w:val="000000" w:themeColor="text1"/>
          <w:vertAlign w:val="superscript"/>
          <w:lang w:eastAsia="es-CO"/>
        </w:rPr>
        <w:footnoteReference w:id="4"/>
      </w:r>
      <w:r w:rsidRPr="0028191A">
        <w:rPr>
          <w:rFonts w:ascii="Avenir Next LT Pro" w:eastAsia="Times New Roman" w:hAnsi="Avenir Next LT Pro" w:cs="Calibri"/>
          <w:i/>
          <w:iCs/>
          <w:color w:val="000000" w:themeColor="text1"/>
          <w:lang w:eastAsia="es-CO"/>
        </w:rPr>
        <w:t>.</w:t>
      </w:r>
    </w:p>
    <w:p w14:paraId="3BF52BFE"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47A59420"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p>
    <w:p w14:paraId="36307C32"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Refdenotaalpie"/>
          <w:rFonts w:ascii="Avenir Next LT Pro" w:eastAsia="Times New Roman" w:hAnsi="Avenir Next LT Pro" w:cs="Calibri"/>
          <w:i/>
          <w:iCs/>
          <w:color w:val="000000" w:themeColor="text1"/>
          <w:vertAlign w:val="superscript"/>
          <w:lang w:eastAsia="es-CO"/>
        </w:rPr>
        <w:footnoteReference w:id="5"/>
      </w:r>
      <w:r w:rsidRPr="0028191A">
        <w:rPr>
          <w:rFonts w:ascii="Avenir Next LT Pro" w:eastAsia="Times New Roman" w:hAnsi="Avenir Next LT Pro" w:cs="Calibri"/>
          <w:i/>
          <w:iCs/>
          <w:color w:val="000000" w:themeColor="text1"/>
          <w:lang w:eastAsia="es-CO"/>
        </w:rPr>
        <w:t>.</w:t>
      </w:r>
    </w:p>
    <w:p w14:paraId="7D196B91"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conviene destacar que en</w:t>
      </w:r>
      <w:r w:rsidRPr="0028191A">
        <w:rPr>
          <w:rFonts w:ascii="Avenir Next LT Pro" w:eastAsia="Times New Roman" w:hAnsi="Avenir Next LT Pro" w:cs="Calibri"/>
          <w:b/>
          <w:iCs/>
          <w:color w:val="000000" w:themeColor="text1"/>
          <w:lang w:eastAsia="es-CO"/>
        </w:rPr>
        <w:t xml:space="preserve"> Sentencias T-377 de 2000</w:t>
      </w:r>
      <w:r w:rsidRPr="0028191A">
        <w:rPr>
          <w:rStyle w:val="Refdenotaalpie"/>
          <w:rFonts w:ascii="Avenir Next LT Pro" w:eastAsia="Times New Roman" w:hAnsi="Avenir Next LT Pro" w:cs="Calibri"/>
          <w:iCs/>
          <w:color w:val="000000" w:themeColor="text1"/>
          <w:vertAlign w:val="superscript"/>
          <w:lang w:eastAsia="es-CO"/>
        </w:rPr>
        <w:footnoteReference w:id="6"/>
      </w:r>
      <w:r w:rsidRPr="0028191A">
        <w:rPr>
          <w:rFonts w:ascii="Avenir Next LT Pro" w:eastAsia="Times New Roman" w:hAnsi="Avenir Next LT Pro" w:cs="Calibri"/>
          <w:bCs/>
          <w:iCs/>
          <w:color w:val="000000" w:themeColor="text1"/>
          <w:lang w:eastAsia="es-CO"/>
        </w:rPr>
        <w:t>,</w:t>
      </w:r>
      <w:r w:rsidRPr="0028191A">
        <w:rPr>
          <w:rFonts w:ascii="Avenir Next LT Pro" w:eastAsia="Times New Roman" w:hAnsi="Avenir Next LT Pro" w:cs="Calibri"/>
          <w:b/>
          <w:iCs/>
          <w:color w:val="000000" w:themeColor="text1"/>
          <w:lang w:eastAsia="es-CO"/>
        </w:rPr>
        <w:t xml:space="preserve"> C-818 de 2011 y C-951 de 2014</w:t>
      </w:r>
      <w:r w:rsidRPr="0028191A">
        <w:rPr>
          <w:rStyle w:val="Refdenotaalpie"/>
          <w:rFonts w:ascii="Avenir Next LT Pro" w:eastAsia="Times New Roman" w:hAnsi="Avenir Next LT Pro" w:cs="Calibri"/>
          <w:iCs/>
          <w:color w:val="000000" w:themeColor="text1"/>
          <w:vertAlign w:val="superscript"/>
          <w:lang w:eastAsia="es-CO"/>
        </w:rPr>
        <w:footnoteReference w:id="7"/>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la Corte Constitucional advirtió que, en virtud de los principios y fines del Estado, cualquier persona interesada tiene la posibilidad de </w:t>
      </w:r>
      <w:r w:rsidRPr="0028191A">
        <w:rPr>
          <w:rFonts w:ascii="Avenir Next LT Pro" w:eastAsia="Times New Roman" w:hAnsi="Avenir Next LT Pro" w:cs="Calibri"/>
          <w:iCs/>
          <w:color w:val="000000" w:themeColor="text1"/>
          <w:lang w:eastAsia="es-CO"/>
        </w:rPr>
        <w:lastRenderedPageBreak/>
        <w:t>elevar solicitudes ante cualquier autoridad pública incluyendo las autoridades judiciales</w:t>
      </w:r>
      <w:r w:rsidRPr="0028191A">
        <w:rPr>
          <w:rStyle w:val="Refdenotaalpie"/>
          <w:rFonts w:ascii="Avenir Next LT Pro" w:eastAsia="Times New Roman" w:hAnsi="Avenir Next LT Pro" w:cs="Calibri"/>
          <w:iCs/>
          <w:color w:val="000000" w:themeColor="text1"/>
          <w:vertAlign w:val="superscript"/>
          <w:lang w:eastAsia="es-CO"/>
        </w:rPr>
        <w:footnoteReference w:id="8"/>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sin que estas puedan negarse a recibirlas o abstenerse de tramitarlas. Incluso, la falta de competencia de la entidad ante quien se presenta la acción constitucional no la exonera del deber de responder</w:t>
      </w:r>
      <w:r w:rsidRPr="0028191A">
        <w:rPr>
          <w:rStyle w:val="Refdenotaalpie"/>
          <w:rFonts w:ascii="Avenir Next LT Pro" w:eastAsia="Times New Roman" w:hAnsi="Avenir Next LT Pro" w:cs="Calibri"/>
          <w:iCs/>
          <w:color w:val="000000" w:themeColor="text1"/>
          <w:vertAlign w:val="superscript"/>
          <w:lang w:eastAsia="es-CO"/>
        </w:rPr>
        <w:footnoteReference w:id="9"/>
      </w:r>
      <w:r w:rsidRPr="0028191A">
        <w:rPr>
          <w:rFonts w:ascii="Avenir Next LT Pro" w:eastAsia="Times New Roman" w:hAnsi="Avenir Next LT Pro" w:cs="Calibri"/>
          <w:iCs/>
          <w:color w:val="000000" w:themeColor="text1"/>
          <w:lang w:eastAsia="es-CO"/>
        </w:rPr>
        <w:t>.</w:t>
      </w:r>
    </w:p>
    <w:p w14:paraId="53409EF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711F95B0"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En desarrollo de tal mandato, queda claro que elevar solicitudes a las autoridades públicas es un verdadero derecho fundamental, que es de carácter imprescindible para el efectivo logro de los fines del Estado consagrados en la Constitución Política. Justamente, la jurisprudencia de la Corte Constitucional ha indicado:</w:t>
      </w:r>
    </w:p>
    <w:p w14:paraId="63BE7BF8" w14:textId="77777777" w:rsidR="003403D7" w:rsidRPr="0028191A" w:rsidRDefault="003403D7" w:rsidP="003403D7">
      <w:pPr>
        <w:spacing w:after="0" w:line="240" w:lineRule="auto"/>
        <w:ind w:left="540" w:right="468"/>
        <w:jc w:val="both"/>
        <w:rPr>
          <w:rFonts w:ascii="Avenir Next LT Pro" w:eastAsia="Times New Roman" w:hAnsi="Avenir Next LT Pro" w:cs="Calibri"/>
          <w:iCs/>
          <w:color w:val="000000" w:themeColor="text1"/>
          <w:lang w:eastAsia="es-CO"/>
        </w:rPr>
      </w:pPr>
    </w:p>
    <w:p w14:paraId="1DA6BCD3" w14:textId="77777777" w:rsidR="003403D7" w:rsidRPr="0028191A" w:rsidRDefault="003403D7" w:rsidP="003403D7">
      <w:pPr>
        <w:spacing w:after="0" w:line="240" w:lineRule="auto"/>
        <w:ind w:left="720" w:right="616"/>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28191A">
        <w:rPr>
          <w:rFonts w:ascii="Avenir Next LT Pro" w:eastAsia="Times New Roman" w:hAnsi="Avenir Next LT Pro" w:cs="Calibri"/>
          <w:iCs/>
          <w:color w:val="000000" w:themeColor="text1"/>
          <w:lang w:eastAsia="es-CO"/>
        </w:rPr>
        <w:t>”</w:t>
      </w:r>
      <w:r w:rsidRPr="0028191A">
        <w:rPr>
          <w:rStyle w:val="Refdenotaalpie"/>
          <w:rFonts w:ascii="Avenir Next LT Pro" w:eastAsia="Times New Roman" w:hAnsi="Avenir Next LT Pro" w:cs="Calibri"/>
          <w:iCs/>
          <w:color w:val="000000" w:themeColor="text1"/>
          <w:vertAlign w:val="superscript"/>
          <w:lang w:eastAsia="es-CO"/>
        </w:rPr>
        <w:footnoteReference w:id="10"/>
      </w:r>
      <w:r w:rsidRPr="0028191A">
        <w:rPr>
          <w:rFonts w:ascii="Avenir Next LT Pro" w:eastAsia="Times New Roman" w:hAnsi="Avenir Next LT Pro" w:cs="Calibri"/>
          <w:iCs/>
          <w:color w:val="000000" w:themeColor="text1"/>
          <w:lang w:eastAsia="es-CO"/>
        </w:rPr>
        <w:t>.</w:t>
      </w:r>
    </w:p>
    <w:p w14:paraId="20A6BB6D"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37711718"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Por su parte, en relación al tipo de solicitudes que se pueden presentar ante autoridades públicas, la Ley 1755 de 2015 dispone que se podrá solicitar: (i) el reconocimiento de un derecho en particular; (ii) la intervención de una entidad en la resolución de una situación jurídica; (iii) la prestación de un servicio; (iv) requerir información; (v) consultar, examinar y requerir copias de documentos o , (vi) formular consultas, quejas y reclamos.</w:t>
      </w:r>
    </w:p>
    <w:p w14:paraId="088FCD0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0FB99988"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t xml:space="preserve">Ahora bien, teniendo en cuenta que en la petición de la referencia podría haber solicitud de información o documentos que para </w:t>
      </w:r>
      <w:r w:rsidRPr="004165D7">
        <w:rPr>
          <w:rFonts w:ascii="Avenir Next LT Pro" w:hAnsi="Avenir Next LT Pro" w:cs="Calibri"/>
          <w:b/>
          <w:bCs/>
          <w:iCs/>
          <w:color w:val="000000" w:themeColor="text1"/>
        </w:rPr>
        <w:t>{{ company_or_entity_name|upper }}</w:t>
      </w:r>
      <w:r w:rsidRPr="0028191A">
        <w:rPr>
          <w:rFonts w:ascii="Avenir Next LT Pro" w:eastAsia="Times New Roman" w:hAnsi="Avenir Next LT Pro" w:cs="Calibri"/>
          <w:iCs/>
          <w:color w:val="000000" w:themeColor="text1"/>
          <w:lang w:eastAsia="es-CO"/>
        </w:rPr>
        <w:t xml:space="preserve"> pueden ser sujetos de reserva, es de resaltar que en virtud del derecho al acceso a la información la autoridad debe demostrar, de manera motivada, que su decisión no constituye un acto arbitrario, sino que es consecuencia de una decisión administrativa conforme a la Constitución y la ley. En esos términos la Corte Constitucional ha manifestado:</w:t>
      </w:r>
    </w:p>
    <w:p w14:paraId="5E439FEA" w14:textId="77777777" w:rsidR="003403D7" w:rsidRPr="0028191A" w:rsidRDefault="003403D7" w:rsidP="003403D7">
      <w:pPr>
        <w:spacing w:after="0" w:line="240" w:lineRule="auto"/>
        <w:ind w:left="360" w:right="558"/>
        <w:jc w:val="both"/>
        <w:rPr>
          <w:rFonts w:ascii="Avenir Next LT Pro" w:eastAsia="Times New Roman" w:hAnsi="Avenir Next LT Pro" w:cs="Calibri"/>
          <w:iCs/>
          <w:color w:val="000000" w:themeColor="text1"/>
          <w:lang w:eastAsia="es-CO"/>
        </w:rPr>
      </w:pPr>
    </w:p>
    <w:p w14:paraId="635AC5F9" w14:textId="77777777" w:rsidR="003403D7" w:rsidRPr="0028191A" w:rsidRDefault="003403D7" w:rsidP="003403D7">
      <w:pPr>
        <w:spacing w:after="0" w:line="240" w:lineRule="auto"/>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“Las normas que limitan el derecho de acceso a la información deben ser interpretadas de manera restrictiva y toda limitación debe estar adecuadamente motivada. A este respecto la Corte ha señalado que existe una clara obligación del servidor público de motivar la decisión que niega el acceso a información pública y tal motivación debe reunir los requisitos establecidos por la Constitución y la ley”</w:t>
      </w:r>
      <w:r w:rsidRPr="0028191A">
        <w:rPr>
          <w:rStyle w:val="Refdenotaalpie"/>
          <w:rFonts w:ascii="Avenir Next LT Pro" w:eastAsia="Times New Roman" w:hAnsi="Avenir Next LT Pro" w:cs="Calibri"/>
          <w:i/>
          <w:color w:val="000000" w:themeColor="text1"/>
          <w:vertAlign w:val="superscript"/>
          <w:lang w:eastAsia="es-CO"/>
        </w:rPr>
        <w:footnoteReference w:id="11"/>
      </w:r>
      <w:r w:rsidRPr="0028191A">
        <w:rPr>
          <w:rFonts w:ascii="Avenir Next LT Pro" w:eastAsia="Times New Roman" w:hAnsi="Avenir Next LT Pro" w:cs="Calibri"/>
          <w:i/>
          <w:color w:val="000000" w:themeColor="text1"/>
          <w:lang w:eastAsia="es-CO"/>
        </w:rPr>
        <w:t>.</w:t>
      </w:r>
    </w:p>
    <w:p w14:paraId="2C69C5DD"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0D8720B" w14:textId="77777777" w:rsidR="003403D7" w:rsidRPr="0028191A" w:rsidRDefault="003403D7" w:rsidP="003403D7">
      <w:pPr>
        <w:spacing w:after="0" w:line="240" w:lineRule="auto"/>
        <w:ind w:right="49"/>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Sumado a lo anterior, tal y como lo dispone el artículo 21 de la Ley 1755 de 2015 aún cuando la entidad aplique la reserva de la información y alguno de los criterios establecidos por la ley y motive su respuesta, está en la obligación de entregar una versión pública de la información eliminando la parte que sea reservada. Así, lo dispone la precitada disposición:</w:t>
      </w:r>
    </w:p>
    <w:p w14:paraId="3A9C0A21"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p>
    <w:p w14:paraId="0F3D70D4"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La reserva de acceso a la información opera respecto del contenido de un documento público pero no de su existencia.”</w:t>
      </w:r>
    </w:p>
    <w:p w14:paraId="431E2A84"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751D7F3"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Conforme a tales antecedentes, presento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12"/>
      </w:r>
      <w:r w:rsidRPr="0028191A">
        <w:rPr>
          <w:rFonts w:ascii="Avenir Next LT Pro" w:eastAsia="Times New Roman" w:hAnsi="Avenir Next LT Pro" w:cs="Calibri"/>
          <w:iCs/>
          <w:color w:val="000000" w:themeColor="text1"/>
          <w:lang w:eastAsia="es-CO"/>
        </w:rPr>
        <w:t xml:space="preserve"> para dar respuesta a lo pedido en este escrito.</w:t>
      </w:r>
    </w:p>
    <w:p w14:paraId="0EEFD29F" w14:textId="77777777" w:rsidR="0087341C" w:rsidRDefault="0087341C" w:rsidP="003403D7">
      <w:pPr>
        <w:jc w:val="both"/>
        <w:rPr>
          <w:rFonts w:ascii="Avenir Next LT Pro" w:eastAsia="Times New Roman" w:hAnsi="Avenir Next LT Pro" w:cs="Calibri"/>
          <w:iCs/>
          <w:color w:val="000000" w:themeColor="text1"/>
          <w:lang w:eastAsia="es-CO"/>
        </w:rPr>
      </w:pPr>
    </w:p>
    <w:p w14:paraId="564CEB89" w14:textId="06553C1D" w:rsidR="003403D7" w:rsidRPr="002E6E8C" w:rsidRDefault="003403D7" w:rsidP="003403D7">
      <w:pPr>
        <w:jc w:val="both"/>
        <w:rPr>
          <w:rFonts w:ascii="Avenir Next LT Pro" w:eastAsia="Times New Roman" w:hAnsi="Avenir Next LT Pro" w:cs="Calibri"/>
          <w:iCs/>
          <w:color w:val="000000" w:themeColor="text1"/>
          <w:lang w:val="en-US" w:eastAsia="es-CO"/>
        </w:rPr>
      </w:pPr>
      <w:r w:rsidRPr="002E6E8C">
        <w:rPr>
          <w:rFonts w:ascii="Avenir Next LT Pro" w:eastAsia="Times New Roman" w:hAnsi="Avenir Next LT Pro" w:cs="Calibri"/>
          <w:iCs/>
          <w:color w:val="00B050"/>
          <w:lang w:val="en-US" w:eastAsia="es-CO"/>
        </w:rPr>
        <w:t>{%p elif entity_type == ‘Privada’ %}</w:t>
      </w:r>
    </w:p>
    <w:p w14:paraId="5FF4C687"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28191A">
        <w:rPr>
          <w:rStyle w:val="Refdenotaalpie"/>
          <w:rFonts w:ascii="Avenir Next LT Pro" w:eastAsia="Times New Roman" w:hAnsi="Avenir Next LT Pro" w:cs="Calibri"/>
          <w:iCs/>
          <w:color w:val="000000" w:themeColor="text1"/>
          <w:vertAlign w:val="superscript"/>
          <w:lang w:eastAsia="es-CO"/>
        </w:rPr>
        <w:footnoteReference w:id="13"/>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4165D7">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
          <w:iCs/>
          <w:color w:val="000000" w:themeColor="text1"/>
          <w:lang w:eastAsia="es-CO"/>
        </w:rPr>
        <w:t xml:space="preserve">particulares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Refdenotaalpie"/>
          <w:rFonts w:ascii="Avenir Next LT Pro" w:eastAsia="Times New Roman" w:hAnsi="Avenir Next LT Pro" w:cs="Calibri"/>
          <w:iCs/>
          <w:color w:val="000000" w:themeColor="text1"/>
          <w:vertAlign w:val="superscript"/>
          <w:lang w:eastAsia="es-CO"/>
        </w:rPr>
        <w:footnoteReference w:id="14"/>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y (ii) tiene un nexo directo con otras garantías fundamentales como lo es el acceso a la información</w:t>
      </w:r>
      <w:r w:rsidRPr="0028191A">
        <w:rPr>
          <w:rFonts w:ascii="Avenir Next LT Pro" w:eastAsia="Times New Roman" w:hAnsi="Avenir Next LT Pro"/>
          <w:iCs/>
          <w:vertAlign w:val="superscript"/>
          <w:lang w:eastAsia="es-CO"/>
        </w:rPr>
        <w:footnoteReference w:id="15"/>
      </w:r>
      <w:r w:rsidRPr="0028191A">
        <w:rPr>
          <w:rFonts w:ascii="Avenir Next LT Pro" w:eastAsia="Times New Roman" w:hAnsi="Avenir Next LT Pro" w:cs="Calibri"/>
          <w:iCs/>
          <w:color w:val="000000" w:themeColor="text1"/>
          <w:lang w:eastAsia="es-CO"/>
        </w:rPr>
        <w:t>. Al respecto, la Corte Constitucional ha señalado:</w:t>
      </w:r>
    </w:p>
    <w:p w14:paraId="4C710820"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 xml:space="preserve">“Este derecho fundamental tiene nexo directo con el derecho de acceso a la información (artículo 74 CP), en la medida que los ciudadanos en ejercicio del derecho de petición, tienen la potestad de conocer la información sobre el </w:t>
      </w:r>
      <w:r w:rsidRPr="0028191A">
        <w:rPr>
          <w:rFonts w:ascii="Avenir Next LT Pro" w:eastAsia="Times New Roman" w:hAnsi="Avenir Next LT Pro" w:cs="Calibri"/>
          <w:i/>
          <w:iCs/>
          <w:color w:val="000000" w:themeColor="text1"/>
          <w:lang w:eastAsia="es-CO"/>
        </w:rPr>
        <w:lastRenderedPageBreak/>
        <w:t>proceder de las autoridades y/o particulares, de acuerdo a los parámetros establecidos por el legislador (….). [E]l derecho de petición es el género y el derecho a acceder a la información pública es una manifestación específica del mismo”</w:t>
      </w:r>
      <w:r w:rsidRPr="0028191A">
        <w:rPr>
          <w:rStyle w:val="Refdenotaalpie"/>
          <w:rFonts w:ascii="Avenir Next LT Pro" w:eastAsia="Times New Roman" w:hAnsi="Avenir Next LT Pro" w:cs="Calibri"/>
          <w:i/>
          <w:iCs/>
          <w:color w:val="000000" w:themeColor="text1"/>
          <w:vertAlign w:val="superscript"/>
          <w:lang w:eastAsia="es-CO"/>
        </w:rPr>
        <w:footnoteReference w:id="16"/>
      </w:r>
      <w:r w:rsidRPr="0028191A">
        <w:rPr>
          <w:rFonts w:ascii="Avenir Next LT Pro" w:eastAsia="Times New Roman" w:hAnsi="Avenir Next LT Pro" w:cs="Calibri"/>
          <w:i/>
          <w:iCs/>
          <w:color w:val="000000" w:themeColor="text1"/>
          <w:lang w:eastAsia="es-CO"/>
        </w:rPr>
        <w:t>.</w:t>
      </w:r>
    </w:p>
    <w:p w14:paraId="2751A0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018F9EAB"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Refdenotaalpie"/>
          <w:rFonts w:ascii="Avenir Next LT Pro" w:eastAsia="Times New Roman" w:hAnsi="Avenir Next LT Pro" w:cs="Calibri"/>
          <w:i/>
          <w:iCs/>
          <w:color w:val="000000" w:themeColor="text1"/>
          <w:vertAlign w:val="superscript"/>
          <w:lang w:eastAsia="es-CO"/>
        </w:rPr>
        <w:footnoteReference w:id="17"/>
      </w:r>
      <w:r w:rsidRPr="0028191A">
        <w:rPr>
          <w:rFonts w:ascii="Avenir Next LT Pro" w:eastAsia="Times New Roman" w:hAnsi="Avenir Next LT Pro" w:cs="Calibri"/>
          <w:i/>
          <w:iCs/>
          <w:color w:val="000000" w:themeColor="text1"/>
          <w:lang w:eastAsia="es-CO"/>
        </w:rPr>
        <w:t>.</w:t>
      </w:r>
    </w:p>
    <w:p w14:paraId="7DC6C834"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conviene destacar que en </w:t>
      </w:r>
      <w:r w:rsidRPr="0028191A">
        <w:rPr>
          <w:rFonts w:ascii="Avenir Next LT Pro" w:eastAsia="Times New Roman" w:hAnsi="Avenir Next LT Pro" w:cs="Calibri"/>
          <w:b/>
          <w:iCs/>
          <w:color w:val="000000" w:themeColor="text1"/>
          <w:lang w:eastAsia="es-CO"/>
        </w:rPr>
        <w:t>Sentencias SU-166 de 1999</w:t>
      </w:r>
      <w:r w:rsidRPr="0028191A">
        <w:rPr>
          <w:rStyle w:val="Refdenotaalpie"/>
          <w:rFonts w:ascii="Avenir Next LT Pro" w:eastAsia="Times New Roman" w:hAnsi="Avenir Next LT Pro" w:cs="Calibri"/>
          <w:iCs/>
          <w:color w:val="000000" w:themeColor="text1"/>
          <w:vertAlign w:val="superscript"/>
          <w:lang w:eastAsia="es-CO"/>
        </w:rPr>
        <w:footnoteReference w:id="18"/>
      </w:r>
      <w:r w:rsidRPr="0028191A">
        <w:rPr>
          <w:rFonts w:ascii="Avenir Next LT Pro" w:eastAsia="Times New Roman" w:hAnsi="Avenir Next LT Pro" w:cs="Calibri"/>
          <w:b/>
          <w:iCs/>
          <w:color w:val="000000" w:themeColor="text1"/>
          <w:lang w:eastAsia="es-CO"/>
        </w:rPr>
        <w:t>, T-377 de 2000</w:t>
      </w:r>
      <w:r w:rsidRPr="0028191A">
        <w:rPr>
          <w:rStyle w:val="Refdenotaalpie"/>
          <w:rFonts w:ascii="Avenir Next LT Pro" w:eastAsia="Times New Roman" w:hAnsi="Avenir Next LT Pro" w:cs="Calibri"/>
          <w:iCs/>
          <w:color w:val="000000" w:themeColor="text1"/>
          <w:vertAlign w:val="superscript"/>
          <w:lang w:eastAsia="es-CO"/>
        </w:rPr>
        <w:footnoteReference w:id="19"/>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b/>
          <w:iCs/>
          <w:color w:val="000000" w:themeColor="text1"/>
          <w:lang w:eastAsia="es-CO"/>
        </w:rPr>
        <w:t>C-818 de 2011</w:t>
      </w:r>
      <w:r w:rsidRPr="0028191A">
        <w:rPr>
          <w:rStyle w:val="Refdenotaalpie"/>
          <w:rFonts w:ascii="Avenir Next LT Pro" w:eastAsia="Times New Roman" w:hAnsi="Avenir Next LT Pro" w:cs="Calibri"/>
          <w:bCs/>
          <w:iCs/>
          <w:color w:val="000000" w:themeColor="text1"/>
          <w:sz w:val="21"/>
          <w:szCs w:val="21"/>
          <w:vertAlign w:val="superscript"/>
          <w:lang w:eastAsia="es-CO"/>
        </w:rPr>
        <w:footnoteReference w:id="20"/>
      </w:r>
      <w:r w:rsidRPr="0028191A">
        <w:rPr>
          <w:rFonts w:ascii="Avenir Next LT Pro" w:eastAsia="Times New Roman" w:hAnsi="Avenir Next LT Pro" w:cs="Calibri"/>
          <w:b/>
          <w:iCs/>
          <w:color w:val="000000" w:themeColor="text1"/>
          <w:lang w:eastAsia="es-CO"/>
        </w:rPr>
        <w:t xml:space="preserve"> C-951 de 2014</w:t>
      </w:r>
      <w:r w:rsidRPr="0028191A">
        <w:rPr>
          <w:rStyle w:val="Refdenotaalpie"/>
          <w:rFonts w:ascii="Avenir Next LT Pro" w:eastAsia="Times New Roman" w:hAnsi="Avenir Next LT Pro" w:cs="Calibri"/>
          <w:iCs/>
          <w:color w:val="000000" w:themeColor="text1"/>
          <w:vertAlign w:val="superscript"/>
          <w:lang w:eastAsia="es-CO"/>
        </w:rPr>
        <w:footnoteReference w:id="21"/>
      </w:r>
      <w:r w:rsidRPr="00C52E9A">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la Corte Constitucional</w:t>
      </w:r>
      <w:r w:rsidRPr="0028191A">
        <w:rPr>
          <w:rFonts w:ascii="Avenir Next LT Pro" w:eastAsia="Times New Roman" w:hAnsi="Avenir Next LT Pro"/>
          <w:iCs/>
          <w:vertAlign w:val="superscript"/>
          <w:lang w:eastAsia="es-CO"/>
        </w:rPr>
        <w:footnoteReference w:id="22"/>
      </w:r>
      <w:r w:rsidRPr="0028191A">
        <w:rPr>
          <w:rFonts w:ascii="Avenir Next LT Pro" w:eastAsia="Times New Roman" w:hAnsi="Avenir Next LT Pro" w:cs="Calibri"/>
          <w:iCs/>
          <w:color w:val="000000" w:themeColor="text1"/>
          <w:lang w:eastAsia="es-CO"/>
        </w:rPr>
        <w:t xml:space="preserve"> delimitó tres (3) escenarios mediante los cuales </w:t>
      </w:r>
      <w:r w:rsidRPr="0028191A">
        <w:rPr>
          <w:rFonts w:ascii="Avenir Next LT Pro" w:eastAsia="Times New Roman" w:hAnsi="Avenir Next LT Pro" w:cs="Calibri"/>
          <w:b/>
          <w:iCs/>
          <w:color w:val="000000" w:themeColor="text1"/>
          <w:lang w:eastAsia="es-CO"/>
        </w:rPr>
        <w:t xml:space="preserve">procede el derecho de petición frente a particulares </w:t>
      </w:r>
      <w:r w:rsidRPr="0028191A">
        <w:rPr>
          <w:rFonts w:ascii="Avenir Next LT Pro" w:eastAsia="Times New Roman" w:hAnsi="Avenir Next LT Pro" w:cs="Calibri"/>
          <w:iCs/>
          <w:color w:val="000000" w:themeColor="text1"/>
          <w:lang w:eastAsia="es-CO"/>
        </w:rPr>
        <w:t>a saber:</w:t>
      </w:r>
    </w:p>
    <w:p w14:paraId="4DFB7B09"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particular presta un servicio público o realiza funciones públicas.</w:t>
      </w:r>
    </w:p>
    <w:p w14:paraId="43ABEF4C"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derecho de petición se constituye en un medio para obtener la efectividad de otro derecho fundamental, puede protegerse de manera inmediata.</w:t>
      </w:r>
    </w:p>
    <w:p w14:paraId="36080715"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Cs/>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En aquellos asuntos en los cuales exista una relación especial de poder entre el peticionario y la organización privada.</w:t>
      </w:r>
    </w:p>
    <w:p w14:paraId="6D048D9D" w14:textId="77777777" w:rsidR="003403D7" w:rsidRPr="0028191A" w:rsidRDefault="003403D7" w:rsidP="003403D7">
      <w:pPr>
        <w:pStyle w:val="Prrafodelista"/>
        <w:jc w:val="both"/>
        <w:rPr>
          <w:rFonts w:ascii="Avenir Next LT Pro" w:eastAsia="Times New Roman" w:hAnsi="Avenir Next LT Pro" w:cs="Calibri"/>
          <w:iCs/>
          <w:color w:val="000000" w:themeColor="text1"/>
          <w:sz w:val="22"/>
          <w:szCs w:val="22"/>
          <w:lang w:eastAsia="es-CO"/>
        </w:rPr>
      </w:pPr>
    </w:p>
    <w:p w14:paraId="62B9A9D5"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Frente a este último escenario, el artículo 32, Parágrafo 1 de la Ley 1755 de 2015 dispuso que el derecho de petición se podía ejercer ante particulares cuando frente a ellos el solicitante se encontrara en: (i) situación de indefensión o subordinación o, (ii) la persona natural se encuentre ejerciendo una función o posición dominante frente al peticionario.</w:t>
      </w:r>
    </w:p>
    <w:p w14:paraId="07B53C81"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lastRenderedPageBreak/>
        <w:t xml:space="preserve">Concretamente, en providencia </w:t>
      </w:r>
      <w:r w:rsidRPr="0028191A">
        <w:rPr>
          <w:rFonts w:ascii="Avenir Next LT Pro" w:eastAsia="Times New Roman" w:hAnsi="Avenir Next LT Pro" w:cs="Calibri"/>
          <w:b/>
          <w:iCs/>
          <w:color w:val="000000" w:themeColor="text1"/>
          <w:lang w:eastAsia="es-CO"/>
        </w:rPr>
        <w:t>C-591 de 2014</w:t>
      </w:r>
      <w:r w:rsidRPr="0028191A">
        <w:rPr>
          <w:rFonts w:ascii="Avenir Next LT Pro" w:eastAsia="Times New Roman" w:hAnsi="Avenir Next LT Pro" w:cs="Calibri"/>
          <w:iCs/>
          <w:color w:val="000000" w:themeColor="text1"/>
          <w:lang w:eastAsia="es-CO"/>
        </w:rPr>
        <w:t xml:space="preserve"> que analizó la constitucionalidad de la Ley 1755 de 2015, la Corte Constitucional</w:t>
      </w:r>
      <w:r w:rsidRPr="0028191A">
        <w:rPr>
          <w:rStyle w:val="Refdenotaalpie"/>
          <w:rFonts w:ascii="Avenir Next LT Pro" w:eastAsia="Times New Roman" w:hAnsi="Avenir Next LT Pro" w:cs="Calibri"/>
          <w:iCs/>
          <w:color w:val="000000" w:themeColor="text1"/>
          <w:vertAlign w:val="superscript"/>
          <w:lang w:eastAsia="es-CO"/>
        </w:rPr>
        <w:footnoteReference w:id="23"/>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precisó que:</w:t>
      </w:r>
    </w:p>
    <w:p w14:paraId="4EDED876"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Cs/>
          <w:color w:val="000000" w:themeColor="text1"/>
          <w:lang w:eastAsia="es-CO"/>
        </w:rPr>
        <w:t xml:space="preserve">“ </w:t>
      </w: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 xml:space="preserve">subordinación </w:t>
      </w:r>
      <w:r w:rsidRPr="0028191A">
        <w:rPr>
          <w:rFonts w:ascii="Avenir Next LT Pro" w:eastAsia="Times New Roman" w:hAnsi="Avenir Next LT Pro" w:cs="Calibri"/>
          <w:i/>
          <w:color w:val="000000" w:themeColor="text1"/>
          <w:lang w:eastAsia="es-CO"/>
        </w:rPr>
        <w:t>responde a la existencia de una relación jurídica de dependencia, vínculo en que “la persona que solicita el amparo de sus derechos fundamentales se encuentra sometido a la voluntad del particular” (…).</w:t>
      </w:r>
    </w:p>
    <w:p w14:paraId="5622F82A"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indefensión</w:t>
      </w:r>
      <w:r w:rsidRPr="0028191A">
        <w:rPr>
          <w:rFonts w:ascii="Avenir Next LT Pro" w:eastAsia="Times New Roman" w:hAnsi="Avenir Next LT Pro" w:cs="Calibri"/>
          <w:i/>
          <w:color w:val="000000" w:themeColor="text1"/>
          <w:lang w:eastAsia="es-CO"/>
        </w:rPr>
        <w:t xml:space="preserve">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inexistencia de la posibilidad de respuesta efectiva ante la violación o amenaza de que se trate (…).</w:t>
      </w:r>
    </w:p>
    <w:p w14:paraId="1697402C" w14:textId="77777777" w:rsidR="003403D7" w:rsidRPr="0028191A" w:rsidRDefault="003403D7" w:rsidP="003403D7">
      <w:pPr>
        <w:ind w:left="720" w:right="558"/>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 xml:space="preserve">El ejercicio del derecho de petición también opera en razón de que el particular que ocupa una </w:t>
      </w:r>
      <w:r w:rsidRPr="0028191A">
        <w:rPr>
          <w:rFonts w:ascii="Avenir Next LT Pro" w:eastAsia="Times New Roman" w:hAnsi="Avenir Next LT Pro" w:cs="Calibri"/>
          <w:i/>
          <w:color w:val="000000" w:themeColor="text1"/>
          <w:u w:val="single"/>
          <w:lang w:eastAsia="es-CO"/>
        </w:rPr>
        <w:t>posición dominante</w:t>
      </w:r>
      <w:r w:rsidRPr="0028191A">
        <w:rPr>
          <w:rFonts w:ascii="Avenir Next LT Pro" w:eastAsia="Times New Roman" w:hAnsi="Avenir Next LT Pro" w:cs="Calibri"/>
          <w:i/>
          <w:color w:val="000000" w:themeColor="text1"/>
          <w:lang w:eastAsia="es-CO"/>
        </w:rPr>
        <w:t xml:space="preserve"> puede desplegar actos de poder que incidan en la esfera subjetiva del peticionario o tenga la capacidad efectiva de afectar sus derechos fundamentales, con lo cual queda en una situación de indefensión</w:t>
      </w:r>
      <w:r w:rsidRPr="0028191A">
        <w:rPr>
          <w:rFonts w:ascii="Avenir Next LT Pro" w:eastAsia="Times New Roman" w:hAnsi="Avenir Next LT Pro" w:cs="Calibri"/>
          <w:iCs/>
          <w:color w:val="000000" w:themeColor="text1"/>
          <w:lang w:eastAsia="es-CO"/>
        </w:rPr>
        <w:t>”</w:t>
      </w:r>
      <w:r w:rsidRPr="0028191A">
        <w:rPr>
          <w:rStyle w:val="Refdenotaalpie"/>
          <w:rFonts w:ascii="Avenir Next LT Pro" w:eastAsia="Times New Roman" w:hAnsi="Avenir Next LT Pro" w:cs="Calibri"/>
          <w:iCs/>
          <w:color w:val="000000" w:themeColor="text1"/>
          <w:vertAlign w:val="superscript"/>
          <w:lang w:eastAsia="es-CO"/>
        </w:rPr>
        <w:footnoteReference w:id="24"/>
      </w:r>
      <w:r w:rsidRPr="0028191A">
        <w:rPr>
          <w:rFonts w:ascii="Avenir Next LT Pro" w:eastAsia="Times New Roman" w:hAnsi="Avenir Next LT Pro" w:cs="Calibri"/>
          <w:iCs/>
          <w:color w:val="000000" w:themeColor="text1"/>
          <w:lang w:eastAsia="es-CO"/>
        </w:rPr>
        <w:t>.</w:t>
      </w:r>
    </w:p>
    <w:p w14:paraId="7BD06F92" w14:textId="77777777" w:rsidR="0087341C"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De lo expuesto, resulta procedente presentar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w:t>
      </w:r>
      <w:r w:rsidRPr="0028191A">
        <w:rPr>
          <w:rFonts w:ascii="Avenir Next LT Pro" w:hAnsi="Avenir Next LT Pro"/>
        </w:rPr>
        <w:t xml:space="preserve"> company_or_entity_name</w:t>
      </w:r>
      <w:r>
        <w:rPr>
          <w:rFonts w:ascii="Avenir Next LT Pro" w:hAnsi="Avenir Next LT Pro"/>
        </w:rPr>
        <w:t>|upper</w:t>
      </w:r>
      <w:r w:rsidRPr="0028191A">
        <w:rPr>
          <w:rFonts w:ascii="Avenir Next LT Pro" w:hAnsi="Avenir Next LT Pro"/>
        </w:rPr>
        <w:t xml:space="preserve"> </w:t>
      </w:r>
      <w:r w:rsidRPr="0028191A">
        <w:rPr>
          <w:rFonts w:ascii="Avenir Next LT Pro" w:hAnsi="Avenir Next LT Pro" w:cs="Calibri"/>
          <w:iCs/>
          <w:color w:val="000000" w:themeColor="text1"/>
        </w:rPr>
        <w:t>}}</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25"/>
      </w:r>
      <w:r w:rsidRPr="0028191A">
        <w:rPr>
          <w:rFonts w:ascii="Avenir Next LT Pro" w:eastAsia="Times New Roman" w:hAnsi="Avenir Next LT Pro" w:cs="Calibri"/>
          <w:iCs/>
          <w:color w:val="000000" w:themeColor="text1"/>
          <w:lang w:eastAsia="es-CO"/>
        </w:rPr>
        <w:t xml:space="preserve"> para dar respuesta a lo pedido en este escrito.</w:t>
      </w:r>
    </w:p>
    <w:p w14:paraId="769CF004" w14:textId="66BD00B1" w:rsidR="003403D7" w:rsidRPr="0087341C" w:rsidRDefault="003403D7" w:rsidP="003403D7">
      <w:pPr>
        <w:jc w:val="both"/>
        <w:rPr>
          <w:rFonts w:ascii="Avenir Next LT Pro" w:eastAsia="Times New Roman" w:hAnsi="Avenir Next LT Pro" w:cs="Calibri"/>
          <w:iCs/>
          <w:color w:val="000000" w:themeColor="text1"/>
          <w:lang w:eastAsia="es-CO"/>
        </w:rPr>
      </w:pPr>
      <w:r w:rsidRPr="003403D7">
        <w:rPr>
          <w:rFonts w:ascii="Avenir Next LT Pro" w:eastAsia="Times New Roman" w:hAnsi="Avenir Next LT Pro" w:cs="Calibri"/>
          <w:iCs/>
          <w:color w:val="00B050"/>
          <w:lang w:val="en-US" w:eastAsia="es-CO"/>
        </w:rPr>
        <w:t>{%p endif %}</w:t>
      </w:r>
    </w:p>
    <w:p w14:paraId="7DB0CD66" w14:textId="77777777" w:rsidR="003403D7" w:rsidRPr="00B15AED" w:rsidRDefault="003403D7" w:rsidP="003403D7">
      <w:pPr>
        <w:pStyle w:val="NormalWeb"/>
        <w:spacing w:before="0" w:beforeAutospacing="0" w:after="0" w:afterAutospacing="0" w:line="276" w:lineRule="auto"/>
        <w:rPr>
          <w:rFonts w:ascii="Avenir Next LT Pro" w:hAnsi="Avenir Next LT Pro" w:cs="Calibri"/>
          <w:b/>
          <w:color w:val="000000" w:themeColor="text1"/>
          <w:sz w:val="22"/>
          <w:szCs w:val="22"/>
          <w:lang w:val="en-US"/>
        </w:rPr>
      </w:pPr>
      <w:r w:rsidRPr="00B15AED">
        <w:rPr>
          <w:rFonts w:ascii="Avenir Next LT Pro" w:hAnsi="Avenir Next LT Pro" w:cs="Calibri"/>
          <w:b/>
          <w:color w:val="000000" w:themeColor="text1"/>
          <w:sz w:val="22"/>
          <w:szCs w:val="22"/>
          <w:lang w:val="en-US"/>
        </w:rPr>
        <w:t>{%</w:t>
      </w:r>
      <w:r>
        <w:rPr>
          <w:rFonts w:ascii="Avenir Next LT Pro" w:hAnsi="Avenir Next LT Pro" w:cs="Calibri"/>
          <w:b/>
          <w:color w:val="000000" w:themeColor="text1"/>
          <w:sz w:val="22"/>
          <w:szCs w:val="22"/>
          <w:lang w:val="en-US"/>
        </w:rPr>
        <w:t>p</w:t>
      </w:r>
      <w:r w:rsidRPr="00B15AED">
        <w:rPr>
          <w:rFonts w:ascii="Avenir Next LT Pro" w:hAnsi="Avenir Next LT Pro" w:cs="Calibri"/>
          <w:b/>
          <w:color w:val="000000" w:themeColor="text1"/>
          <w:sz w:val="22"/>
          <w:szCs w:val="22"/>
          <w:lang w:val="en-US"/>
        </w:rPr>
        <w:t xml:space="preserve"> if attachments.there_are_any == True %}</w:t>
      </w:r>
    </w:p>
    <w:p w14:paraId="02C4BD51"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r w:rsidRPr="0028191A">
        <w:rPr>
          <w:rFonts w:ascii="Avenir Next LT Pro" w:hAnsi="Avenir Next LT Pro" w:cs="Calibri"/>
          <w:b/>
          <w:color w:val="000000" w:themeColor="text1"/>
          <w:sz w:val="22"/>
          <w:szCs w:val="22"/>
        </w:rPr>
        <w:t>ANEXOS</w:t>
      </w:r>
    </w:p>
    <w:p w14:paraId="509F7842"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3403D7" w:rsidRPr="0028191A" w14:paraId="77A6B6B9" w14:textId="77777777" w:rsidTr="007757E1">
        <w:tc>
          <w:tcPr>
            <w:tcW w:w="4414" w:type="dxa"/>
          </w:tcPr>
          <w:p w14:paraId="10D55FC9"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lastRenderedPageBreak/>
              <w:t>A</w:t>
            </w:r>
            <w:r w:rsidRPr="0028191A">
              <w:rPr>
                <w:rFonts w:ascii="Avenir Next LT Pro" w:hAnsi="Avenir Next LT Pro"/>
              </w:rPr>
              <w:t>NEXO</w:t>
            </w:r>
          </w:p>
        </w:tc>
        <w:tc>
          <w:tcPr>
            <w:tcW w:w="4414" w:type="dxa"/>
          </w:tcPr>
          <w:p w14:paraId="64C86A6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NOMBRE</w:t>
            </w:r>
          </w:p>
        </w:tc>
      </w:tr>
      <w:tr w:rsidR="003403D7" w:rsidRPr="00D53DCD" w14:paraId="54BA87A7" w14:textId="77777777" w:rsidTr="007757E1">
        <w:tc>
          <w:tcPr>
            <w:tcW w:w="8828" w:type="dxa"/>
            <w:gridSpan w:val="2"/>
          </w:tcPr>
          <w:p w14:paraId="51BCD815" w14:textId="77777777" w:rsidR="003403D7" w:rsidRPr="002E6E8C" w:rsidRDefault="003403D7" w:rsidP="007757E1">
            <w:pPr>
              <w:jc w:val="center"/>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t>{%tr for attachment in attachments %}</w:t>
            </w:r>
          </w:p>
        </w:tc>
      </w:tr>
      <w:tr w:rsidR="003403D7" w:rsidRPr="0028191A" w14:paraId="0B72FCBF" w14:textId="77777777" w:rsidTr="007757E1">
        <w:tc>
          <w:tcPr>
            <w:tcW w:w="4414" w:type="dxa"/>
          </w:tcPr>
          <w:p w14:paraId="12F2EC5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Anexo {{ alpha(loop.index0)}}</w:t>
            </w:r>
          </w:p>
        </w:tc>
        <w:tc>
          <w:tcPr>
            <w:tcW w:w="4414" w:type="dxa"/>
          </w:tcPr>
          <w:p w14:paraId="0C614A7B"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 attachment.title }}</w:t>
            </w:r>
          </w:p>
        </w:tc>
      </w:tr>
      <w:tr w:rsidR="003403D7" w:rsidRPr="0028191A" w14:paraId="7F9122E3" w14:textId="77777777" w:rsidTr="007757E1">
        <w:tc>
          <w:tcPr>
            <w:tcW w:w="8828" w:type="dxa"/>
            <w:gridSpan w:val="2"/>
          </w:tcPr>
          <w:p w14:paraId="5556D75E"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{%tr endfor %}</w:t>
            </w:r>
          </w:p>
        </w:tc>
      </w:tr>
    </w:tbl>
    <w:p w14:paraId="7DF45453" w14:textId="77777777" w:rsidR="003403D7" w:rsidRPr="0028191A" w:rsidRDefault="003403D7" w:rsidP="003403D7">
      <w:pPr>
        <w:rPr>
          <w:rFonts w:ascii="Avenir Next LT Pro" w:hAnsi="Avenir Next LT Pro" w:cs="Calibri"/>
          <w:color w:val="000000" w:themeColor="text1"/>
        </w:rPr>
      </w:pPr>
      <w:r>
        <w:rPr>
          <w:rFonts w:ascii="Avenir Next LT Pro" w:hAnsi="Avenir Next LT Pro" w:cs="Calibri"/>
          <w:color w:val="000000" w:themeColor="text1"/>
        </w:rPr>
        <w:t>{%p endif %}</w:t>
      </w:r>
    </w:p>
    <w:p w14:paraId="2153E9B8" w14:textId="77777777" w:rsidR="003403D7" w:rsidRDefault="003403D7" w:rsidP="003403D7">
      <w:pPr>
        <w:spacing w:after="0" w:line="240" w:lineRule="auto"/>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t>NOTIFICACIONES</w:t>
      </w:r>
    </w:p>
    <w:p w14:paraId="67FFBAB8" w14:textId="77777777" w:rsidR="003403D7" w:rsidRPr="0028191A" w:rsidRDefault="003403D7" w:rsidP="00847039">
      <w:pPr>
        <w:spacing w:after="0" w:line="240" w:lineRule="auto"/>
        <w:rPr>
          <w:rFonts w:ascii="Avenir Next LT Pro" w:hAnsi="Avenir Next LT Pro" w:cs="Calibri"/>
          <w:b/>
          <w:bCs/>
          <w:color w:val="000000" w:themeColor="text1"/>
        </w:rPr>
      </w:pPr>
    </w:p>
    <w:p w14:paraId="58AB0679" w14:textId="77777777" w:rsidR="003403D7" w:rsidRDefault="003403D7" w:rsidP="003403D7">
      <w:pPr>
        <w:spacing w:after="0" w:line="240" w:lineRule="auto"/>
        <w:jc w:val="both"/>
        <w:rPr>
          <w:rFonts w:ascii="Avenir Next LT Pro" w:hAnsi="Avenir Next LT Pro" w:cs="Calibri"/>
          <w:color w:val="000000" w:themeColor="text1"/>
        </w:rPr>
      </w:pPr>
      <w:r w:rsidRPr="0028191A">
        <w:rPr>
          <w:rFonts w:ascii="Avenir Next LT Pro" w:hAnsi="Avenir Next LT Pro" w:cs="Calibri"/>
          <w:color w:val="000000" w:themeColor="text1"/>
        </w:rPr>
        <w:t>La respuesta la recibiré en la siguiente dirección física</w:t>
      </w:r>
      <w:r>
        <w:rPr>
          <w:rFonts w:ascii="Avenir Next LT Pro" w:hAnsi="Avenir Next LT Pro" w:cs="Calibri"/>
          <w:color w:val="000000" w:themeColor="text1"/>
        </w:rPr>
        <w:t xml:space="preserve"> o al correo electrónico</w:t>
      </w:r>
      <w:r w:rsidRPr="0028191A">
        <w:rPr>
          <w:rFonts w:ascii="Avenir Next LT Pro" w:hAnsi="Avenir Next LT Pro" w:cs="Calibri"/>
          <w:color w:val="000000" w:themeColor="text1"/>
        </w:rPr>
        <w:t>:</w:t>
      </w:r>
    </w:p>
    <w:p w14:paraId="342443CC" w14:textId="77777777" w:rsidR="003403D7" w:rsidRPr="0028191A" w:rsidRDefault="003403D7" w:rsidP="003403D7">
      <w:pPr>
        <w:spacing w:after="0" w:line="240" w:lineRule="auto"/>
        <w:jc w:val="both"/>
        <w:rPr>
          <w:rFonts w:ascii="Avenir Next LT Pro" w:hAnsi="Avenir Next LT Pro" w:cs="Calibri"/>
          <w:iCs/>
          <w:color w:val="000000" w:themeColor="text1"/>
        </w:rPr>
      </w:pPr>
    </w:p>
    <w:p w14:paraId="6E49BBE7"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hAnsi="Avenir Next LT Pro" w:cs="Calibri"/>
          <w:b/>
          <w:bCs/>
          <w:iCs/>
          <w:color w:val="000000" w:themeColor="text1"/>
        </w:rPr>
        <w:t>Dirección:</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 fix_punctuation(</w:t>
      </w:r>
      <w:r w:rsidRPr="002F630C">
        <w:rPr>
          <w:rFonts w:ascii="Avenir Next LT Pro" w:hAnsi="Avenir Next LT Pro" w:cs="Calibri"/>
          <w:iCs/>
          <w:color w:val="000000" w:themeColor="text1"/>
        </w:rPr>
        <w:t>complaining_notification_adress</w:t>
      </w:r>
      <w:r>
        <w:rPr>
          <w:rFonts w:ascii="Avenir Next LT Pro" w:hAnsi="Avenir Next LT Pro" w:cs="Calibri"/>
          <w:iCs/>
          <w:color w:val="000000" w:themeColor="text1"/>
        </w:rPr>
        <w:t>)</w:t>
      </w:r>
      <w:r w:rsidRPr="002F630C">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de la ciudad de </w:t>
      </w:r>
      <w:r w:rsidRPr="0028191A">
        <w:rPr>
          <w:rFonts w:ascii="Avenir Next LT Pro" w:hAnsi="Avenir Next LT Pro" w:cs="Calibri"/>
          <w:iCs/>
          <w:color w:val="000000" w:themeColor="text1"/>
        </w:rPr>
        <w:t>{{ city</w:t>
      </w:r>
      <w:r>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w:t>
      </w:r>
      <w:r>
        <w:rPr>
          <w:rFonts w:ascii="Avenir Next LT Pro" w:hAnsi="Avenir Next LT Pro" w:cs="Calibri"/>
          <w:iCs/>
          <w:color w:val="000000" w:themeColor="text1"/>
        </w:rPr>
        <w:t>.</w:t>
      </w:r>
    </w:p>
    <w:p w14:paraId="171E22F3" w14:textId="4C012B9D" w:rsidR="003403D7" w:rsidRDefault="003403D7" w:rsidP="00082DD4">
      <w:pPr>
        <w:spacing w:after="0" w:line="240" w:lineRule="auto"/>
        <w:jc w:val="both"/>
        <w:rPr>
          <w:rFonts w:ascii="Avenir Next LT Pro" w:hAnsi="Avenir Next LT Pro" w:cs="Calibri"/>
          <w:color w:val="000000" w:themeColor="text1"/>
        </w:rPr>
      </w:pPr>
      <w:r w:rsidRPr="004D56E9">
        <w:rPr>
          <w:rFonts w:ascii="Avenir Next LT Pro" w:hAnsi="Avenir Next LT Pro" w:cs="Calibri"/>
          <w:b/>
          <w:bCs/>
          <w:color w:val="000000" w:themeColor="text1"/>
        </w:rPr>
        <w:t>Correo electrónico</w:t>
      </w:r>
      <w:r w:rsidRPr="004D56E9">
        <w:rPr>
          <w:rFonts w:ascii="Avenir Next LT Pro" w:hAnsi="Avenir Next LT Pro" w:cs="Calibri"/>
          <w:color w:val="000000" w:themeColor="text1"/>
        </w:rPr>
        <w:t xml:space="preserve">: </w:t>
      </w:r>
      <w:r w:rsidRPr="004D56E9">
        <w:rPr>
          <w:rFonts w:ascii="Avenir Next LT Pro" w:hAnsi="Avenir Next LT Pro" w:cs="Calibri"/>
          <w:iCs/>
          <w:color w:val="000000" w:themeColor="text1"/>
        </w:rPr>
        <w:t>{{</w:t>
      </w:r>
      <w:r w:rsidRPr="004D56E9">
        <w:t xml:space="preserve"> </w:t>
      </w:r>
      <w:r w:rsidRPr="004D56E9">
        <w:rPr>
          <w:rFonts w:ascii="Avenir Next LT Pro" w:hAnsi="Avenir Next LT Pro" w:cs="Calibri"/>
          <w:iCs/>
          <w:color w:val="000000" w:themeColor="text1"/>
        </w:rPr>
        <w:t>complaining_notification_email</w:t>
      </w:r>
      <w:r w:rsidR="00AD20F5" w:rsidRPr="004D56E9">
        <w:rPr>
          <w:rFonts w:ascii="Avenir Next LT Pro" w:hAnsi="Avenir Next LT Pro" w:cs="Calibri"/>
          <w:iCs/>
          <w:color w:val="000000" w:themeColor="text1"/>
        </w:rPr>
        <w:t>|lower</w:t>
      </w:r>
      <w:r w:rsidRPr="004D56E9">
        <w:rPr>
          <w:rFonts w:ascii="Avenir Next LT Pro" w:hAnsi="Avenir Next LT Pro" w:cs="Calibri"/>
          <w:iCs/>
          <w:color w:val="000000" w:themeColor="text1"/>
        </w:rPr>
        <w:t xml:space="preserve"> }}</w:t>
      </w:r>
    </w:p>
    <w:p w14:paraId="63F306B1" w14:textId="77777777" w:rsidR="00082DD4" w:rsidRPr="004D56E9" w:rsidRDefault="00082DD4" w:rsidP="00082DD4">
      <w:pPr>
        <w:spacing w:after="0" w:line="240" w:lineRule="auto"/>
        <w:jc w:val="both"/>
        <w:rPr>
          <w:rFonts w:ascii="Avenir Next LT Pro" w:hAnsi="Avenir Next LT Pro" w:cs="Calibri"/>
          <w:color w:val="000000" w:themeColor="text1"/>
        </w:rPr>
      </w:pPr>
    </w:p>
    <w:p w14:paraId="7A2F6F48" w14:textId="77777777" w:rsidR="003403D7" w:rsidRPr="00AD20F5" w:rsidRDefault="003403D7" w:rsidP="003403D7">
      <w:pPr>
        <w:rPr>
          <w:rFonts w:ascii="Avenir Next LT Pro" w:hAnsi="Avenir Next LT Pro" w:cs="Calibri"/>
          <w:color w:val="000000" w:themeColor="text1"/>
        </w:rPr>
      </w:pPr>
      <w:r w:rsidRPr="00AD20F5">
        <w:rPr>
          <w:rFonts w:ascii="Avenir Next LT Pro" w:hAnsi="Avenir Next LT Pro" w:cs="Calibri"/>
          <w:color w:val="000000" w:themeColor="text1"/>
        </w:rPr>
        <w:t>Atentamente,</w:t>
      </w:r>
    </w:p>
    <w:p w14:paraId="08CD2767" w14:textId="6487DBFC" w:rsidR="003403D7" w:rsidRPr="00D53DCD" w:rsidRDefault="00D53DCD" w:rsidP="00207D21">
      <w:pPr>
        <w:spacing w:after="0"/>
        <w:rPr>
          <w:rFonts w:ascii="Avenir Next LT Pro" w:hAnsi="Avenir Next LT Pro" w:cs="Calibri"/>
          <w:color w:val="7030A0"/>
          <w:lang w:val="en-US"/>
        </w:rPr>
      </w:pPr>
      <w:r w:rsidRPr="00D53DCD">
        <w:rPr>
          <w:rFonts w:ascii="Avenir Next LT Pro" w:hAnsi="Avenir Next LT Pro" w:cs="Calibri"/>
          <w:color w:val="7030A0"/>
          <w:lang w:val="en-US"/>
        </w:rPr>
        <w:t>{%p if do_sign == True %}</w:t>
      </w:r>
    </w:p>
    <w:p w14:paraId="113CAD76" w14:textId="09FC7751" w:rsidR="00D53DCD" w:rsidRPr="00D53DCD" w:rsidRDefault="00D53DCD" w:rsidP="00207D21">
      <w:pPr>
        <w:spacing w:after="0"/>
        <w:rPr>
          <w:rFonts w:ascii="Avenir Next LT Pro" w:hAnsi="Avenir Next LT Pro" w:cs="Calibri"/>
          <w:color w:val="00B050"/>
          <w:lang w:val="en-US"/>
        </w:rPr>
      </w:pPr>
      <w:r w:rsidRPr="00D53DCD">
        <w:rPr>
          <w:rFonts w:ascii="Avenir Next LT Pro" w:hAnsi="Avenir Next LT Pro" w:cs="Calibri"/>
          <w:color w:val="00B050"/>
          <w:lang w:val="en-US"/>
        </w:rPr>
        <w:t>{%p if sign_method == ‘sign_upload’ %}</w:t>
      </w:r>
    </w:p>
    <w:p w14:paraId="357A0683" w14:textId="0565FF41" w:rsidR="00D53DCD" w:rsidRPr="00D53DCD" w:rsidRDefault="00D53DCD" w:rsidP="00207D21">
      <w:pPr>
        <w:spacing w:after="0"/>
        <w:rPr>
          <w:rFonts w:ascii="Avenir Next LT Pro" w:hAnsi="Avenir Next LT Pro" w:cs="Calibri"/>
          <w:color w:val="000000" w:themeColor="text1"/>
          <w:lang w:val="en-US"/>
        </w:rPr>
      </w:pPr>
      <w:r>
        <w:rPr>
          <w:rFonts w:ascii="Avenir Next LT Pro" w:hAnsi="Avenir Next LT Pro" w:cs="Calibri"/>
          <w:color w:val="000000" w:themeColor="text1"/>
          <w:lang w:val="en-US"/>
        </w:rPr>
        <w:t xml:space="preserve">{{ </w:t>
      </w:r>
      <w:r w:rsidR="00145058" w:rsidRPr="00145058">
        <w:rPr>
          <w:rFonts w:ascii="Avenir Next LT Pro" w:hAnsi="Avenir Next LT Pro" w:cs="Calibri"/>
          <w:color w:val="000000" w:themeColor="text1"/>
          <w:lang w:val="en-US"/>
        </w:rPr>
        <w:t>sign_file</w:t>
      </w:r>
      <w:r>
        <w:rPr>
          <w:rFonts w:ascii="Avenir Next LT Pro" w:hAnsi="Avenir Next LT Pro" w:cs="Calibri"/>
          <w:color w:val="000000" w:themeColor="text1"/>
          <w:lang w:val="en-US"/>
        </w:rPr>
        <w:t>.</w:t>
      </w:r>
      <w:r w:rsidRPr="003749B7">
        <w:rPr>
          <w:rFonts w:ascii="Avenir Next LT Pro" w:hAnsi="Avenir Next LT Pro" w:cs="Calibri"/>
          <w:color w:val="000000" w:themeColor="text1"/>
          <w:lang w:val="en-US"/>
        </w:rPr>
        <w:t>show(width=</w:t>
      </w:r>
      <w:r w:rsidRPr="003749B7">
        <w:rPr>
          <w:rFonts w:ascii="Avenir Next LT Pro" w:hAnsi="Avenir Next LT Pro" w:cs="Calibri"/>
          <w:color w:val="000000" w:themeColor="text1"/>
          <w:u w:val="single"/>
          <w:lang w:val="en-US"/>
        </w:rPr>
        <w:t>'5cm'</w:t>
      </w:r>
      <w:r w:rsidRPr="003749B7">
        <w:rPr>
          <w:rFonts w:ascii="Avenir Next LT Pro" w:hAnsi="Avenir Next LT Pro" w:cs="Calibri"/>
          <w:color w:val="000000" w:themeColor="text1"/>
          <w:lang w:val="en-US"/>
        </w:rPr>
        <w:t>)</w:t>
      </w:r>
      <w:r>
        <w:rPr>
          <w:rFonts w:ascii="Avenir Next LT Pro" w:hAnsi="Avenir Next LT Pro" w:cs="Calibri"/>
          <w:color w:val="000000" w:themeColor="text1"/>
          <w:lang w:val="en-US"/>
        </w:rPr>
        <w:t>}}</w:t>
      </w:r>
    </w:p>
    <w:p w14:paraId="703841F6" w14:textId="77777777" w:rsidR="00207D21" w:rsidRDefault="00D53DCD" w:rsidP="00207D21">
      <w:pPr>
        <w:spacing w:after="0"/>
        <w:rPr>
          <w:rFonts w:ascii="Avenir Next LT Pro" w:hAnsi="Avenir Next LT Pro" w:cs="Calibri"/>
          <w:color w:val="00B050"/>
        </w:rPr>
      </w:pPr>
      <w:r w:rsidRPr="00D53DCD">
        <w:rPr>
          <w:rFonts w:ascii="Avenir Next LT Pro" w:hAnsi="Avenir Next LT Pro" w:cs="Calibri"/>
          <w:color w:val="00B050"/>
        </w:rPr>
        <w:t>{%p else %}</w:t>
      </w:r>
    </w:p>
    <w:p w14:paraId="7D18FD65" w14:textId="5001CD92" w:rsidR="00D53DCD" w:rsidRPr="00207D21" w:rsidRDefault="00D53DCD" w:rsidP="00207D21">
      <w:pPr>
        <w:spacing w:after="0"/>
        <w:rPr>
          <w:rFonts w:ascii="Avenir Next LT Pro" w:hAnsi="Avenir Next LT Pro" w:cs="Calibri"/>
          <w:color w:val="00B050"/>
        </w:rPr>
      </w:pPr>
      <w:r>
        <w:rPr>
          <w:rFonts w:ascii="Avenir Next LT Pro" w:hAnsi="Avenir Next LT Pro" w:cs="Calibri"/>
          <w:color w:val="000000" w:themeColor="text1"/>
        </w:rPr>
        <w:t xml:space="preserve">{{ </w:t>
      </w:r>
      <w:r w:rsidRPr="00D53DCD">
        <w:rPr>
          <w:rFonts w:ascii="Avenir Next LT Pro" w:hAnsi="Avenir Next LT Pro" w:cs="Calibri"/>
          <w:color w:val="000000" w:themeColor="text1"/>
        </w:rPr>
        <w:t>sign_file</w:t>
      </w:r>
      <w:r>
        <w:rPr>
          <w:rFonts w:ascii="Avenir Next LT Pro" w:hAnsi="Avenir Next LT Pro" w:cs="Calibri"/>
          <w:color w:val="000000" w:themeColor="text1"/>
        </w:rPr>
        <w:t xml:space="preserve"> }}</w:t>
      </w:r>
    </w:p>
    <w:p w14:paraId="2E12B8C6" w14:textId="3ECCE37D" w:rsidR="00D53DCD" w:rsidRPr="00D53DCD" w:rsidRDefault="00D53DCD" w:rsidP="00207D21">
      <w:pPr>
        <w:spacing w:after="0"/>
        <w:rPr>
          <w:rFonts w:ascii="Avenir Next LT Pro" w:hAnsi="Avenir Next LT Pro" w:cs="Calibri"/>
          <w:color w:val="00B050"/>
        </w:rPr>
      </w:pPr>
      <w:r w:rsidRPr="00D53DCD">
        <w:rPr>
          <w:rFonts w:ascii="Avenir Next LT Pro" w:hAnsi="Avenir Next LT Pro" w:cs="Calibri"/>
          <w:color w:val="00B050"/>
        </w:rPr>
        <w:t>{%p endif %}</w:t>
      </w:r>
    </w:p>
    <w:p w14:paraId="6E23345A" w14:textId="764E86A6" w:rsidR="00D53DCD" w:rsidRPr="00D53DCD" w:rsidRDefault="00D53DCD" w:rsidP="00207D21">
      <w:pPr>
        <w:spacing w:after="0"/>
        <w:rPr>
          <w:rFonts w:ascii="Avenir Next LT Pro" w:hAnsi="Avenir Next LT Pro" w:cs="Calibri"/>
          <w:color w:val="7030A0"/>
        </w:rPr>
      </w:pPr>
      <w:r w:rsidRPr="00D53DCD">
        <w:rPr>
          <w:rFonts w:ascii="Avenir Next LT Pro" w:hAnsi="Avenir Next LT Pro" w:cs="Calibri"/>
          <w:color w:val="7030A0"/>
        </w:rPr>
        <w:t>{%p endif %}</w:t>
      </w:r>
    </w:p>
    <w:p w14:paraId="416D52D7" w14:textId="77777777" w:rsidR="003403D7" w:rsidRPr="00AD20F5" w:rsidRDefault="003403D7" w:rsidP="003403D7">
      <w:pPr>
        <w:spacing w:after="0" w:line="240" w:lineRule="auto"/>
        <w:rPr>
          <w:rFonts w:ascii="Avenir Next LT Pro" w:hAnsi="Avenir Next LT Pro" w:cs="Calibri"/>
          <w:iCs/>
          <w:color w:val="000000" w:themeColor="text1"/>
        </w:rPr>
      </w:pPr>
      <w:r w:rsidRPr="00AD20F5">
        <w:rPr>
          <w:rFonts w:ascii="Avenir Next LT Pro" w:hAnsi="Avenir Next LT Pro" w:cs="Calibri"/>
          <w:iCs/>
          <w:color w:val="000000" w:themeColor="text1"/>
        </w:rPr>
        <w:t>__________________________</w:t>
      </w:r>
    </w:p>
    <w:p w14:paraId="1A0FD355" w14:textId="77777777" w:rsidR="003403D7" w:rsidRPr="00AD20F5" w:rsidRDefault="003403D7" w:rsidP="003403D7">
      <w:pPr>
        <w:spacing w:after="0" w:line="240" w:lineRule="auto"/>
        <w:rPr>
          <w:rFonts w:ascii="Avenir Next LT Pro" w:hAnsi="Avenir Next LT Pro" w:cs="Calibri"/>
          <w:iCs/>
          <w:color w:val="000000" w:themeColor="text1"/>
        </w:rPr>
      </w:pPr>
      <w:r w:rsidRPr="00AD20F5">
        <w:rPr>
          <w:rFonts w:ascii="Avenir Next LT Pro" w:hAnsi="Avenir Next LT Pro" w:cs="Calibri"/>
          <w:iCs/>
          <w:color w:val="FF0000"/>
        </w:rPr>
        <w:t>{%p if client_type == ‘Persona Natural’ %}</w:t>
      </w:r>
    </w:p>
    <w:p w14:paraId="6C2B1375" w14:textId="77777777" w:rsidR="003403D7" w:rsidRPr="002E6E8C" w:rsidRDefault="003403D7" w:rsidP="003403D7">
      <w:pPr>
        <w:spacing w:after="0" w:line="240" w:lineRule="auto"/>
        <w:rPr>
          <w:rFonts w:ascii="Avenir Next LT Pro" w:hAnsi="Avenir Next LT Pro" w:cs="Calibri"/>
          <w:iCs/>
          <w:color w:val="000000" w:themeColor="text1"/>
          <w:lang w:val="en-US"/>
        </w:rPr>
      </w:pPr>
      <w:r w:rsidRPr="002E6E8C">
        <w:rPr>
          <w:rFonts w:ascii="Avenir Next LT Pro" w:hAnsi="Avenir Next LT Pro" w:cs="Calibri"/>
          <w:b/>
          <w:bCs/>
          <w:iCs/>
          <w:color w:val="000000" w:themeColor="text1"/>
          <w:lang w:val="en-US"/>
        </w:rPr>
        <w:t>{{ complaining.name|upper }}</w:t>
      </w:r>
    </w:p>
    <w:p w14:paraId="4B965674" w14:textId="77777777" w:rsidR="003403D7" w:rsidRPr="003403D7" w:rsidRDefault="003403D7" w:rsidP="003403D7">
      <w:pPr>
        <w:spacing w:after="0" w:line="240" w:lineRule="auto"/>
        <w:rPr>
          <w:rFonts w:ascii="Avenir Next LT Pro" w:hAnsi="Avenir Next LT Pro" w:cs="Calibri"/>
          <w:iCs/>
          <w:color w:val="000000" w:themeColor="text1"/>
          <w:lang w:val="en-US"/>
        </w:rPr>
      </w:pPr>
      <w:r w:rsidRPr="002E6E8C">
        <w:rPr>
          <w:rFonts w:ascii="Avenir Next LT Pro" w:hAnsi="Avenir Next LT Pro" w:cs="Calibri"/>
          <w:iCs/>
          <w:color w:val="000000" w:themeColor="text1"/>
          <w:lang w:val="en-US"/>
        </w:rPr>
        <w:t xml:space="preserve">{{ complaining_type_id }} No. </w:t>
      </w:r>
      <w:r w:rsidRPr="003403D7">
        <w:rPr>
          <w:rFonts w:ascii="Avenir Next LT Pro" w:hAnsi="Avenir Next LT Pro" w:cs="Calibri"/>
          <w:iCs/>
          <w:color w:val="000000" w:themeColor="text1"/>
          <w:lang w:val="en-US"/>
        </w:rPr>
        <w:t>{{ complaining_id_number|upper }}</w:t>
      </w:r>
    </w:p>
    <w:p w14:paraId="617F9028"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FF0000"/>
          <w:lang w:val="en-US"/>
        </w:rPr>
        <w:t>{%p else %}</w:t>
      </w:r>
    </w:p>
    <w:p w14:paraId="75CA3D92" w14:textId="77777777" w:rsidR="003403D7" w:rsidRPr="002E6E8C" w:rsidRDefault="003403D7" w:rsidP="003403D7">
      <w:pPr>
        <w:spacing w:after="0" w:line="240" w:lineRule="auto"/>
        <w:jc w:val="both"/>
        <w:rPr>
          <w:rStyle w:val="Textoennegrita"/>
          <w:rFonts w:ascii="Avenir Next LT Pro" w:hAnsi="Avenir Next LT Pro" w:cs="Calibri"/>
          <w:b w:val="0"/>
          <w:bCs w:val="0"/>
          <w:color w:val="000000" w:themeColor="text1"/>
          <w:lang w:val="en-US"/>
        </w:rPr>
      </w:pPr>
      <w:r w:rsidRPr="002E6E8C">
        <w:rPr>
          <w:rStyle w:val="Textoennegrita"/>
          <w:rFonts w:ascii="Avenir Next LT Pro" w:hAnsi="Avenir Next LT Pro" w:cs="Calibri"/>
          <w:b w:val="0"/>
          <w:bCs w:val="0"/>
          <w:color w:val="000000" w:themeColor="text1"/>
          <w:lang w:val="en-US"/>
        </w:rPr>
        <w:t>{{ legal.name|title }}</w:t>
      </w:r>
    </w:p>
    <w:p w14:paraId="6AA91195" w14:textId="77777777" w:rsidR="003403D7" w:rsidRPr="002E6E8C" w:rsidRDefault="003403D7" w:rsidP="003403D7">
      <w:pPr>
        <w:spacing w:after="0" w:line="240" w:lineRule="auto"/>
        <w:jc w:val="both"/>
        <w:rPr>
          <w:rStyle w:val="Textoennegrita"/>
          <w:rFonts w:ascii="Avenir Next LT Pro" w:hAnsi="Avenir Next LT Pro" w:cs="Calibri"/>
          <w:b w:val="0"/>
          <w:color w:val="000000" w:themeColor="text1"/>
          <w:lang w:val="en-US"/>
        </w:rPr>
      </w:pPr>
      <w:r w:rsidRPr="002E6E8C">
        <w:rPr>
          <w:rStyle w:val="Textoennegrita"/>
          <w:rFonts w:ascii="Avenir Next LT Pro" w:hAnsi="Avenir Next LT Pro" w:cs="Calibri"/>
          <w:color w:val="000000" w:themeColor="text1"/>
          <w:lang w:val="en-US"/>
        </w:rPr>
        <w:t>Representante Legal</w:t>
      </w:r>
    </w:p>
    <w:p w14:paraId="73147198" w14:textId="1D1CFB20" w:rsidR="003403D7" w:rsidRDefault="003403D7" w:rsidP="003403D7">
      <w:pPr>
        <w:spacing w:after="0" w:line="240" w:lineRule="auto"/>
        <w:jc w:val="both"/>
        <w:rPr>
          <w:rFonts w:ascii="Avenir Next LT Pro" w:hAnsi="Avenir Next LT Pro" w:cs="Calibri"/>
          <w:b/>
          <w:bCs/>
          <w:iCs/>
          <w:color w:val="000000" w:themeColor="text1"/>
          <w:lang w:val="en-US"/>
        </w:rPr>
      </w:pPr>
      <w:r w:rsidRPr="002E6E8C">
        <w:rPr>
          <w:rFonts w:ascii="Avenir Next LT Pro" w:hAnsi="Avenir Next LT Pro" w:cs="Calibri"/>
          <w:b/>
          <w:bCs/>
          <w:iCs/>
          <w:color w:val="000000" w:themeColor="text1"/>
          <w:lang w:val="en-US"/>
        </w:rPr>
        <w:t>{{ complaining_company|upper }}</w:t>
      </w:r>
    </w:p>
    <w:p w14:paraId="7256C6B5" w14:textId="19AEE6E1" w:rsidR="003403D7" w:rsidRDefault="003403D7" w:rsidP="003403D7">
      <w:pPr>
        <w:spacing w:after="0" w:line="240" w:lineRule="auto"/>
        <w:jc w:val="both"/>
        <w:rPr>
          <w:rFonts w:ascii="Avenir Next LT Pro" w:hAnsi="Avenir Next LT Pro" w:cs="Calibri"/>
          <w:iCs/>
          <w:color w:val="FF0000"/>
          <w:lang w:val="en-US"/>
        </w:rPr>
      </w:pPr>
      <w:r w:rsidRPr="002E6E8C">
        <w:rPr>
          <w:rFonts w:ascii="Avenir Next LT Pro" w:hAnsi="Avenir Next LT Pro" w:cs="Calibri"/>
          <w:iCs/>
          <w:color w:val="FF0000"/>
          <w:lang w:val="en-US"/>
        </w:rPr>
        <w:t>{%p endif %}</w:t>
      </w:r>
      <w:bookmarkEnd w:id="0"/>
      <w:bookmarkEnd w:id="1"/>
    </w:p>
    <w:p w14:paraId="71D3C676" w14:textId="77777777" w:rsidR="0087341C" w:rsidRDefault="0087341C" w:rsidP="003403D7">
      <w:pPr>
        <w:spacing w:after="0" w:line="240" w:lineRule="auto"/>
        <w:jc w:val="both"/>
        <w:rPr>
          <w:rFonts w:ascii="Avenir Next LT Pro" w:hAnsi="Avenir Next LT Pro" w:cs="Calibri"/>
          <w:iCs/>
          <w:color w:val="FF0000"/>
          <w:lang w:val="en-US"/>
        </w:rPr>
      </w:pPr>
    </w:p>
    <w:p w14:paraId="71D6B081" w14:textId="77777777" w:rsidR="00207D21" w:rsidRPr="002E6E8C" w:rsidRDefault="00207D21" w:rsidP="003403D7">
      <w:pPr>
        <w:spacing w:after="0" w:line="240" w:lineRule="auto"/>
        <w:jc w:val="both"/>
        <w:rPr>
          <w:rFonts w:ascii="Avenir Next LT Pro" w:hAnsi="Avenir Next LT Pro" w:cs="Calibri"/>
          <w:iCs/>
          <w:color w:val="000000" w:themeColor="text1"/>
          <w:lang w:val="en-US"/>
        </w:rPr>
      </w:pPr>
    </w:p>
    <w:p w14:paraId="7B135FC0" w14:textId="7A924553" w:rsidR="003403D7" w:rsidRDefault="003403D7" w:rsidP="004709B5">
      <w:pPr>
        <w:spacing w:after="0" w:line="240" w:lineRule="auto"/>
        <w:jc w:val="center"/>
        <w:rPr>
          <w:rFonts w:ascii="Avenir Next LT Pro" w:hAnsi="Avenir Next LT Pro" w:cs="Calibri"/>
          <w:color w:val="000000" w:themeColor="text1"/>
          <w:lang w:val="en-US"/>
        </w:rPr>
      </w:pPr>
      <w:r>
        <w:rPr>
          <w:rFonts w:ascii="Avenir Next LT Pro" w:hAnsi="Avenir Next LT Pro" w:cs="Calibri"/>
          <w:color w:val="000000" w:themeColor="text1"/>
          <w:lang w:val="en-US"/>
        </w:rPr>
        <w:t>{%p if</w:t>
      </w:r>
      <w:r w:rsidRPr="00B15AED">
        <w:rPr>
          <w:rFonts w:ascii="Avenir Next LT Pro" w:hAnsi="Avenir Next LT Pro" w:cs="Calibri"/>
          <w:b/>
          <w:color w:val="000000" w:themeColor="text1"/>
          <w:lang w:val="en-US"/>
        </w:rPr>
        <w:t xml:space="preserve"> </w:t>
      </w:r>
      <w:r w:rsidRPr="00B15AED">
        <w:rPr>
          <w:rFonts w:ascii="Avenir Next LT Pro" w:hAnsi="Avenir Next LT Pro" w:cs="Calibri"/>
          <w:bCs/>
          <w:color w:val="000000" w:themeColor="text1"/>
          <w:lang w:val="en-US"/>
        </w:rPr>
        <w:t>attachments.there_are_any</w:t>
      </w:r>
      <w:r>
        <w:rPr>
          <w:rFonts w:ascii="Avenir Next LT Pro" w:hAnsi="Avenir Next LT Pro" w:cs="Calibri"/>
          <w:bCs/>
          <w:color w:val="000000" w:themeColor="text1"/>
          <w:lang w:val="en-US"/>
        </w:rPr>
        <w:t xml:space="preserve"> == True %</w:t>
      </w:r>
      <w:r>
        <w:rPr>
          <w:rFonts w:ascii="Avenir Next LT Pro" w:hAnsi="Avenir Next LT Pro" w:cs="Calibri"/>
          <w:color w:val="000000" w:themeColor="text1"/>
          <w:lang w:val="en-US"/>
        </w:rPr>
        <w:t>}</w:t>
      </w:r>
    </w:p>
    <w:p w14:paraId="314D4C7A" w14:textId="77777777" w:rsidR="003403D7" w:rsidRPr="0015536D" w:rsidRDefault="003403D7" w:rsidP="003403D7">
      <w:pPr>
        <w:spacing w:after="0" w:line="240" w:lineRule="auto"/>
        <w:jc w:val="center"/>
        <w:rPr>
          <w:rFonts w:ascii="Avenir Next LT Pro" w:hAnsi="Avenir Next LT Pro" w:cs="Calibri"/>
          <w:color w:val="000000" w:themeColor="text1"/>
          <w:lang w:val="en-US"/>
        </w:rPr>
      </w:pPr>
      <w:r w:rsidRPr="0015536D">
        <w:rPr>
          <w:rFonts w:ascii="Avenir Next LT Pro" w:hAnsi="Avenir Next LT Pro" w:cs="Calibri"/>
          <w:color w:val="000000" w:themeColor="text1"/>
          <w:lang w:val="en-US"/>
        </w:rPr>
        <w:t>{%p for attachment in attachments %}</w:t>
      </w:r>
    </w:p>
    <w:p w14:paraId="7D7BA461" w14:textId="77777777" w:rsidR="003403D7" w:rsidRPr="003749B7" w:rsidRDefault="003403D7" w:rsidP="003403D7">
      <w:pPr>
        <w:spacing w:after="0" w:line="240" w:lineRule="auto"/>
        <w:jc w:val="center"/>
        <w:rPr>
          <w:rFonts w:ascii="Avenir Next LT Pro" w:hAnsi="Avenir Next LT Pro" w:cs="Calibri"/>
          <w:color w:val="000000" w:themeColor="text1"/>
          <w:lang w:val="en-US"/>
        </w:rPr>
      </w:pPr>
      <w:r w:rsidRPr="002E6E8C">
        <w:rPr>
          <w:rFonts w:ascii="Avenir Next LT Pro" w:hAnsi="Avenir Next LT Pro" w:cs="Calibri"/>
          <w:b/>
          <w:bCs/>
          <w:color w:val="000000" w:themeColor="text1"/>
          <w:sz w:val="18"/>
          <w:szCs w:val="18"/>
          <w:lang w:val="en-US"/>
        </w:rPr>
        <w:t>ANEXO</w:t>
      </w:r>
      <w:r w:rsidRPr="003749B7">
        <w:rPr>
          <w:rFonts w:ascii="Avenir Next LT Pro" w:hAnsi="Avenir Next LT Pro" w:cs="Calibri"/>
          <w:color w:val="000000" w:themeColor="text1"/>
          <w:lang w:val="en-US"/>
        </w:rPr>
        <w:t>: {{ attachment.title }} {{attachment.file.show(width=</w:t>
      </w:r>
      <w:r w:rsidRPr="003749B7">
        <w:rPr>
          <w:rFonts w:ascii="Avenir Next LT Pro" w:hAnsi="Avenir Next LT Pro" w:cs="Calibri"/>
          <w:color w:val="000000" w:themeColor="text1"/>
          <w:u w:val="single"/>
          <w:lang w:val="en-US"/>
        </w:rPr>
        <w:t>'15cm'</w:t>
      </w:r>
      <w:r w:rsidRPr="003749B7">
        <w:rPr>
          <w:rFonts w:ascii="Avenir Next LT Pro" w:hAnsi="Avenir Next LT Pro" w:cs="Calibri"/>
          <w:color w:val="000000" w:themeColor="text1"/>
          <w:lang w:val="en-US"/>
        </w:rPr>
        <w:t>)}}</w:t>
      </w:r>
    </w:p>
    <w:p w14:paraId="0B5E290F" w14:textId="77777777" w:rsidR="003403D7" w:rsidRDefault="003403D7" w:rsidP="003403D7">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endfor %}</w:t>
      </w:r>
    </w:p>
    <w:p w14:paraId="54B49C4F" w14:textId="15577783" w:rsidR="00B005D7" w:rsidRPr="00B531F5" w:rsidRDefault="003403D7" w:rsidP="00B531F5">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w:t>
      </w:r>
      <w:r>
        <w:rPr>
          <w:rFonts w:ascii="Avenir Next LT Pro" w:hAnsi="Avenir Next LT Pro" w:cs="Calibri"/>
          <w:color w:val="000000" w:themeColor="text1"/>
        </w:rPr>
        <w:t>if</w:t>
      </w:r>
      <w:r w:rsidRPr="0028191A">
        <w:rPr>
          <w:rFonts w:ascii="Avenir Next LT Pro" w:hAnsi="Avenir Next LT Pro" w:cs="Calibri"/>
          <w:color w:val="000000" w:themeColor="text1"/>
        </w:rPr>
        <w:t xml:space="preserve"> %}</w:t>
      </w:r>
    </w:p>
    <w:sectPr w:rsidR="00B005D7" w:rsidRPr="00B531F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F1AE" w14:textId="77777777" w:rsidR="00545C80" w:rsidRDefault="00545C80" w:rsidP="00827272">
      <w:pPr>
        <w:spacing w:after="0" w:line="240" w:lineRule="auto"/>
      </w:pPr>
      <w:r>
        <w:separator/>
      </w:r>
    </w:p>
  </w:endnote>
  <w:endnote w:type="continuationSeparator" w:id="0">
    <w:p w14:paraId="3FDCD2FA" w14:textId="77777777" w:rsidR="00545C80" w:rsidRDefault="00545C80"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8B5B" w14:textId="77777777" w:rsidR="000474B6" w:rsidRPr="000474B6" w:rsidRDefault="000474B6">
    <w:pPr>
      <w:pStyle w:val="Piedepgina"/>
      <w:jc w:val="cente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p w14:paraId="2693459F" w14:textId="4E9DA8FE" w:rsidR="00472958" w:rsidRDefault="004729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DF7E" w14:textId="77777777" w:rsidR="00545C80" w:rsidRDefault="00545C80" w:rsidP="00827272">
      <w:pPr>
        <w:spacing w:after="0" w:line="240" w:lineRule="auto"/>
      </w:pPr>
      <w:r>
        <w:separator/>
      </w:r>
    </w:p>
  </w:footnote>
  <w:footnote w:type="continuationSeparator" w:id="0">
    <w:p w14:paraId="6AECDA0D" w14:textId="77777777" w:rsidR="00545C80" w:rsidRDefault="00545C80" w:rsidP="00827272">
      <w:pPr>
        <w:spacing w:after="0" w:line="240" w:lineRule="auto"/>
      </w:pPr>
      <w:r>
        <w:continuationSeparator/>
      </w:r>
    </w:p>
  </w:footnote>
  <w:footnote w:id="1">
    <w:p w14:paraId="01E87A05"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4E9DD58D"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181663DC"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2E01AD0A"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158225E"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7D2B196E"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97B9462"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4F86485"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183511F8"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Palacio,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6FF0DCB"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 w:id="11">
    <w:p w14:paraId="41C0EF26" w14:textId="77777777" w:rsidR="003403D7" w:rsidRPr="00F73487" w:rsidRDefault="003403D7" w:rsidP="003403D7">
      <w:pPr>
        <w:pStyle w:val="Textonotapie"/>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C- 274 de 2013 M.P. María Victoria Calle Correa.</w:t>
      </w:r>
    </w:p>
  </w:footnote>
  <w:footnote w:id="12">
    <w:p w14:paraId="21A36CCF"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1591F92C"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C10DAC3"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2. Las peticiones mediante las cuales se eleva una consulta a las autoridades en relación con las materias a su cargo deberán resolverse dentro de los treinta (30) días siguientes a su recepción.</w:t>
      </w:r>
    </w:p>
    <w:p w14:paraId="4DA53325" w14:textId="77777777" w:rsidR="003403D7" w:rsidRPr="00F73487" w:rsidRDefault="003403D7" w:rsidP="003403D7">
      <w:pPr>
        <w:pStyle w:val="Textonotapie"/>
        <w:snapToGrid w:val="0"/>
        <w:ind w:left="709"/>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 w:id="13">
    <w:p w14:paraId="55A7F725"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“Por medio de la cual se regula el Derecho Fundamental de Petición y se sustituye un título del Código de Procedimiento Administrativo y de lo Contencioso Administrativo”.</w:t>
      </w:r>
    </w:p>
  </w:footnote>
  <w:footnote w:id="14">
    <w:p w14:paraId="27C12514"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15">
    <w:p w14:paraId="37B8338D"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T-487 de 2017 M.P. Alberto Rojas Ríos Sentencia C-951 de 2014. M.P. Martha Victoria Sáchica Méndez.</w:t>
      </w:r>
    </w:p>
  </w:footnote>
  <w:footnote w:id="16">
    <w:p w14:paraId="309E8669"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17">
    <w:p w14:paraId="4C9729FC"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18">
    <w:p w14:paraId="5E327918"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19">
    <w:p w14:paraId="515C71AC" w14:textId="77777777" w:rsidR="003403D7" w:rsidRPr="00F73487" w:rsidRDefault="003403D7" w:rsidP="003403D7">
      <w:pPr>
        <w:spacing w:after="0" w:line="240" w:lineRule="auto"/>
        <w:rPr>
          <w:rFonts w:eastAsia="Times New Roman"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20">
    <w:p w14:paraId="6281B929" w14:textId="77777777" w:rsidR="003403D7" w:rsidRPr="00F73487" w:rsidRDefault="003403D7" w:rsidP="003403D7">
      <w:pPr>
        <w:pStyle w:val="Textonotapie"/>
        <w:rPr>
          <w:rFonts w:asciiTheme="minorHAnsi" w:hAnsiTheme="minorHAnsi"/>
          <w:sz w:val="16"/>
          <w:szCs w:val="16"/>
          <w:lang w:val="es-ES"/>
        </w:rPr>
      </w:pPr>
      <w:r w:rsidRPr="00F73487">
        <w:rPr>
          <w:rStyle w:val="Refdenotaalpie"/>
          <w:rFonts w:asciiTheme="minorHAnsi" w:hAnsiTheme="minorHAnsi"/>
          <w:sz w:val="16"/>
          <w:szCs w:val="16"/>
        </w:rPr>
        <w:footnoteRef/>
      </w:r>
      <w:r w:rsidRPr="00596520">
        <w:rPr>
          <w:rFonts w:asciiTheme="minorHAnsi" w:hAnsiTheme="minorHAnsi"/>
          <w:sz w:val="16"/>
          <w:szCs w:val="16"/>
          <w:lang w:val="es-ES"/>
        </w:rPr>
        <w:t xml:space="preserve"> </w:t>
      </w:r>
      <w:r w:rsidRPr="00596520">
        <w:rPr>
          <w:rFonts w:asciiTheme="minorHAnsi" w:hAnsiTheme="minorHAnsi"/>
          <w:sz w:val="16"/>
          <w:szCs w:val="16"/>
          <w:lang w:val="es-ES"/>
        </w:rPr>
        <w:tab/>
        <w:t>M.P. Jorge Ignacio Pretelt Chaljub</w:t>
      </w:r>
    </w:p>
  </w:footnote>
  <w:footnote w:id="21">
    <w:p w14:paraId="25A94665"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22">
    <w:p w14:paraId="69FE44C4" w14:textId="77777777" w:rsidR="003403D7" w:rsidRPr="00F73487" w:rsidRDefault="003403D7" w:rsidP="003403D7">
      <w:pPr>
        <w:snapToGrid w:val="0"/>
        <w:spacing w:after="0" w:line="240" w:lineRule="auto"/>
        <w:ind w:left="709" w:hanging="709"/>
        <w:jc w:val="both"/>
        <w:rPr>
          <w:rFonts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23">
    <w:p w14:paraId="5AA0F642"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24">
    <w:p w14:paraId="6C1420C2" w14:textId="77777777" w:rsidR="003403D7" w:rsidRPr="00F73487" w:rsidRDefault="003403D7" w:rsidP="003403D7">
      <w:pPr>
        <w:pStyle w:val="Textonotapie"/>
        <w:snapToGrid w:val="0"/>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Consitucional. Sentencia C-951 de 2014. M.P. Martha Victoria Sáchica Méndez. </w:t>
      </w:r>
    </w:p>
  </w:footnote>
  <w:footnote w:id="25">
    <w:p w14:paraId="5B39AA10"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4E3DFDC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3B3CBC1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2407A1AF" w14:textId="77777777" w:rsidR="003403D7" w:rsidRPr="00F73487" w:rsidRDefault="003403D7" w:rsidP="003403D7">
      <w:pPr>
        <w:pStyle w:val="Textonotapie"/>
        <w:snapToGrid w:val="0"/>
        <w:ind w:left="709"/>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FFC3EE0"/>
    <w:multiLevelType w:val="hybridMultilevel"/>
    <w:tmpl w:val="EA041906"/>
    <w:lvl w:ilvl="0" w:tplc="44782140">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54C90"/>
    <w:multiLevelType w:val="hybridMultilevel"/>
    <w:tmpl w:val="520AA298"/>
    <w:lvl w:ilvl="0" w:tplc="14880922">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CE54DE2"/>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C5318A0"/>
    <w:multiLevelType w:val="hybridMultilevel"/>
    <w:tmpl w:val="04B84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426573">
    <w:abstractNumId w:val="2"/>
  </w:num>
  <w:num w:numId="2" w16cid:durableId="957179494">
    <w:abstractNumId w:val="6"/>
  </w:num>
  <w:num w:numId="3" w16cid:durableId="677386358">
    <w:abstractNumId w:val="4"/>
  </w:num>
  <w:num w:numId="4" w16cid:durableId="747924756">
    <w:abstractNumId w:val="5"/>
  </w:num>
  <w:num w:numId="5" w16cid:durableId="1690375414">
    <w:abstractNumId w:val="0"/>
  </w:num>
  <w:num w:numId="6" w16cid:durableId="457602415">
    <w:abstractNumId w:val="7"/>
  </w:num>
  <w:num w:numId="7" w16cid:durableId="432408104">
    <w:abstractNumId w:val="1"/>
  </w:num>
  <w:num w:numId="8" w16cid:durableId="687606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37E49"/>
    <w:rsid w:val="000474B6"/>
    <w:rsid w:val="00082DD4"/>
    <w:rsid w:val="0010627E"/>
    <w:rsid w:val="001132B3"/>
    <w:rsid w:val="00145058"/>
    <w:rsid w:val="00165F9D"/>
    <w:rsid w:val="00187AE7"/>
    <w:rsid w:val="001B3A8D"/>
    <w:rsid w:val="001F2C89"/>
    <w:rsid w:val="00207D21"/>
    <w:rsid w:val="00223AAE"/>
    <w:rsid w:val="002370CC"/>
    <w:rsid w:val="0028191A"/>
    <w:rsid w:val="002B1347"/>
    <w:rsid w:val="002B26AC"/>
    <w:rsid w:val="002D3093"/>
    <w:rsid w:val="002F630C"/>
    <w:rsid w:val="003403D7"/>
    <w:rsid w:val="003749B7"/>
    <w:rsid w:val="003B2981"/>
    <w:rsid w:val="003E52F9"/>
    <w:rsid w:val="004165D7"/>
    <w:rsid w:val="00417BAC"/>
    <w:rsid w:val="004709B5"/>
    <w:rsid w:val="00472958"/>
    <w:rsid w:val="00482C37"/>
    <w:rsid w:val="004B63DF"/>
    <w:rsid w:val="004C030A"/>
    <w:rsid w:val="004D56E9"/>
    <w:rsid w:val="004D6B38"/>
    <w:rsid w:val="0051620C"/>
    <w:rsid w:val="00545C80"/>
    <w:rsid w:val="005C70FD"/>
    <w:rsid w:val="00665855"/>
    <w:rsid w:val="00674705"/>
    <w:rsid w:val="006F2965"/>
    <w:rsid w:val="00734ADA"/>
    <w:rsid w:val="00764CBE"/>
    <w:rsid w:val="007A557A"/>
    <w:rsid w:val="007D402D"/>
    <w:rsid w:val="007F7EC7"/>
    <w:rsid w:val="00827272"/>
    <w:rsid w:val="008301C0"/>
    <w:rsid w:val="00847039"/>
    <w:rsid w:val="0087341C"/>
    <w:rsid w:val="008771A4"/>
    <w:rsid w:val="008F2548"/>
    <w:rsid w:val="00905002"/>
    <w:rsid w:val="00930AB9"/>
    <w:rsid w:val="0093371D"/>
    <w:rsid w:val="009B184F"/>
    <w:rsid w:val="009D219A"/>
    <w:rsid w:val="009E3C4D"/>
    <w:rsid w:val="00A13428"/>
    <w:rsid w:val="00A53DBC"/>
    <w:rsid w:val="00A74C2F"/>
    <w:rsid w:val="00A77BA2"/>
    <w:rsid w:val="00AA2075"/>
    <w:rsid w:val="00AD20F5"/>
    <w:rsid w:val="00AE1337"/>
    <w:rsid w:val="00AE4FF4"/>
    <w:rsid w:val="00AF2EA5"/>
    <w:rsid w:val="00B005D7"/>
    <w:rsid w:val="00B10D8A"/>
    <w:rsid w:val="00B2684D"/>
    <w:rsid w:val="00B531F5"/>
    <w:rsid w:val="00B76899"/>
    <w:rsid w:val="00B80EC6"/>
    <w:rsid w:val="00BC0672"/>
    <w:rsid w:val="00BE5D97"/>
    <w:rsid w:val="00BF112E"/>
    <w:rsid w:val="00BF4E17"/>
    <w:rsid w:val="00C45B36"/>
    <w:rsid w:val="00C513EC"/>
    <w:rsid w:val="00C52E9A"/>
    <w:rsid w:val="00C716F1"/>
    <w:rsid w:val="00C804C0"/>
    <w:rsid w:val="00C970BE"/>
    <w:rsid w:val="00D45A45"/>
    <w:rsid w:val="00D45D88"/>
    <w:rsid w:val="00D53DA7"/>
    <w:rsid w:val="00D53DCD"/>
    <w:rsid w:val="00DC7081"/>
    <w:rsid w:val="00DE6D91"/>
    <w:rsid w:val="00DF7BA6"/>
    <w:rsid w:val="00EC6BD6"/>
    <w:rsid w:val="00ED6E87"/>
    <w:rsid w:val="00EE5AAF"/>
    <w:rsid w:val="00F61942"/>
    <w:rsid w:val="00F7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6AC"/>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27272"/>
    <w:rPr>
      <w:b/>
      <w:bCs/>
    </w:rPr>
  </w:style>
  <w:style w:type="character" w:styleId="Refdecomentario">
    <w:name w:val="annotation reference"/>
    <w:basedOn w:val="Fuentedeprrafopredeter"/>
    <w:uiPriority w:val="99"/>
    <w:semiHidden/>
    <w:unhideWhenUsed/>
    <w:rsid w:val="00827272"/>
    <w:rPr>
      <w:sz w:val="16"/>
      <w:szCs w:val="16"/>
    </w:rPr>
  </w:style>
  <w:style w:type="paragraph" w:styleId="Textocomentario">
    <w:name w:val="annotation text"/>
    <w:basedOn w:val="Normal"/>
    <w:link w:val="TextocomentarioCar"/>
    <w:uiPriority w:val="99"/>
    <w:semiHidden/>
    <w:unhideWhenUsed/>
    <w:rsid w:val="00827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7272"/>
    <w:rPr>
      <w:sz w:val="20"/>
      <w:szCs w:val="20"/>
      <w:lang w:val="es-CO"/>
    </w:rPr>
  </w:style>
  <w:style w:type="table" w:styleId="Tablaconcuadrcula">
    <w:name w:val="Table Grid"/>
    <w:basedOn w:val="Tabla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27272"/>
    <w:rPr>
      <w:rFonts w:ascii="Calibri" w:eastAsia="Calibri" w:hAnsi="Calibri" w:cs="Times New Roman"/>
      <w:sz w:val="22"/>
      <w:szCs w:val="22"/>
      <w:lang w:val="es-CO"/>
    </w:rPr>
  </w:style>
  <w:style w:type="character" w:styleId="Refdenotaalpie">
    <w:name w:val="footnote reference"/>
    <w:basedOn w:val="Fuentedeprrafopredeter"/>
    <w:uiPriority w:val="99"/>
    <w:semiHidden/>
    <w:unhideWhenUsed/>
    <w:rsid w:val="00827272"/>
  </w:style>
  <w:style w:type="paragraph" w:styleId="Textonotapie">
    <w:name w:val="footnote text"/>
    <w:basedOn w:val="Normal"/>
    <w:link w:val="TextonotapieC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2727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82727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27272"/>
    <w:rPr>
      <w:rFonts w:ascii="Times New Roman" w:hAnsi="Times New Roman" w:cs="Times New Roman"/>
      <w:sz w:val="18"/>
      <w:szCs w:val="18"/>
      <w:lang w:val="es-CO"/>
    </w:rPr>
  </w:style>
  <w:style w:type="paragraph" w:styleId="Prrafodelista">
    <w:name w:val="List Paragraph"/>
    <w:basedOn w:val="Normal"/>
    <w:uiPriority w:val="34"/>
    <w:qFormat/>
    <w:rsid w:val="00ED6E87"/>
    <w:pPr>
      <w:spacing w:after="0" w:line="240" w:lineRule="auto"/>
      <w:ind w:left="720"/>
      <w:contextualSpacing/>
    </w:pPr>
    <w:rPr>
      <w:sz w:val="24"/>
      <w:szCs w:val="24"/>
    </w:rPr>
  </w:style>
  <w:style w:type="paragraph" w:styleId="Encabezado">
    <w:name w:val="header"/>
    <w:basedOn w:val="Normal"/>
    <w:link w:val="EncabezadoCar"/>
    <w:uiPriority w:val="99"/>
    <w:unhideWhenUsed/>
    <w:rsid w:val="001F2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89"/>
    <w:rPr>
      <w:sz w:val="22"/>
      <w:szCs w:val="22"/>
      <w:lang w:val="es-CO"/>
    </w:rPr>
  </w:style>
  <w:style w:type="paragraph" w:styleId="Piedepgina">
    <w:name w:val="footer"/>
    <w:basedOn w:val="Normal"/>
    <w:link w:val="PiedepginaCar"/>
    <w:uiPriority w:val="99"/>
    <w:unhideWhenUsed/>
    <w:rsid w:val="001F2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89"/>
    <w:rPr>
      <w:sz w:val="22"/>
      <w:szCs w:val="22"/>
      <w:lang w:val="es-CO"/>
    </w:rPr>
  </w:style>
  <w:style w:type="paragraph" w:styleId="Asuntodelcomentario">
    <w:name w:val="annotation subject"/>
    <w:basedOn w:val="Textocomentario"/>
    <w:next w:val="Textocomentario"/>
    <w:link w:val="AsuntodelcomentarioCar"/>
    <w:uiPriority w:val="99"/>
    <w:semiHidden/>
    <w:unhideWhenUsed/>
    <w:rsid w:val="00EC6BD6"/>
    <w:rPr>
      <w:b/>
      <w:bCs/>
    </w:rPr>
  </w:style>
  <w:style w:type="character" w:customStyle="1" w:styleId="AsuntodelcomentarioCar">
    <w:name w:val="Asunto del comentario Car"/>
    <w:basedOn w:val="TextocomentarioCar"/>
    <w:link w:val="Asuntodelcomentario"/>
    <w:uiPriority w:val="99"/>
    <w:semiHidden/>
    <w:rsid w:val="00EC6BD6"/>
    <w:rPr>
      <w:b/>
      <w:bCs/>
      <w:sz w:val="20"/>
      <w:szCs w:val="20"/>
      <w:lang w:val="es-CO"/>
    </w:rPr>
  </w:style>
  <w:style w:type="paragraph" w:styleId="ndice1">
    <w:name w:val="index 1"/>
    <w:basedOn w:val="Normal"/>
    <w:next w:val="Normal"/>
    <w:autoRedefine/>
    <w:uiPriority w:val="99"/>
    <w:unhideWhenUsed/>
    <w:rsid w:val="00EC6BD6"/>
    <w:pPr>
      <w:spacing w:after="0"/>
      <w:ind w:left="220" w:hanging="220"/>
    </w:pPr>
    <w:rPr>
      <w:sz w:val="18"/>
      <w:szCs w:val="18"/>
    </w:rPr>
  </w:style>
  <w:style w:type="paragraph" w:styleId="ndice2">
    <w:name w:val="index 2"/>
    <w:basedOn w:val="Normal"/>
    <w:next w:val="Normal"/>
    <w:autoRedefine/>
    <w:uiPriority w:val="99"/>
    <w:unhideWhenUsed/>
    <w:rsid w:val="00EC6BD6"/>
    <w:pPr>
      <w:spacing w:after="0"/>
      <w:ind w:left="440" w:hanging="220"/>
    </w:pPr>
    <w:rPr>
      <w:sz w:val="18"/>
      <w:szCs w:val="18"/>
    </w:rPr>
  </w:style>
  <w:style w:type="paragraph" w:styleId="ndice3">
    <w:name w:val="index 3"/>
    <w:basedOn w:val="Normal"/>
    <w:next w:val="Normal"/>
    <w:autoRedefine/>
    <w:uiPriority w:val="99"/>
    <w:unhideWhenUsed/>
    <w:rsid w:val="00EC6BD6"/>
    <w:pPr>
      <w:spacing w:after="0"/>
      <w:ind w:left="660" w:hanging="220"/>
    </w:pPr>
    <w:rPr>
      <w:sz w:val="18"/>
      <w:szCs w:val="18"/>
    </w:rPr>
  </w:style>
  <w:style w:type="paragraph" w:styleId="ndice4">
    <w:name w:val="index 4"/>
    <w:basedOn w:val="Normal"/>
    <w:next w:val="Normal"/>
    <w:autoRedefine/>
    <w:uiPriority w:val="99"/>
    <w:unhideWhenUsed/>
    <w:rsid w:val="00EC6BD6"/>
    <w:pPr>
      <w:spacing w:after="0"/>
      <w:ind w:left="880" w:hanging="220"/>
    </w:pPr>
    <w:rPr>
      <w:sz w:val="18"/>
      <w:szCs w:val="18"/>
    </w:rPr>
  </w:style>
  <w:style w:type="paragraph" w:styleId="ndice5">
    <w:name w:val="index 5"/>
    <w:basedOn w:val="Normal"/>
    <w:next w:val="Normal"/>
    <w:autoRedefine/>
    <w:uiPriority w:val="99"/>
    <w:unhideWhenUsed/>
    <w:rsid w:val="00EC6BD6"/>
    <w:pPr>
      <w:spacing w:after="0"/>
      <w:ind w:left="1100" w:hanging="220"/>
    </w:pPr>
    <w:rPr>
      <w:sz w:val="18"/>
      <w:szCs w:val="18"/>
    </w:rPr>
  </w:style>
  <w:style w:type="paragraph" w:styleId="ndice6">
    <w:name w:val="index 6"/>
    <w:basedOn w:val="Normal"/>
    <w:next w:val="Normal"/>
    <w:autoRedefine/>
    <w:uiPriority w:val="99"/>
    <w:unhideWhenUsed/>
    <w:rsid w:val="00EC6BD6"/>
    <w:pPr>
      <w:spacing w:after="0"/>
      <w:ind w:left="1320" w:hanging="220"/>
    </w:pPr>
    <w:rPr>
      <w:sz w:val="18"/>
      <w:szCs w:val="18"/>
    </w:rPr>
  </w:style>
  <w:style w:type="paragraph" w:styleId="ndice7">
    <w:name w:val="index 7"/>
    <w:basedOn w:val="Normal"/>
    <w:next w:val="Normal"/>
    <w:autoRedefine/>
    <w:uiPriority w:val="99"/>
    <w:unhideWhenUsed/>
    <w:rsid w:val="00EC6BD6"/>
    <w:pPr>
      <w:spacing w:after="0"/>
      <w:ind w:left="1540" w:hanging="220"/>
    </w:pPr>
    <w:rPr>
      <w:sz w:val="18"/>
      <w:szCs w:val="18"/>
    </w:rPr>
  </w:style>
  <w:style w:type="paragraph" w:styleId="ndice8">
    <w:name w:val="index 8"/>
    <w:basedOn w:val="Normal"/>
    <w:next w:val="Normal"/>
    <w:autoRedefine/>
    <w:uiPriority w:val="99"/>
    <w:unhideWhenUsed/>
    <w:rsid w:val="00EC6BD6"/>
    <w:pPr>
      <w:spacing w:after="0"/>
      <w:ind w:left="1760" w:hanging="220"/>
    </w:pPr>
    <w:rPr>
      <w:sz w:val="18"/>
      <w:szCs w:val="18"/>
    </w:rPr>
  </w:style>
  <w:style w:type="paragraph" w:styleId="ndice9">
    <w:name w:val="index 9"/>
    <w:basedOn w:val="Normal"/>
    <w:next w:val="Normal"/>
    <w:autoRedefine/>
    <w:uiPriority w:val="99"/>
    <w:unhideWhenUsed/>
    <w:rsid w:val="00EC6BD6"/>
    <w:pPr>
      <w:spacing w:after="0"/>
      <w:ind w:left="1980" w:hanging="220"/>
    </w:pPr>
    <w:rPr>
      <w:sz w:val="18"/>
      <w:szCs w:val="18"/>
    </w:rPr>
  </w:style>
  <w:style w:type="paragraph" w:styleId="Ttulodendice">
    <w:name w:val="index heading"/>
    <w:basedOn w:val="Normal"/>
    <w:next w:val="ndice1"/>
    <w:uiPriority w:val="99"/>
    <w:unhideWhenUsed/>
    <w:rsid w:val="00EC6BD6"/>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C80A3-09EB-3740-B596-45D220C8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2044</Words>
  <Characters>11245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V2.0</vt: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Sánchez R.</dc:creator>
  <cp:keywords/>
  <dc:description>V2.0</dc:description>
  <cp:lastModifiedBy>DARIO AGATON</cp:lastModifiedBy>
  <cp:revision>25</cp:revision>
  <dcterms:created xsi:type="dcterms:W3CDTF">2020-07-23T16:58:00Z</dcterms:created>
  <dcterms:modified xsi:type="dcterms:W3CDTF">2023-04-03T16:34:00Z</dcterms:modified>
</cp:coreProperties>
</file>