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Arial" w:hAnsi="Arial" w:eastAsia="Arial Narrow" w:cs="Arial"/>
          <w:sz w:val="18"/>
          <w:szCs w:val="18"/>
          <w:lang w:val="en-US"/>
        </w:rPr>
      </w:pPr>
      <w:r>
        <w:rPr>
          <w:rFonts w:eastAsia="Arial Narrow" w:cs="Arial" w:ascii="Arial" w:hAnsi="Arial"/>
          <w:sz w:val="18"/>
          <w:szCs w:val="18"/>
          <w:lang w:val="en-US"/>
        </w:rPr>
        <w:t>Señor(es)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iCs/>
          <w:color w:val="000000" w:themeColor="text1"/>
          <w:sz w:val="18"/>
          <w:szCs w:val="18"/>
          <w:lang w:val="en-US"/>
        </w:rPr>
      </w:pPr>
      <w:r>
        <w:rPr>
          <w:rFonts w:cs="Arial" w:ascii="Arial" w:hAnsi="Arial"/>
          <w:b/>
          <w:bCs/>
          <w:iCs/>
          <w:color w:val="000000" w:themeColor="text1"/>
          <w:sz w:val="18"/>
          <w:szCs w:val="18"/>
          <w:lang w:val="en-US"/>
        </w:rPr>
        <w:t>{{ company_or_entity_name|upper }}</w:t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ESD</w:t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b/>
          <w:b/>
          <w:color w:val="000000"/>
          <w:sz w:val="18"/>
          <w:szCs w:val="18"/>
          <w:u w:val="single"/>
        </w:rPr>
      </w:pPr>
      <w:r>
        <w:rPr>
          <w:rFonts w:eastAsia="Arial Narrow" w:cs="Arial" w:ascii="Arial" w:hAnsi="Arial"/>
          <w:b/>
          <w:color w:val="000000"/>
          <w:sz w:val="18"/>
          <w:szCs w:val="18"/>
          <w:u w:val="single"/>
        </w:rPr>
      </w:r>
    </w:p>
    <w:p>
      <w:pPr>
        <w:pStyle w:val="Normal"/>
        <w:pBdr/>
        <w:spacing w:before="0" w:after="0"/>
        <w:ind w:left="2268" w:firstLine="708"/>
        <w:jc w:val="both"/>
        <w:rPr>
          <w:rFonts w:ascii="Arial" w:hAnsi="Arial" w:eastAsia="Arial Narrow" w:cs="Arial"/>
          <w:b/>
          <w:b/>
          <w:i/>
          <w:i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  <w:t xml:space="preserve">Ref.: </w:t>
      </w:r>
      <w:r>
        <w:rPr>
          <w:rFonts w:eastAsia="Arial Narrow" w:cs="Arial" w:ascii="Arial" w:hAnsi="Arial"/>
          <w:b/>
          <w:i/>
          <w:color w:val="000000"/>
          <w:sz w:val="18"/>
          <w:szCs w:val="18"/>
        </w:rPr>
        <w:t xml:space="preserve">Derecho de Petición- Reagendamiento por no comparecencia </w:t>
      </w:r>
    </w:p>
    <w:p>
      <w:pPr>
        <w:pStyle w:val="Normal"/>
        <w:pBdr/>
        <w:spacing w:before="0" w:after="0"/>
        <w:ind w:left="2268" w:firstLine="708"/>
        <w:jc w:val="both"/>
        <w:rPr>
          <w:rFonts w:ascii="Arial" w:hAnsi="Arial" w:eastAsia="Arial Narrow" w:cs="Arial"/>
          <w:b/>
          <w:b/>
          <w:i/>
          <w:i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i/>
          <w:color w:val="000000"/>
          <w:sz w:val="18"/>
          <w:szCs w:val="18"/>
        </w:rPr>
        <w:t xml:space="preserve">         </w:t>
      </w:r>
      <w:r>
        <w:rPr>
          <w:rFonts w:eastAsia="Arial Narrow" w:cs="Arial" w:ascii="Arial" w:hAnsi="Arial"/>
          <w:b/>
          <w:i/>
          <w:color w:val="000000"/>
          <w:sz w:val="18"/>
          <w:szCs w:val="18"/>
        </w:rPr>
        <w:t xml:space="preserve">de la Entidad a la Audiencia Pública de Impugnación. </w:t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b/>
          <w:b/>
          <w:i/>
          <w:i/>
          <w:color w:val="000000"/>
          <w:sz w:val="18"/>
          <w:szCs w:val="18"/>
          <w:u w:val="single"/>
        </w:rPr>
      </w:pPr>
      <w:r>
        <w:rPr>
          <w:rFonts w:eastAsia="Arial Narrow" w:cs="Arial" w:ascii="Arial" w:hAnsi="Arial"/>
          <w:b/>
          <w:i/>
          <w:color w:val="000000"/>
          <w:sz w:val="18"/>
          <w:szCs w:val="18"/>
          <w:u w:val="single"/>
        </w:rPr>
      </w:r>
    </w:p>
    <w:p>
      <w:pPr>
        <w:pStyle w:val="Normal"/>
        <w:pBdr/>
        <w:spacing w:before="0" w:after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cs="Arial" w:ascii="Arial" w:hAnsi="Arial"/>
          <w:b/>
          <w:bCs/>
          <w:iCs/>
          <w:sz w:val="18"/>
          <w:szCs w:val="18"/>
        </w:rPr>
        <w:t>DISRUPCIÓN AL DERECHO S.A.S.</w:t>
      </w:r>
      <w:r>
        <w:rPr>
          <w:rFonts w:cs="Arial" w:ascii="Arial" w:hAnsi="Arial"/>
          <w:iCs/>
          <w:sz w:val="18"/>
          <w:szCs w:val="18"/>
        </w:rPr>
        <w:t xml:space="preserve">, (en adelante </w:t>
      </w:r>
      <w:r>
        <w:rPr>
          <w:rFonts w:cs="Arial" w:ascii="Arial" w:hAnsi="Arial"/>
          <w:b/>
          <w:bCs/>
          <w:iCs/>
          <w:sz w:val="18"/>
          <w:szCs w:val="18"/>
        </w:rPr>
        <w:t>JUZTO.CO</w:t>
      </w:r>
      <w:r>
        <w:rPr>
          <w:rFonts w:cs="Arial" w:ascii="Arial" w:hAnsi="Arial"/>
          <w:iCs/>
          <w:sz w:val="18"/>
          <w:szCs w:val="18"/>
        </w:rPr>
        <w:t>), sociedad identificada con Nit. 901.350.628 –</w:t>
      </w:r>
    </w:p>
    <w:p>
      <w:pPr>
        <w:pStyle w:val="Normal"/>
        <w:pBdr/>
        <w:spacing w:before="0" w:after="0"/>
        <w:jc w:val="both"/>
        <w:rPr>
          <w:rFonts w:ascii="Arial" w:hAnsi="Arial" w:cs="Arial"/>
          <w:iCs/>
          <w:sz w:val="18"/>
          <w:szCs w:val="18"/>
        </w:rPr>
      </w:pPr>
      <w:r>
        <w:rPr>
          <w:rFonts w:cs="Arial" w:ascii="Arial" w:hAnsi="Arial"/>
          <w:iCs/>
          <w:sz w:val="18"/>
          <w:szCs w:val="18"/>
        </w:rPr>
        <w:t>4, representada legalmente por Juan David Castilla Bahamón, identificado con cédula de ciudadanía No.</w:t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cs="Arial" w:ascii="Arial" w:hAnsi="Arial"/>
          <w:iCs/>
          <w:sz w:val="18"/>
          <w:szCs w:val="18"/>
        </w:rPr>
        <w:t xml:space="preserve">1.020.738.766 y Tarjeta profesional 252414, sociedad que actúa como apoderada de 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>{{ natural.name|upper }}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>, quien se identifica con {{ complaining_type_id }} No. {{ complaining_id_number }}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 xml:space="preserve">{{ legal.name|upper 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>}}</w:t>
      </w:r>
      <w:r>
        <w:rPr>
          <w:rStyle w:val="Strong"/>
          <w:rFonts w:cs="Arial" w:ascii="Arial" w:hAnsi="Arial"/>
          <w:color w:val="000000" w:themeColor="text1"/>
          <w:sz w:val="18"/>
          <w:szCs w:val="18"/>
        </w:rPr>
        <w:t xml:space="preserve">,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8"/>
          <w:szCs w:val="18"/>
        </w:rPr>
        <w:t>sociedad debidamente constituida e identificada con Nit. {{</w:t>
      </w:r>
      <w:r>
        <w:rPr>
          <w:rFonts w:cs="Arial" w:ascii="Arial" w:hAnsi="Arial"/>
          <w:b/>
          <w:bCs/>
          <w:sz w:val="18"/>
          <w:szCs w:val="18"/>
        </w:rPr>
        <w:t xml:space="preserve"> 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8"/>
          <w:szCs w:val="18"/>
        </w:rPr>
        <w:t>complaining_id_number }}, representada por {{ legal_representative_name|title }} quien se identifica con {{ legal_representative_type_id }} No. {{ legal_representative_id_number }},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endif %}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 xml:space="preserve"> </w:t>
      </w:r>
      <w:r>
        <w:rPr>
          <w:rFonts w:eastAsia="Arial Narrow" w:cs="Arial" w:ascii="Arial" w:hAnsi="Arial"/>
          <w:color w:val="000000"/>
          <w:sz w:val="18"/>
          <w:szCs w:val="18"/>
        </w:rPr>
        <w:t>(quien en adelante se denomina MI REPRESENTADO), de forma respetuosa y con fundamento en el artículo 23 de la Constitución Política de Colombia y las demás normas concordantes que lo regulan y desarrollan, me permito elevar ustedes el presente derecho de petición.</w:t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</w:p>
    <w:p>
      <w:pPr>
        <w:pStyle w:val="Normal"/>
        <w:pBdr/>
        <w:spacing w:before="0" w:after="0"/>
        <w:jc w:val="center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</w:r>
    </w:p>
    <w:p>
      <w:pPr>
        <w:pStyle w:val="Normal"/>
        <w:pBdr/>
        <w:spacing w:before="0" w:after="0"/>
        <w:jc w:val="center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  <w:t>SOLICITUDES</w:t>
      </w:r>
    </w:p>
    <w:p>
      <w:pPr>
        <w:pStyle w:val="Normal"/>
        <w:pBdr/>
        <w:spacing w:before="0" w:after="0"/>
        <w:jc w:val="center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pBdr/>
        <w:ind w:left="1418" w:hanging="1418"/>
        <w:jc w:val="both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Se sirva reprogramar la audiencia de impugnación para el</w:t>
      </w:r>
      <w:r>
        <w:rPr>
          <w:rFonts w:eastAsia="Arial Narrow" w:cs="Arial" w:ascii="Arial" w:hAnsi="Arial"/>
          <w:b/>
          <w:color w:val="000000"/>
          <w:sz w:val="18"/>
          <w:szCs w:val="18"/>
        </w:rPr>
        <w:t xml:space="preserve"> </w:t>
      </w:r>
      <w:r>
        <w:rPr>
          <w:rFonts w:eastAsia="Arial Narrow" w:cs="Arial" w:ascii="Arial" w:hAnsi="Arial"/>
          <w:sz w:val="18"/>
          <w:szCs w:val="18"/>
        </w:rPr>
        <w:t>comparendo No. {{ fotomulta_number }}</w:t>
      </w:r>
    </w:p>
    <w:p>
      <w:pPr>
        <w:pStyle w:val="ListParagraph"/>
        <w:numPr>
          <w:ilvl w:val="0"/>
          <w:numId w:val="2"/>
        </w:numPr>
        <w:pBdr/>
        <w:ind w:left="1418" w:hanging="1418"/>
        <w:jc w:val="both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 xml:space="preserve">En consecuencia, de lo anterior, se sirva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  <w:lang w:val="es-ES_tradnl"/>
        </w:rPr>
        <w:t xml:space="preserve">informar fecha, hora y link de acceso a la reprogramación virtual de la audiencia de impugnación del fotocomparendo ya referenciado. </w:t>
      </w:r>
    </w:p>
    <w:p>
      <w:pPr>
        <w:pStyle w:val="ListParagraph"/>
        <w:pBdr/>
        <w:jc w:val="both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</w:r>
    </w:p>
    <w:p>
      <w:pPr>
        <w:pStyle w:val="Normal"/>
        <w:pBdr/>
        <w:spacing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</w:p>
    <w:p>
      <w:pPr>
        <w:pStyle w:val="NormalWeb"/>
        <w:spacing w:lineRule="auto" w:line="276" w:beforeAutospacing="0" w:before="0" w:afterAutospacing="0" w:after="0"/>
        <w:jc w:val="both"/>
        <w:rPr>
          <w:rStyle w:val="Strong"/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</w:r>
    </w:p>
    <w:p>
      <w:pPr>
        <w:pStyle w:val="NormalWeb"/>
        <w:spacing w:lineRule="auto" w:line="276" w:beforeAutospacing="0" w:before="0" w:afterAutospacing="0" w:after="0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Style w:val="Strong"/>
          <w:rFonts w:cs="Arial" w:ascii="Arial" w:hAnsi="Arial"/>
          <w:sz w:val="18"/>
          <w:szCs w:val="18"/>
          <w:lang w:val="es-ES_tradnl"/>
        </w:rPr>
        <w:t>HECHOS</w:t>
      </w:r>
    </w:p>
    <w:p>
      <w:pPr>
        <w:pStyle w:val="Normal"/>
        <w:jc w:val="both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b/>
          <w:sz w:val="18"/>
          <w:szCs w:val="18"/>
          <w:lang w:val="es-ES_tradnl"/>
        </w:rPr>
      </w:r>
    </w:p>
    <w:p>
      <w:pPr>
        <w:pStyle w:val="ListParagraph"/>
        <w:numPr>
          <w:ilvl w:val="0"/>
          <w:numId w:val="1"/>
        </w:numPr>
        <w:ind w:left="1418" w:hanging="1418"/>
        <w:jc w:val="both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 xml:space="preserve">Que fue impuesto el </w:t>
      </w:r>
      <w:r>
        <w:rPr>
          <w:rFonts w:eastAsia="Arial Narrow" w:cs="Arial" w:ascii="Arial" w:hAnsi="Arial"/>
          <w:sz w:val="18"/>
          <w:szCs w:val="18"/>
        </w:rPr>
        <w:t xml:space="preserve">comparendo No. {{ fotomulta_number }} a nombre de 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if client_type == ‘Persona Natural’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>{{ natural.name|upper }}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 xml:space="preserve">, 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else %}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 xml:space="preserve">{{ legal.name|upper </w:t>
      </w:r>
      <w:r>
        <w:rPr>
          <w:rFonts w:cs="Arial" w:ascii="Arial" w:hAnsi="Arial"/>
          <w:iCs/>
          <w:color w:val="000000" w:themeColor="text1"/>
          <w:sz w:val="18"/>
          <w:szCs w:val="18"/>
        </w:rPr>
        <w:t>}}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18"/>
          <w:szCs w:val="18"/>
        </w:rPr>
        <w:t>,</w:t>
      </w:r>
      <w:r>
        <w:rPr>
          <w:rStyle w:val="Strong"/>
          <w:rFonts w:cs="Arial" w:ascii="Arial" w:hAnsi="Arial"/>
          <w:color w:val="000000" w:themeColor="text1"/>
          <w:sz w:val="18"/>
          <w:szCs w:val="18"/>
        </w:rPr>
        <w:t xml:space="preserve"> </w:t>
      </w:r>
      <w:r>
        <w:rPr>
          <w:rFonts w:cs="Arial" w:ascii="Arial" w:hAnsi="Arial"/>
          <w:iCs/>
          <w:color w:val="ED7D31" w:themeColor="accent2"/>
          <w:sz w:val="18"/>
          <w:szCs w:val="18"/>
        </w:rPr>
        <w:t>{% endif %}</w:t>
      </w:r>
    </w:p>
    <w:p>
      <w:pPr>
        <w:pStyle w:val="ListParagraph"/>
        <w:ind w:left="1418" w:hanging="0"/>
        <w:jc w:val="both"/>
        <w:rPr>
          <w:rFonts w:ascii="Arial" w:hAnsi="Arial" w:cs="Arial"/>
          <w:b/>
          <w:b/>
          <w:sz w:val="18"/>
          <w:szCs w:val="18"/>
          <w:lang w:val="es-ES_tradnl"/>
        </w:rPr>
      </w:pPr>
      <w:r>
        <w:rPr>
          <w:rFonts w:cs="Arial" w:ascii="Arial" w:hAnsi="Arial"/>
          <w:b/>
          <w:sz w:val="18"/>
          <w:szCs w:val="18"/>
          <w:lang w:val="es-ES_tradnl"/>
        </w:rPr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Autospacing="0" w:after="0"/>
        <w:ind w:left="1418" w:hanging="1418"/>
        <w:jc w:val="both"/>
        <w:rPr>
          <w:rFonts w:ascii="Arial" w:hAnsi="Arial" w:cs="Arial"/>
          <w:i/>
          <w:i/>
          <w:sz w:val="18"/>
          <w:szCs w:val="18"/>
          <w:lang w:val="es-ES_tradnl"/>
        </w:rPr>
      </w:pPr>
      <w:r>
        <w:rPr>
          <w:rFonts w:cs="Arial" w:ascii="Arial" w:hAnsi="Arial"/>
          <w:iCs/>
          <w:sz w:val="18"/>
          <w:szCs w:val="18"/>
          <w:lang w:val="es-CO"/>
        </w:rPr>
        <w:t>Que para el día {{ audience_date }} se programó la audiencia virtual de impugnación del comparendo.</w:t>
      </w:r>
    </w:p>
    <w:p>
      <w:pPr>
        <w:pStyle w:val="NormalWeb"/>
        <w:spacing w:lineRule="auto" w:line="276" w:beforeAutospacing="0" w:before="0" w:afterAutospacing="0" w:after="0"/>
        <w:ind w:left="1418" w:hanging="0"/>
        <w:jc w:val="both"/>
        <w:rPr>
          <w:rFonts w:ascii="Arial" w:hAnsi="Arial" w:cs="Arial"/>
          <w:iCs/>
          <w:sz w:val="18"/>
          <w:szCs w:val="18"/>
          <w:lang w:val="en-US"/>
        </w:rPr>
      </w:pPr>
      <w:r>
        <w:rPr>
          <w:rFonts w:cs="Arial" w:ascii="Arial" w:hAnsi="Arial"/>
          <w:iCs/>
          <w:sz w:val="18"/>
          <w:szCs w:val="18"/>
          <w:lang w:val="en-US"/>
        </w:rPr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Autospacing="0" w:after="0"/>
        <w:ind w:left="1418" w:hanging="1418"/>
        <w:jc w:val="both"/>
        <w:rPr>
          <w:rFonts w:ascii="Arial" w:hAnsi="Arial" w:cs="Arial"/>
          <w:i/>
          <w:i/>
          <w:sz w:val="18"/>
          <w:szCs w:val="18"/>
          <w:lang w:val="es-ES_tradnl"/>
        </w:rPr>
      </w:pPr>
      <w:r>
        <w:rPr>
          <w:rFonts w:cs="Arial" w:ascii="Arial" w:hAnsi="Arial"/>
          <w:iCs/>
          <w:sz w:val="18"/>
          <w:szCs w:val="18"/>
          <w:lang w:val="es-CO"/>
        </w:rPr>
        <w:t>Que para el día programado y sin justificación alguna la Entidad no se conectó a la audiencia</w:t>
      </w:r>
    </w:p>
    <w:p>
      <w:pPr>
        <w:pStyle w:val="NormalWeb"/>
        <w:spacing w:lineRule="auto" w:line="276" w:beforeAutospacing="0" w:before="0" w:afterAutospacing="0" w:after="0"/>
        <w:ind w:left="1418" w:hanging="0"/>
        <w:jc w:val="both"/>
        <w:rPr>
          <w:rFonts w:ascii="Arial" w:hAnsi="Arial" w:cs="Arial"/>
          <w:iCs/>
          <w:sz w:val="18"/>
          <w:szCs w:val="18"/>
          <w:lang w:val="es-CO"/>
        </w:rPr>
      </w:pPr>
      <w:r>
        <w:rPr>
          <w:rFonts w:cs="Arial" w:ascii="Arial" w:hAnsi="Arial"/>
          <w:iCs/>
          <w:color w:val="000000" w:themeColor="text1"/>
          <w:sz w:val="18"/>
          <w:szCs w:val="18"/>
          <w:lang w:val="es-CO"/>
        </w:rPr>
        <w:t>tal y como se evidencia en el anexo 2.</w:t>
      </w:r>
    </w:p>
    <w:p>
      <w:pPr>
        <w:pStyle w:val="NormalWeb"/>
        <w:spacing w:lineRule="auto" w:line="276" w:beforeAutospacing="0" w:before="0" w:afterAutospacing="0" w:after="0"/>
        <w:ind w:left="1418" w:hanging="0"/>
        <w:jc w:val="both"/>
        <w:rPr>
          <w:rFonts w:ascii="Arial" w:hAnsi="Arial" w:cs="Arial"/>
          <w:i/>
          <w:i/>
          <w:sz w:val="18"/>
          <w:szCs w:val="18"/>
          <w:lang w:val="es-CO"/>
        </w:rPr>
      </w:pPr>
      <w:r>
        <w:rPr>
          <w:rFonts w:cs="Arial" w:ascii="Arial" w:hAnsi="Arial"/>
          <w:i/>
          <w:sz w:val="18"/>
          <w:szCs w:val="18"/>
          <w:lang w:val="es-CO"/>
        </w:rPr>
      </w:r>
    </w:p>
    <w:p>
      <w:pPr>
        <w:pStyle w:val="NormalWeb"/>
        <w:spacing w:lineRule="auto" w:line="276" w:beforeAutospacing="0" w:before="0" w:afterAutospacing="0" w:after="0"/>
        <w:jc w:val="both"/>
        <w:rPr>
          <w:rFonts w:ascii="Arial" w:hAnsi="Arial" w:cs="Arial"/>
          <w:b/>
          <w:b/>
          <w:sz w:val="18"/>
          <w:szCs w:val="18"/>
          <w:lang w:val="es-CO"/>
        </w:rPr>
      </w:pPr>
      <w:r>
        <w:rPr>
          <w:rFonts w:cs="Arial" w:ascii="Arial" w:hAnsi="Arial"/>
          <w:b/>
          <w:sz w:val="18"/>
          <w:szCs w:val="18"/>
          <w:lang w:val="es-CO"/>
        </w:rPr>
      </w:r>
    </w:p>
    <w:p>
      <w:pPr>
        <w:pStyle w:val="NormalWeb"/>
        <w:spacing w:lineRule="auto" w:line="276" w:beforeAutospacing="0" w:before="0" w:afterAutospacing="0" w:after="0"/>
        <w:jc w:val="center"/>
        <w:rPr>
          <w:rFonts w:ascii="Arial" w:hAnsi="Arial" w:cs="Arial"/>
          <w:b/>
          <w:b/>
          <w:bCs/>
          <w:iCs/>
          <w:color w:val="000000" w:themeColor="text1"/>
          <w:sz w:val="18"/>
          <w:szCs w:val="18"/>
          <w:lang w:val="es-ES_tradnl"/>
        </w:rPr>
      </w:pPr>
      <w:r>
        <w:rPr>
          <w:rFonts w:cs="Arial" w:ascii="Arial" w:hAnsi="Arial"/>
          <w:b/>
          <w:iCs/>
          <w:sz w:val="18"/>
          <w:szCs w:val="18"/>
          <w:lang w:val="es-ES_tradnl"/>
        </w:rPr>
        <w:t>FUNDAMENTOS DE DERECHO</w:t>
      </w:r>
    </w:p>
    <w:p>
      <w:pPr>
        <w:pStyle w:val="NormalWeb"/>
        <w:spacing w:lineRule="auto" w:line="276" w:beforeAutospacing="0" w:before="0" w:afterAutospacing="0" w:after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</w:r>
    </w:p>
    <w:p>
      <w:pPr>
        <w:pStyle w:val="Normal"/>
        <w:jc w:val="both"/>
        <w:rPr>
          <w:rFonts w:ascii="Arial" w:hAnsi="Arial" w:eastAsia="Times New Roman" w:cs="Arial"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>Respecto al derecho de petición, reglado en el artículo 23 de la Constitución Política, en la ley 1437 de 2011 y desarrollado por la Ley 1755 de 2015</w:t>
      </w:r>
      <w:r>
        <w:rPr>
          <w:rStyle w:val="FootnoteAnchor"/>
          <w:rFonts w:eastAsia="Times New Roman" w:cs="Arial" w:ascii="Arial" w:hAnsi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2"/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. En particular, esta prerrogativa constitucional faculta a los particulares para solicitar información mediante peticiones respetuosas ante </w:t>
      </w:r>
      <w:r>
        <w:rPr>
          <w:rFonts w:eastAsia="Times New Roman" w:cs="Arial" w:ascii="Arial" w:hAnsi="Arial"/>
          <w:b/>
          <w:bCs/>
          <w:iCs/>
          <w:color w:val="000000" w:themeColor="text1"/>
          <w:sz w:val="18"/>
          <w:szCs w:val="18"/>
          <w:lang w:eastAsia="es-CO"/>
        </w:rPr>
        <w:t>autoridades públicas</w:t>
      </w:r>
      <w:r>
        <w:rPr>
          <w:rFonts w:eastAsia="Times New Roman" w:cs="Arial" w:ascii="Arial" w:hAnsi="Arial"/>
          <w:b/>
          <w:iCs/>
          <w:color w:val="000000" w:themeColor="text1"/>
          <w:sz w:val="18"/>
          <w:szCs w:val="18"/>
          <w:lang w:eastAsia="es-CO"/>
        </w:rPr>
        <w:t xml:space="preserve"> 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o </w:t>
      </w:r>
      <w:r>
        <w:rPr>
          <w:rFonts w:eastAsia="Times New Roman" w:cs="Arial" w:ascii="Arial" w:hAnsi="Arial"/>
          <w:b/>
          <w:iCs/>
          <w:color w:val="000000" w:themeColor="text1"/>
          <w:sz w:val="18"/>
          <w:szCs w:val="18"/>
          <w:lang w:eastAsia="es-CO"/>
        </w:rPr>
        <w:t xml:space="preserve">particulares 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>con el fin de obtener la satisfacción de un interés personal o colectivo. La jurisprudencia constitucional ha destacado la fundamentalidad de este derecho al considerar que es: (i) determinante para la efectividad de los mecanismos de la democracia participativa</w:t>
      </w:r>
      <w:r>
        <w:rPr>
          <w:rStyle w:val="FootnoteAnchor"/>
          <w:rFonts w:eastAsia="Times New Roman" w:cs="Arial" w:ascii="Arial" w:hAnsi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3"/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vertAlign w:val="superscript"/>
          <w:lang w:eastAsia="es-CO"/>
        </w:rPr>
        <w:t xml:space="preserve"> 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>y (ii) tiene un nexo directo con otras garantías fundamentales como lo es el acceso a la información</w:t>
      </w:r>
      <w:r>
        <w:rPr>
          <w:rStyle w:val="FootnoteAnchor"/>
          <w:rFonts w:eastAsia="Times New Roman" w:cs="Arial" w:ascii="Arial" w:hAnsi="Arial"/>
          <w:iCs/>
          <w:sz w:val="18"/>
          <w:szCs w:val="18"/>
          <w:vertAlign w:val="superscript"/>
          <w:lang w:eastAsia="es-CO"/>
        </w:rPr>
        <w:footnoteReference w:id="4"/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>. Al respecto, la Corte Constitucional ha señalado:</w:t>
      </w:r>
    </w:p>
    <w:p>
      <w:pPr>
        <w:pStyle w:val="Normal"/>
        <w:ind w:left="540" w:right="558" w:hanging="0"/>
        <w:jc w:val="both"/>
        <w:rPr>
          <w:rFonts w:ascii="Arial" w:hAnsi="Arial" w:eastAsia="Times New Roman" w:cs="Arial"/>
          <w:i/>
          <w:i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 “</w:t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>Este derecho fundamental tiene nexo directo con el derecho de acceso a la información (artículo 74 CP), en la medida que los ciudadanos en ejercicio del derecho de petición, tienen la potestad de conocer la información sobre el proceder de las autoridades y/o particulares, de acuerdo a los parámetros establecidos por el legislador (…). [E]l derecho de petición es el género y el derecho a acceder a la información pública es una manifestación específica del mismo”</w:t>
      </w:r>
      <w:r>
        <w:rPr>
          <w:rStyle w:val="FootnoteAnchor"/>
          <w:rFonts w:eastAsia="Times New Roman" w:cs="Arial" w:ascii="Arial" w:hAnsi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5"/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. </w:t>
      </w:r>
    </w:p>
    <w:p>
      <w:pPr>
        <w:pStyle w:val="Normal"/>
        <w:jc w:val="both"/>
        <w:rPr>
          <w:rFonts w:ascii="Arial" w:hAnsi="Arial" w:eastAsia="Times New Roman" w:cs="Arial"/>
          <w:i/>
          <w:i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Con ese criterio, la Ley 1755 de 2015 y la jurisprudencia constitucional ha señalado que el núcleo esencial del derecho fundamental de petición es la resolución pronta y oportuna de la cuestión. </w:t>
      </w:r>
    </w:p>
    <w:p>
      <w:pPr>
        <w:pStyle w:val="Normal"/>
        <w:ind w:right="49" w:hanging="0"/>
        <w:jc w:val="both"/>
        <w:rPr>
          <w:rFonts w:ascii="Arial" w:hAnsi="Arial" w:eastAsia="Times New Roman" w:cs="Arial"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Teniendo en consideración el núcleo esencial de esta garantía </w:t>
      </w:r>
      <w:r>
        <w:rPr>
          <w:rFonts w:eastAsia="Times New Roman" w:cs="Arial" w:ascii="Arial" w:hAnsi="Arial"/>
          <w:i/>
          <w:color w:val="000000" w:themeColor="text1"/>
          <w:sz w:val="18"/>
          <w:szCs w:val="18"/>
          <w:lang w:eastAsia="es-CO"/>
        </w:rPr>
        <w:t>ius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 fundamental la Corte Constitucional ha advertido que la garantía real del derecho de petición radica en cabeza de la administración o el particular y, la obligación de este no cesa con la simple resolución del derecho de petición. En palabras del Tribunal: </w:t>
      </w:r>
    </w:p>
    <w:p>
      <w:pPr>
        <w:pStyle w:val="Normal"/>
        <w:ind w:left="540" w:right="558" w:hanging="0"/>
        <w:jc w:val="both"/>
        <w:rPr>
          <w:rFonts w:ascii="Arial" w:hAnsi="Arial" w:eastAsia="Times New Roman" w:cs="Arial"/>
          <w:i/>
          <w:i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 “</w:t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Es necesario además que dicha solución </w:t>
      </w:r>
      <w:r>
        <w:rPr>
          <w:rFonts w:eastAsia="Times New Roman" w:cs="Arial" w:ascii="Arial" w:hAnsi="Arial"/>
          <w:b/>
          <w:bCs/>
          <w:i/>
          <w:iCs/>
          <w:color w:val="000000" w:themeColor="text1"/>
          <w:sz w:val="18"/>
          <w:szCs w:val="18"/>
          <w:lang w:eastAsia="es-CO"/>
        </w:rPr>
        <w:t>remedie sin confusiones el fondo del asunto</w:t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; que este </w:t>
      </w:r>
      <w:r>
        <w:rPr>
          <w:rFonts w:eastAsia="Times New Roman" w:cs="Arial" w:ascii="Arial" w:hAnsi="Arial"/>
          <w:b/>
          <w:bCs/>
          <w:i/>
          <w:iCs/>
          <w:color w:val="000000" w:themeColor="text1"/>
          <w:sz w:val="18"/>
          <w:szCs w:val="18"/>
          <w:lang w:eastAsia="es-CO"/>
        </w:rPr>
        <w:t>dotada de claridad y congruencia entre lo pedido y lo resuelto</w:t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; e igualmente, que su </w:t>
      </w:r>
      <w:r>
        <w:rPr>
          <w:rFonts w:eastAsia="Times New Roman" w:cs="Arial" w:ascii="Arial" w:hAnsi="Arial"/>
          <w:b/>
          <w:bCs/>
          <w:i/>
          <w:iCs/>
          <w:color w:val="000000" w:themeColor="text1"/>
          <w:sz w:val="18"/>
          <w:szCs w:val="18"/>
          <w:lang w:eastAsia="es-CO"/>
        </w:rPr>
        <w:t>oportuna respuesta se ponga en conocimiento del solicitante</w:t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 xml:space="preserve">, sin que pueda tenerse como real, una contestación falta de constancia y que sólo sea conocida por la persona o entidad de quien se solicita la información” </w:t>
      </w:r>
      <w:r>
        <w:rPr>
          <w:rStyle w:val="FootnoteAnchor"/>
          <w:rFonts w:eastAsia="Times New Roman" w:cs="Arial" w:ascii="Arial" w:hAnsi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6"/>
      </w:r>
      <w:r>
        <w:rPr>
          <w:rFonts w:eastAsia="Times New Roman" w:cs="Arial" w:ascii="Arial" w:hAnsi="Arial"/>
          <w:i/>
          <w:iCs/>
          <w:color w:val="000000" w:themeColor="text1"/>
          <w:sz w:val="18"/>
          <w:szCs w:val="18"/>
          <w:lang w:eastAsia="es-CO"/>
        </w:rPr>
        <w:t>.</w:t>
      </w:r>
    </w:p>
    <w:p>
      <w:pPr>
        <w:pStyle w:val="Normal"/>
        <w:ind w:right="49" w:hanging="0"/>
        <w:jc w:val="both"/>
        <w:rPr>
          <w:rFonts w:ascii="Arial" w:hAnsi="Arial" w:eastAsia="Times New Roman" w:cs="Arial"/>
          <w:iCs/>
          <w:color w:val="000000" w:themeColor="text1"/>
          <w:sz w:val="18"/>
          <w:szCs w:val="18"/>
          <w:lang w:eastAsia="es-CO"/>
        </w:rPr>
      </w:pP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A la luz de lo expuesto, la efectividad y el respeto por el derecho de petición se encuentran supeditados a que la autoridad o el particular, emita una respuesta que abarque en forma sustancial y responda de manera </w:t>
      </w:r>
      <w:r>
        <w:rPr>
          <w:rFonts w:eastAsia="Times New Roman" w:cs="Arial" w:ascii="Arial" w:hAnsi="Arial"/>
          <w:b/>
          <w:bCs/>
          <w:iCs/>
          <w:color w:val="000000" w:themeColor="text1"/>
          <w:sz w:val="18"/>
          <w:szCs w:val="18"/>
          <w:lang w:eastAsia="es-CO"/>
        </w:rPr>
        <w:t>clara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, </w:t>
      </w:r>
      <w:r>
        <w:rPr>
          <w:rFonts w:eastAsia="Times New Roman" w:cs="Arial" w:ascii="Arial" w:hAnsi="Arial"/>
          <w:b/>
          <w:bCs/>
          <w:iCs/>
          <w:color w:val="000000" w:themeColor="text1"/>
          <w:sz w:val="18"/>
          <w:szCs w:val="18"/>
          <w:lang w:eastAsia="es-CO"/>
        </w:rPr>
        <w:t>congruente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, de </w:t>
      </w:r>
      <w:r>
        <w:rPr>
          <w:rFonts w:eastAsia="Times New Roman" w:cs="Arial" w:ascii="Arial" w:hAnsi="Arial"/>
          <w:b/>
          <w:bCs/>
          <w:iCs/>
          <w:color w:val="000000" w:themeColor="text1"/>
          <w:sz w:val="18"/>
          <w:szCs w:val="18"/>
          <w:lang w:eastAsia="es-CO"/>
        </w:rPr>
        <w:t>fondo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 y </w:t>
      </w:r>
      <w:r>
        <w:rPr>
          <w:rFonts w:eastAsia="Times New Roman" w:cs="Arial" w:ascii="Arial" w:hAnsi="Arial"/>
          <w:b/>
          <w:bCs/>
          <w:iCs/>
          <w:color w:val="000000" w:themeColor="text1"/>
          <w:sz w:val="18"/>
          <w:szCs w:val="18"/>
          <w:lang w:eastAsia="es-CO"/>
        </w:rPr>
        <w:t>oportuna</w:t>
      </w:r>
      <w:r>
        <w:rPr>
          <w:rFonts w:eastAsia="Times New Roman" w:cs="Arial" w:ascii="Arial" w:hAnsi="Arial"/>
          <w:iCs/>
          <w:color w:val="000000" w:themeColor="text1"/>
          <w:sz w:val="18"/>
          <w:szCs w:val="18"/>
          <w:lang w:eastAsia="es-CO"/>
        </w:rPr>
        <w:t xml:space="preserve"> la materia objeto de solicitud.</w:t>
      </w:r>
    </w:p>
    <w:p>
      <w:pPr>
        <w:pStyle w:val="Normal"/>
        <w:spacing w:lineRule="auto" w:line="240" w:before="0" w:after="0"/>
        <w:ind w:right="49" w:hanging="0"/>
        <w:jc w:val="center"/>
        <w:textAlignment w:val="baseline"/>
        <w:rPr>
          <w:rFonts w:ascii="Arial" w:hAnsi="Arial" w:eastAsia="Times New Roman" w:cs="Arial"/>
          <w:sz w:val="18"/>
          <w:szCs w:val="18"/>
          <w:lang w:val="es-ES_tradnl" w:eastAsia="es-CO"/>
        </w:rPr>
      </w:pPr>
      <w:r>
        <w:rPr>
          <w:rFonts w:eastAsia="Times New Roman" w:cs="Arial" w:ascii="Arial" w:hAnsi="Arial"/>
          <w:sz w:val="18"/>
          <w:szCs w:val="18"/>
          <w:lang w:val="es-ES_tradnl" w:eastAsia="es-CO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center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  <w:t>PRUEBAS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color w:val="000000"/>
          <w:sz w:val="18"/>
          <w:szCs w:val="18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Se tengan como tales las capturas de pantalla relacionadas en el cuerpo del presente escrito, así como también las obrantes en el expediente del presente proceso contravencional.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sz w:val="18"/>
          <w:szCs w:val="18"/>
        </w:rPr>
      </w:pPr>
      <w:r>
        <w:rPr>
          <w:rFonts w:eastAsia="Arial Narrow" w:cs="Arial" w:ascii="Arial" w:hAnsi="Arial"/>
          <w:sz w:val="18"/>
          <w:szCs w:val="18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center"/>
        <w:rPr>
          <w:rFonts w:ascii="Arial" w:hAnsi="Arial" w:eastAsia="Arial Narrow" w:cs="Arial"/>
          <w:b/>
          <w:b/>
          <w:sz w:val="18"/>
          <w:szCs w:val="18"/>
        </w:rPr>
      </w:pPr>
      <w:r>
        <w:rPr>
          <w:rFonts w:eastAsia="Arial Narrow" w:cs="Arial" w:ascii="Arial" w:hAnsi="Arial"/>
          <w:b/>
          <w:sz w:val="18"/>
          <w:szCs w:val="18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center"/>
        <w:rPr>
          <w:rFonts w:ascii="Arial" w:hAnsi="Arial" w:eastAsia="Arial Narrow" w:cs="Arial"/>
          <w:b/>
          <w:b/>
          <w:color w:val="000000"/>
          <w:sz w:val="18"/>
          <w:szCs w:val="18"/>
        </w:rPr>
      </w:pPr>
      <w:r>
        <w:rPr>
          <w:rFonts w:eastAsia="Arial Narrow" w:cs="Arial" w:ascii="Arial" w:hAnsi="Arial"/>
          <w:b/>
          <w:sz w:val="18"/>
          <w:szCs w:val="18"/>
        </w:rPr>
        <w:t>NOTIFICACIONES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La respuesta la recibiré al correo electrónico: 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pBdr/>
        <w:shd w:val="clear" w:color="auto" w:fill="FFFFFF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{{ ouremail }}</w:t>
      </w:r>
    </w:p>
    <w:p>
      <w:pPr>
        <w:pStyle w:val="Normal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cs="Arial" w:ascii="Arial" w:hAnsi="Arial"/>
          <w:iCs/>
          <w:sz w:val="18"/>
          <w:szCs w:val="18"/>
          <w:lang w:val="es-ES_tradnl"/>
        </w:rPr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  <w:t>No obstante, lo anterior, se aclara que esta dirección de correo electrónico es solo para recibir la respuesta a este derecho de petición y por lo tanto no está autorizada ninguna notificación judicial o administrativa.</w:t>
      </w:r>
    </w:p>
    <w:p>
      <w:pPr>
        <w:pStyle w:val="Normal"/>
        <w:pBdr/>
        <w:shd w:val="clear" w:color="auto" w:fill="FFFFFF"/>
        <w:spacing w:lineRule="auto" w:line="240" w:before="0" w:after="0"/>
        <w:jc w:val="both"/>
        <w:rPr>
          <w:rFonts w:ascii="Arial" w:hAnsi="Arial" w:eastAsia="Arial Narrow" w:cs="Arial"/>
          <w:color w:val="000000"/>
          <w:sz w:val="18"/>
          <w:szCs w:val="18"/>
        </w:rPr>
      </w:pPr>
      <w:r>
        <w:rPr>
          <w:rFonts w:eastAsia="Arial Narrow" w:cs="Arial" w:ascii="Arial" w:hAnsi="Arial"/>
          <w:color w:val="000000"/>
          <w:sz w:val="18"/>
          <w:szCs w:val="18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iCs/>
          <w:color w:val="000000" w:themeColor="text1"/>
          <w:sz w:val="18"/>
          <w:szCs w:val="18"/>
          <w:lang w:val="es-ES_tradnl"/>
        </w:rPr>
      </w:pPr>
      <w:r>
        <w:rPr>
          <w:rFonts w:cs="Arial" w:ascii="Arial" w:hAnsi="Arial"/>
          <w:b/>
          <w:bCs/>
          <w:iCs/>
          <w:color w:val="000000" w:themeColor="text1"/>
          <w:sz w:val="18"/>
          <w:szCs w:val="18"/>
          <w:lang w:val="es-ES_tradnl"/>
        </w:rPr>
        <w:t>ANEXOS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sz w:val="18"/>
          <w:szCs w:val="18"/>
          <w:lang w:val="es-ES_tradnl"/>
        </w:rPr>
      </w:pPr>
      <w:r>
        <w:rPr>
          <w:rFonts w:cs="Arial" w:ascii="Arial" w:hAnsi="Arial"/>
          <w:b/>
          <w:bCs/>
          <w:sz w:val="18"/>
          <w:szCs w:val="18"/>
          <w:lang w:val="es-ES_tradnl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>Poder.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>Certificado de existencia y representación legal de Disrupción al Derecho S.A.S.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>
        <w:rPr>
          <w:rFonts w:cs="Arial" w:ascii="Arial" w:hAnsi="Arial"/>
          <w:color w:val="FFC000" w:themeColor="accent4"/>
          <w:sz w:val="18"/>
          <w:szCs w:val="18"/>
          <w:lang w:val="es-ES_tradnl"/>
        </w:rPr>
        <w:t>{%p if client_type == ‘Persona Jurídica’ %}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 xml:space="preserve">Certificado de existencia y representación legal de {{ </w:t>
      </w:r>
      <w:r>
        <w:rPr>
          <w:rFonts w:cs="Arial" w:ascii="Arial" w:hAnsi="Arial"/>
          <w:b/>
          <w:bCs/>
          <w:iCs/>
          <w:color w:val="000000" w:themeColor="text1"/>
          <w:sz w:val="18"/>
          <w:szCs w:val="18"/>
        </w:rPr>
        <w:t xml:space="preserve">legal.name|upper </w:t>
      </w:r>
      <w:r>
        <w:rPr>
          <w:rFonts w:cs="Arial" w:ascii="Arial" w:hAnsi="Arial"/>
          <w:sz w:val="18"/>
          <w:szCs w:val="18"/>
          <w:lang w:val="es-ES_tradnl"/>
        </w:rPr>
        <w:t>}}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>
        <w:rPr>
          <w:rFonts w:cs="Arial" w:ascii="Arial" w:hAnsi="Arial"/>
          <w:color w:val="FFC000" w:themeColor="accent4"/>
          <w:sz w:val="18"/>
          <w:szCs w:val="18"/>
          <w:lang w:val="es-ES_tradnl"/>
        </w:rPr>
        <w:t>{%p endif %}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>Anexo: por medio del cual se expone el documento “no_asiste”, que prueba la no asistencia de la entidad a la audiencia.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</w:r>
      <w:bookmarkStart w:id="2" w:name="_Hlk62640605"/>
      <w:bookmarkStart w:id="3" w:name="_Hlk62640605"/>
      <w:bookmarkEnd w:id="3"/>
    </w:p>
    <w:p>
      <w:pPr>
        <w:pStyle w:val="TextBody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Atentamente,</w:t>
      </w:r>
    </w:p>
    <w:p>
      <w:pPr>
        <w:pStyle w:val="Normal"/>
        <w:spacing w:lineRule="auto" w:line="240" w:before="0" w:after="0"/>
        <w:ind w:left="426" w:hanging="0"/>
        <w:jc w:val="both"/>
        <w:rPr>
          <w:rFonts w:ascii="Arial" w:hAnsi="Arial" w:cs="Arial"/>
          <w:sz w:val="16"/>
          <w:szCs w:val="16"/>
          <w:lang w:val="es-ES_tradnl"/>
        </w:rPr>
      </w:pPr>
      <w:bookmarkStart w:id="4" w:name="_Hlk62981089"/>
      <w:bookmarkStart w:id="5" w:name="_Hlk62662346"/>
      <w:r>
        <w:rPr/>
        <w:drawing>
          <wp:inline distT="0" distB="0" distL="0" distR="0">
            <wp:extent cx="1166495" cy="523240"/>
            <wp:effectExtent l="0" t="0" r="0" b="0"/>
            <wp:docPr id="1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s-ES_tradnl"/>
        </w:rPr>
        <w:t>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iCs/>
          <w:color w:val="000000" w:themeColor="text1"/>
          <w:sz w:val="16"/>
          <w:szCs w:val="16"/>
          <w:lang w:val="es-ES_tradnl"/>
        </w:rPr>
        <w:t>Juan David Castilla Bahamón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iCs/>
          <w:color w:val="000000" w:themeColor="text1"/>
          <w:sz w:val="16"/>
          <w:szCs w:val="16"/>
          <w:lang w:val="es-ES_tradnl"/>
        </w:rPr>
      </w:pPr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s-ES_tradnl"/>
        </w:rPr>
        <w:t>Representante Legal</w:t>
      </w:r>
    </w:p>
    <w:p>
      <w:pPr>
        <w:pStyle w:val="Normal"/>
        <w:spacing w:lineRule="auto" w:line="240" w:before="0" w:after="0"/>
        <w:rPr>
          <w:sz w:val="21"/>
          <w:szCs w:val="21"/>
        </w:rPr>
      </w:pPr>
      <w:bookmarkStart w:id="6" w:name="_Hlk62981089"/>
      <w:bookmarkStart w:id="7" w:name="_Hlk62662346"/>
      <w:r>
        <w:rPr>
          <w:rFonts w:cs="Arial" w:ascii="Arial" w:hAnsi="Arial"/>
          <w:b/>
          <w:bCs/>
          <w:iCs/>
          <w:color w:val="000000" w:themeColor="text1"/>
          <w:sz w:val="16"/>
          <w:szCs w:val="16"/>
          <w:lang w:val="es-ES_tradnl"/>
        </w:rPr>
        <w:t>DISRUPCIÓN AL DERECHO S.A.S</w:t>
      </w:r>
      <w:bookmarkEnd w:id="6"/>
      <w:bookmarkEnd w:id="7"/>
    </w:p>
    <w:sectPr>
      <w:footnotePr>
        <w:numFmt w:val="decimal"/>
      </w:footnote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  <w:lang w:val="es-ES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ab/>
        <w:t xml:space="preserve">“Por medio de la cual se regula el Derecho Fundamental de Petición y se sustituye un título del Código de Procedimiento Administrativo y de lo Contencioso Administrativo”. </w:t>
      </w:r>
    </w:p>
  </w:footnote>
  <w:footnote w:id="3">
    <w:p>
      <w:pPr>
        <w:pStyle w:val="Footnote"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  <w:lang w:val="es-ES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ab/>
        <w:t xml:space="preserve">Corte Constitucional T-377 de 2000 M.P. Alejandro Martínez Caballero, T-054 de 2004 M.P. Marco Gerardo Monroy Cabra, T-149 de 2013 M.P. Luis Guillermo Guerrero Pérez y T-077 de 2018 M.P. Antonio José Lizarazo. </w:t>
      </w:r>
    </w:p>
  </w:footnote>
  <w:footnote w:id="4">
    <w:p>
      <w:pPr>
        <w:pStyle w:val="Footnote"/>
        <w:snapToGrid w:val="false"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  <w:lang w:val="es-ES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ab/>
        <w:t xml:space="preserve">Corte Constitucional. Sentencias C-951 de 2014. M.P. Martha Victoria Sáchica Méndez y T-487 de 2017 M.P. Alberto Rojas Ríos. </w:t>
      </w:r>
    </w:p>
  </w:footnote>
  <w:footnote w:id="5">
    <w:p>
      <w:pPr>
        <w:pStyle w:val="Footnote"/>
        <w:jc w:val="both"/>
        <w:rPr>
          <w:rFonts w:ascii="Calibri" w:hAnsi="Calibri" w:cs="Calibri" w:asciiTheme="minorHAnsi" w:cstheme="minorHAnsi" w:hAnsiTheme="minorHAnsi"/>
          <w:color w:val="000000" w:themeColor="text1"/>
          <w:sz w:val="18"/>
          <w:szCs w:val="18"/>
          <w:lang w:val="es-ES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 w:themeColor="text1"/>
          <w:sz w:val="18"/>
          <w:szCs w:val="18"/>
          <w:lang w:val="es-ES"/>
        </w:rPr>
        <w:tab/>
        <w:t xml:space="preserve">Corte Constitucional. Sentencias T-377 de 2000 M.P. Alejandro Martínez Caballero y C-274 de 2013 M.P. María Victoria Calle Correa. </w:t>
      </w:r>
    </w:p>
  </w:footnote>
  <w:footnote w:id="6">
    <w:p>
      <w:pPr>
        <w:pStyle w:val="Footnote"/>
        <w:jc w:val="both"/>
        <w:rPr>
          <w:rFonts w:ascii="Calibri" w:hAnsi="Calibri" w:cs="Calibri" w:asciiTheme="minorHAnsi" w:cstheme="minorHAnsi" w:hAnsiTheme="minorHAnsi"/>
          <w:sz w:val="18"/>
          <w:szCs w:val="18"/>
          <w:lang w:val="es-EC"/>
        </w:rPr>
      </w:pPr>
      <w:r>
        <w:rPr>
          <w:rStyle w:val="FootnoteCharacters"/>
        </w:rPr>
        <w:footnoteRef/>
      </w:r>
      <w:r>
        <w:rPr>
          <w:rFonts w:cs="Calibri" w:ascii="Calibri" w:hAnsi="Calibri" w:asciiTheme="minorHAnsi" w:cstheme="minorHAnsi" w:hAnsiTheme="minorHAnsi"/>
          <w:sz w:val="18"/>
          <w:szCs w:val="18"/>
          <w:lang w:val="es-CO"/>
        </w:rPr>
        <w:t xml:space="preserve"> </w:t>
      </w:r>
      <w:r>
        <w:rPr>
          <w:rFonts w:cs="Calibri" w:ascii="Calibri" w:hAnsi="Calibri" w:asciiTheme="minorHAnsi" w:cstheme="minorHAnsi" w:hAnsiTheme="minorHAnsi"/>
          <w:sz w:val="18"/>
          <w:szCs w:val="18"/>
          <w:lang w:val="es-EC"/>
        </w:rPr>
        <w:tab/>
        <w:t xml:space="preserve">Corte Constitucional. T-149 de 2013 M.P. Luis Guillermo Guerrero Pérez.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caps/>
        <w:dstrike w:val="false"/>
        <w:strike w:val="false"/>
        <w:vertAlign w:val="baseline"/>
        <w:position w:val="0"/>
        <w:sz w:val="18"/>
        <w:sz w:val="18"/>
        <w:i w:val="false"/>
        <w:u w:val="none"/>
        <w:b/>
        <w:szCs w:val="18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caps/>
        <w:dstrike w:val="false"/>
        <w:strike w:val="false"/>
        <w:vertAlign w:val="baseline"/>
        <w:position w:val="0"/>
        <w:sz w:val="18"/>
        <w:sz w:val="18"/>
        <w:i w:val="false"/>
        <w:u w:val="none"/>
        <w:b/>
        <w:szCs w:val="18"/>
        <w:bCs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38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link w:val="Ttulo1Car"/>
    <w:uiPriority w:val="1"/>
    <w:qFormat/>
    <w:rsid w:val="001d4040"/>
    <w:pPr>
      <w:widowControl w:val="false"/>
      <w:spacing w:lineRule="auto" w:line="240" w:before="0" w:after="0"/>
      <w:ind w:left="680" w:hanging="0"/>
      <w:outlineLvl w:val="0"/>
    </w:pPr>
    <w:rPr>
      <w:rFonts w:ascii="Arial" w:hAnsi="Arial" w:eastAsia="Arial" w:cs="Arial"/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6338e"/>
    <w:rPr>
      <w:b/>
      <w:bCs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338e"/>
    <w:rPr/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26338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6338e"/>
    <w:rPr>
      <w:sz w:val="22"/>
      <w:szCs w:val="22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6338e"/>
    <w:rPr>
      <w:sz w:val="22"/>
      <w:szCs w:val="22"/>
      <w:lang w:val="es-ES"/>
    </w:rPr>
  </w:style>
  <w:style w:type="character" w:styleId="InternetLink">
    <w:name w:val="Hyperlink"/>
    <w:basedOn w:val="DefaultParagraphFont"/>
    <w:uiPriority w:val="99"/>
    <w:unhideWhenUsed/>
    <w:rsid w:val="0026338e"/>
    <w:rPr>
      <w:color w:val="0563C1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1"/>
    <w:qFormat/>
    <w:rsid w:val="001d4040"/>
    <w:rPr>
      <w:rFonts w:ascii="Arial" w:hAnsi="Arial" w:eastAsia="Arial" w:cs="Arial"/>
      <w:b/>
      <w:bCs/>
      <w:sz w:val="18"/>
      <w:szCs w:val="18"/>
      <w:lang w:val="es-ES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1d4040"/>
    <w:rPr>
      <w:rFonts w:ascii="Arial MT" w:hAnsi="Arial MT" w:eastAsia="Arial MT" w:cs="Arial MT"/>
      <w:sz w:val="18"/>
      <w:szCs w:val="18"/>
      <w:lang w:val="es-ES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1d4040"/>
    <w:pPr>
      <w:widowControl w:val="false"/>
      <w:spacing w:lineRule="auto" w:line="240" w:before="0" w:after="0"/>
    </w:pPr>
    <w:rPr>
      <w:rFonts w:ascii="Arial MT" w:hAnsi="Arial MT" w:eastAsia="Arial MT" w:cs="Arial MT"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2633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26338e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Footnote">
    <w:name w:val="Footnote Text"/>
    <w:basedOn w:val="Normal"/>
    <w:link w:val="TextonotapieCar"/>
    <w:uiPriority w:val="99"/>
    <w:semiHidden/>
    <w:unhideWhenUsed/>
    <w:rsid w:val="0026338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38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6338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FCA14-B19C-496F-9096-B21BF56A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LibreOffice/6.4.7.2$Linux_X86_64 LibreOffice_project/40$Build-2</Application>
  <Pages>3</Pages>
  <Words>917</Words>
  <Characters>5095</Characters>
  <CharactersWithSpaces>5988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2022-12-27T22:09:00Z</dcterms:created>
  <dc:creator>juan bahamon</dc:creator>
  <dc:description/>
  <dc:language>en-US</dc:language>
  <cp:lastModifiedBy/>
  <dcterms:modified xsi:type="dcterms:W3CDTF">2023-03-24T09:50:50Z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