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6.764402389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591796875" w:line="246.73215866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22232425262728293031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372802734375" w:line="246.764402389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32333435363738394041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591796875" w:line="235.2449655532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139999389648438"/>
          <w:szCs w:val="16.139999389648438"/>
          <w:u w:val="none"/>
          <w:shd w:fill="auto" w:val="clear"/>
          <w:vertAlign w:val="baseline"/>
          <w:rtl w:val="0"/>
        </w:rPr>
        <w:t xml:space="preserve">424344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Switch 24P Cat5e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VP 50P Cat3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160003662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VP 50P Cat3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160003662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PP 48P Cat5e Blue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PP 48P Cat5e Blue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PP 48P Cat6 Red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91339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PP 48P Cat6 Red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DIO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Organizador de cabos Tampa cega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572265625" w:line="224.240241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PP descarregado 24P Cat6a Tampa cega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Tampa cega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784896850586"/>
          <w:szCs w:val="16.151784896850586"/>
          <w:u w:val="none"/>
          <w:shd w:fill="auto" w:val="clear"/>
          <w:vertAlign w:val="baseline"/>
          <w:rtl w:val="0"/>
        </w:rPr>
        <w:t xml:space="preserve">Barra aterramento</w:t>
      </w:r>
    </w:p>
    <w:sectPr>
      <w:pgSz w:h="16820" w:w="11880" w:orient="portrait"/>
      <w:pgMar w:bottom="6525.0299072265625" w:top="1492.16552734375" w:left="2624.0512084960938" w:right="4389.251708984375" w:header="0" w:footer="720"/>
      <w:pgNumType w:start="1"/>
      <w:cols w:equalWidth="0" w:num="2">
        <w:col w:space="0" w:w="2440"/>
        <w:col w:space="0" w:w="2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