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9B33" w14:textId="77777777" w:rsidR="00CD07E0" w:rsidRPr="008B335E" w:rsidRDefault="00CD07E0">
      <w:pPr>
        <w:spacing w:after="560"/>
        <w:rPr>
          <w:rFonts w:cs="Arial"/>
          <w:color w:val="000000" w:themeColor="text1"/>
        </w:rPr>
      </w:pPr>
    </w:p>
    <w:p w14:paraId="3C00E8B7" w14:textId="77777777" w:rsidR="00CD07E0" w:rsidRDefault="00FD19E2">
      <w:pPr>
        <w:spacing w:after="40"/>
        <w:jc w:val="center"/>
        <w:rPr>
          <w:rFonts w:cs="Arial"/>
          <w:b/>
          <w:color w:val="000000" w:themeColor="text1"/>
          <w:sz w:val="56"/>
        </w:rPr>
      </w:pPr>
      <w:proofErr w:type="spellStart"/>
      <w:r w:rsidRPr="008B335E">
        <w:rPr>
          <w:rFonts w:cs="Arial"/>
          <w:b/>
          <w:color w:val="000000" w:themeColor="text1"/>
          <w:sz w:val="56"/>
        </w:rPr>
        <w:t>IHMInvest</w:t>
      </w:r>
      <w:proofErr w:type="spellEnd"/>
    </w:p>
    <w:p w14:paraId="62289E4E" w14:textId="77777777" w:rsidR="008B335E" w:rsidRDefault="008B335E">
      <w:pPr>
        <w:spacing w:after="40"/>
        <w:jc w:val="center"/>
        <w:rPr>
          <w:rFonts w:cs="Arial"/>
          <w:b/>
          <w:color w:val="000000" w:themeColor="text1"/>
          <w:sz w:val="56"/>
        </w:rPr>
      </w:pPr>
    </w:p>
    <w:p w14:paraId="36F27363" w14:textId="77777777" w:rsidR="008B335E" w:rsidRPr="008B335E" w:rsidRDefault="008B335E">
      <w:pPr>
        <w:spacing w:after="40"/>
        <w:jc w:val="center"/>
        <w:rPr>
          <w:rFonts w:cs="Arial"/>
          <w:color w:val="000000" w:themeColor="text1"/>
        </w:rPr>
      </w:pPr>
    </w:p>
    <w:p w14:paraId="0965501E" w14:textId="77777777" w:rsidR="008B335E" w:rsidRDefault="008B335E">
      <w:pPr>
        <w:spacing w:after="160"/>
        <w:jc w:val="center"/>
        <w:rPr>
          <w:rFonts w:cs="Arial"/>
          <w:b/>
          <w:color w:val="000000" w:themeColor="text1"/>
          <w:sz w:val="38"/>
        </w:rPr>
      </w:pPr>
    </w:p>
    <w:p w14:paraId="013545FA" w14:textId="77777777" w:rsidR="008B335E" w:rsidRPr="008B335E" w:rsidRDefault="008B335E">
      <w:pPr>
        <w:spacing w:after="160"/>
        <w:jc w:val="center"/>
        <w:rPr>
          <w:rFonts w:cs="Arial"/>
          <w:color w:val="000000" w:themeColor="text1"/>
        </w:rPr>
      </w:pPr>
    </w:p>
    <w:p w14:paraId="2FBC2B02" w14:textId="1A951073" w:rsidR="008B335E" w:rsidRPr="008B335E" w:rsidRDefault="00FD19E2">
      <w:pPr>
        <w:spacing w:after="60"/>
        <w:jc w:val="center"/>
        <w:rPr>
          <w:rFonts w:cs="Arial"/>
          <w:color w:val="000000" w:themeColor="text1"/>
          <w:sz w:val="26"/>
        </w:rPr>
      </w:pPr>
      <w:proofErr w:type="spellStart"/>
      <w:r w:rsidRPr="008B335E">
        <w:rPr>
          <w:rFonts w:cs="Arial"/>
          <w:color w:val="000000" w:themeColor="text1"/>
          <w:sz w:val="26"/>
        </w:rPr>
        <w:t>Ecossistema</w:t>
      </w:r>
      <w:proofErr w:type="spellEnd"/>
      <w:r w:rsidRPr="008B335E">
        <w:rPr>
          <w:rFonts w:cs="Arial"/>
          <w:color w:val="000000" w:themeColor="text1"/>
          <w:sz w:val="26"/>
        </w:rPr>
        <w:t xml:space="preserve"> SaaS </w:t>
      </w:r>
      <w:proofErr w:type="spellStart"/>
      <w:r w:rsidRPr="008B335E">
        <w:rPr>
          <w:rFonts w:cs="Arial"/>
          <w:color w:val="000000" w:themeColor="text1"/>
          <w:sz w:val="26"/>
        </w:rPr>
        <w:t>Financeiro</w:t>
      </w:r>
      <w:proofErr w:type="spellEnd"/>
      <w:r w:rsidRPr="008B335E">
        <w:rPr>
          <w:rFonts w:cs="Arial"/>
          <w:color w:val="000000" w:themeColor="text1"/>
          <w:sz w:val="26"/>
        </w:rPr>
        <w:t xml:space="preserve"> </w:t>
      </w:r>
      <w:proofErr w:type="spellStart"/>
      <w:r w:rsidRPr="008B335E">
        <w:rPr>
          <w:rFonts w:cs="Arial"/>
          <w:color w:val="000000" w:themeColor="text1"/>
          <w:sz w:val="26"/>
        </w:rPr>
        <w:t>Multicloud</w:t>
      </w:r>
      <w:proofErr w:type="spellEnd"/>
    </w:p>
    <w:p w14:paraId="2847CFB6" w14:textId="77777777" w:rsidR="008B335E" w:rsidRPr="008B335E" w:rsidRDefault="008B335E">
      <w:pPr>
        <w:spacing w:after="60"/>
        <w:jc w:val="center"/>
        <w:rPr>
          <w:rFonts w:cs="Arial"/>
          <w:color w:val="000000" w:themeColor="text1"/>
        </w:rPr>
      </w:pPr>
    </w:p>
    <w:p w14:paraId="1A65DD2F" w14:textId="41587D26" w:rsidR="00CD07E0" w:rsidRPr="008B335E" w:rsidRDefault="00FD19E2" w:rsidP="008B335E">
      <w:pPr>
        <w:spacing w:after="400"/>
        <w:jc w:val="center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AWS </w:t>
      </w:r>
      <w:proofErr w:type="gramStart"/>
      <w:r w:rsidRPr="008B335E">
        <w:rPr>
          <w:rFonts w:cs="Arial"/>
          <w:color w:val="000000" w:themeColor="text1"/>
        </w:rPr>
        <w:t>Lambda  |</w:t>
      </w:r>
      <w:proofErr w:type="gramEnd"/>
      <w:r w:rsidRPr="008B335E">
        <w:rPr>
          <w:rFonts w:cs="Arial"/>
          <w:color w:val="000000" w:themeColor="text1"/>
        </w:rPr>
        <w:t xml:space="preserve">  Microsoft Azure </w:t>
      </w:r>
      <w:proofErr w:type="gramStart"/>
      <w:r w:rsidRPr="008B335E">
        <w:rPr>
          <w:rFonts w:cs="Arial"/>
          <w:color w:val="000000" w:themeColor="text1"/>
        </w:rPr>
        <w:t>Functions  |</w:t>
      </w:r>
      <w:proofErr w:type="gramEnd"/>
      <w:r w:rsidRPr="008B335E">
        <w:rPr>
          <w:rFonts w:cs="Arial"/>
          <w:color w:val="000000" w:themeColor="text1"/>
        </w:rPr>
        <w:t xml:space="preserve">  Google Cloud Functions</w:t>
      </w:r>
    </w:p>
    <w:p w14:paraId="50E32359" w14:textId="77777777" w:rsidR="00CD07E0" w:rsidRDefault="00FD19E2">
      <w:pPr>
        <w:spacing w:after="80"/>
        <w:jc w:val="center"/>
        <w:rPr>
          <w:rFonts w:cs="Arial"/>
          <w:b/>
          <w:color w:val="000000" w:themeColor="text1"/>
          <w:sz w:val="22"/>
        </w:rPr>
      </w:pPr>
      <w:r w:rsidRPr="008B335E">
        <w:rPr>
          <w:rFonts w:cs="Arial"/>
          <w:b/>
          <w:color w:val="000000" w:themeColor="text1"/>
          <w:sz w:val="22"/>
        </w:rPr>
        <w:t xml:space="preserve">Grupo A — </w:t>
      </w:r>
      <w:proofErr w:type="spellStart"/>
      <w:r w:rsidRPr="008B335E">
        <w:rPr>
          <w:rFonts w:cs="Arial"/>
          <w:b/>
          <w:color w:val="000000" w:themeColor="text1"/>
          <w:sz w:val="22"/>
        </w:rPr>
        <w:t>Análise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e </w:t>
      </w:r>
      <w:proofErr w:type="spellStart"/>
      <w:r w:rsidRPr="008B335E">
        <w:rPr>
          <w:rFonts w:cs="Arial"/>
          <w:b/>
          <w:color w:val="000000" w:themeColor="text1"/>
          <w:sz w:val="22"/>
        </w:rPr>
        <w:t>projeção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de </w:t>
      </w:r>
      <w:proofErr w:type="spellStart"/>
      <w:r w:rsidRPr="008B335E">
        <w:rPr>
          <w:rFonts w:cs="Arial"/>
          <w:b/>
          <w:color w:val="000000" w:themeColor="text1"/>
          <w:sz w:val="22"/>
        </w:rPr>
        <w:t>investimentos</w:t>
      </w:r>
      <w:proofErr w:type="spellEnd"/>
    </w:p>
    <w:p w14:paraId="707DB982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5D52259F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17586ED7" w14:textId="77777777" w:rsidR="008B335E" w:rsidRP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7D29D102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4CFEDEA" w14:textId="2E4A988C" w:rsidR="00CD07E0" w:rsidRDefault="00FD19E2">
      <w:pPr>
        <w:spacing w:after="80"/>
        <w:jc w:val="center"/>
        <w:rPr>
          <w:rFonts w:cs="Arial"/>
          <w:color w:val="000000" w:themeColor="text1"/>
          <w:sz w:val="18"/>
        </w:rPr>
      </w:pPr>
      <w:proofErr w:type="spellStart"/>
      <w:r w:rsidRPr="008B335E">
        <w:rPr>
          <w:rFonts w:cs="Arial"/>
          <w:color w:val="000000" w:themeColor="text1"/>
          <w:sz w:val="18"/>
        </w:rPr>
        <w:t>Repositório</w:t>
      </w:r>
      <w:proofErr w:type="spellEnd"/>
      <w:r w:rsidRPr="008B335E">
        <w:rPr>
          <w:rFonts w:cs="Arial"/>
          <w:color w:val="000000" w:themeColor="text1"/>
          <w:sz w:val="18"/>
        </w:rPr>
        <w:t xml:space="preserve">: </w:t>
      </w:r>
      <w:hyperlink r:id="rId8" w:history="1">
        <w:r w:rsidR="00CD07E0" w:rsidRPr="008B335E">
          <w:rPr>
            <w:rStyle w:val="Hyperlink"/>
            <w:rFonts w:cs="Arial"/>
            <w:sz w:val="18"/>
          </w:rPr>
          <w:t>github.com/Pedro-Cavenaghi/</w:t>
        </w:r>
        <w:proofErr w:type="spellStart"/>
        <w:r w:rsidR="00CD07E0" w:rsidRPr="008B335E">
          <w:rPr>
            <w:rStyle w:val="Hyperlink"/>
            <w:rFonts w:cs="Arial"/>
            <w:sz w:val="18"/>
          </w:rPr>
          <w:t>Saasmulticloud</w:t>
        </w:r>
        <w:proofErr w:type="spellEnd"/>
      </w:hyperlink>
    </w:p>
    <w:p w14:paraId="705DE166" w14:textId="77777777" w:rsidR="008B335E" w:rsidRDefault="008B335E">
      <w:pPr>
        <w:spacing w:after="80"/>
        <w:jc w:val="center"/>
        <w:rPr>
          <w:rFonts w:cs="Arial"/>
          <w:color w:val="000000" w:themeColor="text1"/>
          <w:sz w:val="18"/>
        </w:rPr>
      </w:pPr>
    </w:p>
    <w:p w14:paraId="73EB5274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6F4CC0A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C792683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81A9A89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45D42F3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62CBC4D" w14:textId="310A54F1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Fe</w:t>
      </w:r>
      <w:r w:rsidR="007539FD">
        <w:rPr>
          <w:rFonts w:eastAsia="Arial Black" w:cs="Arial"/>
          <w:b/>
          <w:bCs/>
          <w:sz w:val="24"/>
          <w:szCs w:val="24"/>
        </w:rPr>
        <w:t>l</w:t>
      </w:r>
      <w:r w:rsidRPr="008B335E">
        <w:rPr>
          <w:rFonts w:eastAsia="Arial Black" w:cs="Arial"/>
          <w:b/>
          <w:bCs/>
          <w:sz w:val="24"/>
          <w:szCs w:val="24"/>
        </w:rPr>
        <w:t>lipe Eduardo Franco</w:t>
      </w:r>
    </w:p>
    <w:p w14:paraId="53300A08" w14:textId="3D8C2BE5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João Pedro Baradelli Pavan</w:t>
      </w:r>
    </w:p>
    <w:p w14:paraId="74FDB137" w14:textId="5F6DC5EE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 xml:space="preserve">João Luís </w:t>
      </w:r>
      <w:proofErr w:type="gramStart"/>
      <w:r w:rsidRPr="008B335E">
        <w:rPr>
          <w:rFonts w:eastAsia="Arial Black" w:cs="Arial"/>
          <w:b/>
          <w:bCs/>
          <w:sz w:val="24"/>
          <w:szCs w:val="24"/>
        </w:rPr>
        <w:t>Da</w:t>
      </w:r>
      <w:proofErr w:type="gramEnd"/>
      <w:r w:rsidRPr="008B335E">
        <w:rPr>
          <w:rFonts w:eastAsia="Arial Black" w:cs="Arial"/>
          <w:b/>
          <w:bCs/>
          <w:sz w:val="24"/>
          <w:szCs w:val="24"/>
        </w:rPr>
        <w:t xml:space="preserve"> Silva</w:t>
      </w:r>
    </w:p>
    <w:p w14:paraId="438482CA" w14:textId="2488FEC6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Pedro Henrique Cavenaghi Dos Santos</w:t>
      </w:r>
    </w:p>
    <w:p w14:paraId="4D9A6A4E" w14:textId="19B02CF2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Samuel Santos Oliveira</w:t>
      </w:r>
    </w:p>
    <w:p w14:paraId="72E6109D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2F47B0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48BB7A6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B292F1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048A377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D0C4BD6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7B1640B9" w14:textId="77777777" w:rsidR="008B335E" w:rsidRPr="008B335E" w:rsidRDefault="008B335E">
      <w:pPr>
        <w:jc w:val="center"/>
        <w:rPr>
          <w:rFonts w:cs="Arial"/>
          <w:color w:val="000000" w:themeColor="text1"/>
          <w:sz w:val="18"/>
        </w:rPr>
      </w:pPr>
    </w:p>
    <w:p w14:paraId="27E70905" w14:textId="16B903CD" w:rsidR="00CD07E0" w:rsidRPr="008B335E" w:rsidRDefault="00FD19E2">
      <w:pPr>
        <w:jc w:val="center"/>
        <w:rPr>
          <w:rFonts w:cs="Arial"/>
          <w:b/>
          <w:bCs/>
          <w:color w:val="000000" w:themeColor="text1"/>
          <w:sz w:val="22"/>
          <w:szCs w:val="24"/>
        </w:rPr>
      </w:pPr>
      <w:r w:rsidRPr="008B335E">
        <w:rPr>
          <w:rFonts w:cs="Arial"/>
          <w:b/>
          <w:bCs/>
          <w:color w:val="000000" w:themeColor="text1"/>
          <w:szCs w:val="24"/>
        </w:rPr>
        <w:t xml:space="preserve">26 de </w:t>
      </w:r>
      <w:proofErr w:type="spellStart"/>
      <w:r w:rsidRPr="008B335E">
        <w:rPr>
          <w:rFonts w:cs="Arial"/>
          <w:b/>
          <w:bCs/>
          <w:color w:val="000000" w:themeColor="text1"/>
          <w:szCs w:val="24"/>
        </w:rPr>
        <w:t>outubro</w:t>
      </w:r>
      <w:proofErr w:type="spellEnd"/>
      <w:r w:rsidRPr="008B335E">
        <w:rPr>
          <w:rFonts w:cs="Arial"/>
          <w:b/>
          <w:bCs/>
          <w:color w:val="000000" w:themeColor="text1"/>
          <w:szCs w:val="24"/>
        </w:rPr>
        <w:t xml:space="preserve"> de 2026</w:t>
      </w:r>
    </w:p>
    <w:p w14:paraId="5CD78318" w14:textId="45EA52F9" w:rsidR="00CD07E0" w:rsidRPr="008B335E" w:rsidRDefault="00FD19E2" w:rsidP="00025787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  <w:r w:rsidR="00E965BB">
        <w:rPr>
          <w:rFonts w:cs="Arial"/>
          <w:b/>
          <w:color w:val="000000" w:themeColor="text1"/>
          <w:sz w:val="28"/>
        </w:rPr>
        <w:lastRenderedPageBreak/>
        <w:t>1.</w:t>
      </w:r>
      <w:r w:rsidRPr="008B335E">
        <w:rPr>
          <w:rFonts w:cs="Arial"/>
          <w:b/>
          <w:color w:val="000000" w:themeColor="text1"/>
          <w:sz w:val="28"/>
        </w:rPr>
        <w:t xml:space="preserve"> Arquitetura da solução</w:t>
      </w:r>
    </w:p>
    <w:p w14:paraId="52CD10E6" w14:textId="77777777" w:rsidR="00CD07E0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O frontend é responsável por receber os dados, validar os campos, disparar as requisições, medir a latência e consolidar as respostas. Cada provedor executa uma responsabilidade específica. O dashboard mantém os módulos independentes para que a </w:t>
      </w:r>
      <w:proofErr w:type="spellStart"/>
      <w:r w:rsidRPr="008B335E">
        <w:rPr>
          <w:rFonts w:cs="Arial"/>
          <w:color w:val="000000" w:themeColor="text1"/>
        </w:rPr>
        <w:t>falha</w:t>
      </w:r>
      <w:proofErr w:type="spellEnd"/>
      <w:r w:rsidRPr="008B335E">
        <w:rPr>
          <w:rFonts w:cs="Arial"/>
          <w:color w:val="000000" w:themeColor="text1"/>
        </w:rPr>
        <w:t xml:space="preserve"> de um </w:t>
      </w:r>
      <w:proofErr w:type="spellStart"/>
      <w:r w:rsidRPr="008B335E">
        <w:rPr>
          <w:rFonts w:cs="Arial"/>
          <w:color w:val="000000" w:themeColor="text1"/>
        </w:rPr>
        <w:t>serviço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não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impeça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gramStart"/>
      <w:r w:rsidRPr="008B335E">
        <w:rPr>
          <w:rFonts w:cs="Arial"/>
          <w:color w:val="000000" w:themeColor="text1"/>
        </w:rPr>
        <w:t>a</w:t>
      </w:r>
      <w:proofErr w:type="gram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apresentação</w:t>
      </w:r>
      <w:proofErr w:type="spellEnd"/>
      <w:r w:rsidRPr="008B335E">
        <w:rPr>
          <w:rFonts w:cs="Arial"/>
          <w:color w:val="000000" w:themeColor="text1"/>
        </w:rPr>
        <w:t xml:space="preserve"> dos </w:t>
      </w:r>
      <w:proofErr w:type="spellStart"/>
      <w:r w:rsidRPr="008B335E">
        <w:rPr>
          <w:rFonts w:cs="Arial"/>
          <w:color w:val="000000" w:themeColor="text1"/>
        </w:rPr>
        <w:t>resultados</w:t>
      </w:r>
      <w:proofErr w:type="spellEnd"/>
      <w:r w:rsidRPr="008B335E">
        <w:rPr>
          <w:rFonts w:cs="Arial"/>
          <w:color w:val="000000" w:themeColor="text1"/>
        </w:rPr>
        <w:t xml:space="preserve"> dos </w:t>
      </w:r>
      <w:proofErr w:type="spellStart"/>
      <w:r w:rsidRPr="008B335E">
        <w:rPr>
          <w:rFonts w:cs="Arial"/>
          <w:color w:val="000000" w:themeColor="text1"/>
        </w:rPr>
        <w:t>demais</w:t>
      </w:r>
      <w:proofErr w:type="spellEnd"/>
      <w:r w:rsidRPr="008B335E">
        <w:rPr>
          <w:rFonts w:cs="Arial"/>
          <w:color w:val="000000" w:themeColor="text1"/>
        </w:rPr>
        <w:t>.</w:t>
      </w:r>
    </w:p>
    <w:p w14:paraId="73FF9EAD" w14:textId="77777777" w:rsidR="00025787" w:rsidRPr="008B335E" w:rsidRDefault="00025787">
      <w:pPr>
        <w:rPr>
          <w:rFonts w:cs="Arial"/>
          <w:color w:val="000000" w:themeColor="text1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BB9D743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200E37F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1 — USUÁRIO</w:t>
            </w:r>
          </w:p>
          <w:p w14:paraId="5C852A6F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Acessa a IHMInvest pelo navegador e informa valor inicial, aporte mensal, taxa de juros anual, prazo em meses e inflação estimada.</w:t>
            </w:r>
          </w:p>
        </w:tc>
      </w:tr>
    </w:tbl>
    <w:p w14:paraId="2384179C" w14:textId="77777777" w:rsidR="00CD07E0" w:rsidRPr="008B335E" w:rsidRDefault="00FD19E2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7BB37E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1D8A6F4D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2 — FRONTEND SPA / IHMInvest</w:t>
            </w:r>
          </w:p>
          <w:p w14:paraId="62DC9637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Valida os dados e envia requisições POST com JSON para as três funções. Exibe os estados, os resultados e a latência de cada provedor.</w:t>
            </w:r>
          </w:p>
        </w:tc>
      </w:tr>
    </w:tbl>
    <w:p w14:paraId="7BA1B7BF" w14:textId="77777777" w:rsidR="00CD07E0" w:rsidRPr="008B335E" w:rsidRDefault="00FD19E2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D07E0" w:rsidRPr="008B335E" w14:paraId="4A36A023" w14:textId="77777777">
        <w:trPr>
          <w:jc w:val="center"/>
        </w:trPr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06130577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3A — AWS LAMBDA</w:t>
            </w:r>
          </w:p>
          <w:p w14:paraId="22C5491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Cálculo do investimento</w:t>
            </w:r>
          </w:p>
          <w:p w14:paraId="05912324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 montante projetado, total investido e rendimento.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BFDC94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3B — AZURE FUNCTIONS</w:t>
            </w:r>
          </w:p>
          <w:p w14:paraId="421ED71F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Conversão cambial</w:t>
            </w:r>
          </w:p>
          <w:p w14:paraId="342F9A8D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Converte o montante em reais para USD e EUR.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148E858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3C — GOOGLE CLOUD</w:t>
            </w:r>
          </w:p>
          <w:p w14:paraId="050638A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Poder de compra</w:t>
            </w:r>
          </w:p>
          <w:p w14:paraId="5AB76F53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Calcula o valor real estimado após o efeito da inflação.</w:t>
            </w:r>
          </w:p>
        </w:tc>
      </w:tr>
    </w:tbl>
    <w:p w14:paraId="2CAA4884" w14:textId="77777777" w:rsidR="00CD07E0" w:rsidRPr="008B335E" w:rsidRDefault="00FD19E2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35380190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AF6F1"/>
            <w:vAlign w:val="center"/>
          </w:tcPr>
          <w:p w14:paraId="1BACB5B7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4 — DASHBOARD CONSOLIDADO</w:t>
            </w:r>
          </w:p>
          <w:p w14:paraId="4BC3E514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Apresenta os resultados financeiros, identifica o provedor de cada módulo e informa o estado e a latência da requisição. Quando um endpoint falha ou excede o tempo limite, o módulo apresenta fallback sem bloquear os demais.</w:t>
            </w:r>
          </w:p>
        </w:tc>
      </w:tr>
    </w:tbl>
    <w:p w14:paraId="40A0CE39" w14:textId="1E99D566" w:rsidR="00CD07E0" w:rsidRDefault="00CD07E0">
      <w:pPr>
        <w:spacing w:after="0"/>
        <w:jc w:val="center"/>
        <w:rPr>
          <w:rFonts w:cs="Arial"/>
          <w:b/>
          <w:color w:val="000000" w:themeColor="text1"/>
          <w:sz w:val="22"/>
        </w:rPr>
      </w:pPr>
    </w:p>
    <w:p w14:paraId="22383F80" w14:textId="77777777" w:rsidR="008B335E" w:rsidRPr="008B335E" w:rsidRDefault="008B335E">
      <w:pPr>
        <w:spacing w:after="0"/>
        <w:jc w:val="center"/>
        <w:rPr>
          <w:rFonts w:cs="Arial"/>
          <w:color w:val="000000" w:themeColor="text1"/>
        </w:rPr>
      </w:pPr>
    </w:p>
    <w:p w14:paraId="1A91DF86" w14:textId="6B22F5DC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2</w:t>
      </w:r>
      <w:r w:rsidRPr="008B335E">
        <w:rPr>
          <w:rFonts w:cs="Arial"/>
          <w:b/>
          <w:color w:val="000000" w:themeColor="text1"/>
          <w:sz w:val="28"/>
        </w:rPr>
        <w:t>. Especificação dos endpoints</w:t>
      </w:r>
    </w:p>
    <w:p w14:paraId="6938CB61" w14:textId="77777777" w:rsidR="00CD07E0" w:rsidRDefault="00FD19E2" w:rsidP="00025787">
      <w:pPr>
        <w:jc w:val="both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As três funções expõem endpoints HTTP do método POST e recebem dados JSON. As respostas de sucesso usam HTTP 200; entradas inválidas devem retornar HTTP 400 e falhas internas, HTTP 500. </w:t>
      </w:r>
      <w:proofErr w:type="spellStart"/>
      <w:r w:rsidRPr="008B335E">
        <w:rPr>
          <w:rFonts w:cs="Arial"/>
          <w:color w:val="000000" w:themeColor="text1"/>
        </w:rPr>
        <w:t>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exemplos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abaixo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definem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contratos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utilizados</w:t>
      </w:r>
      <w:proofErr w:type="spellEnd"/>
      <w:r w:rsidRPr="008B335E">
        <w:rPr>
          <w:rFonts w:cs="Arial"/>
          <w:color w:val="000000" w:themeColor="text1"/>
        </w:rPr>
        <w:t xml:space="preserve"> pela </w:t>
      </w:r>
      <w:proofErr w:type="spellStart"/>
      <w:r w:rsidRPr="008B335E">
        <w:rPr>
          <w:rFonts w:cs="Arial"/>
          <w:color w:val="000000" w:themeColor="text1"/>
        </w:rPr>
        <w:t>aplicação</w:t>
      </w:r>
      <w:proofErr w:type="spellEnd"/>
      <w:r w:rsidRPr="008B335E">
        <w:rPr>
          <w:rFonts w:cs="Arial"/>
          <w:color w:val="000000" w:themeColor="text1"/>
        </w:rPr>
        <w:t>.</w:t>
      </w:r>
    </w:p>
    <w:p w14:paraId="42DF2ED1" w14:textId="193BAB21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.1 AWS Lambda — cálculo de investimento</w:t>
      </w:r>
    </w:p>
    <w:p w14:paraId="0713D4F5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Método: POST. Rota lógica: /calculate-investment. O endpoint público é definido na publicação da função e configurado no frontend.</w:t>
      </w:r>
    </w:p>
    <w:p w14:paraId="1EDD63FE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128431C2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E51C876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"initial": 10000,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"monthly": 500,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"annualRate": 0.10,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74759F9D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82AFA0C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F793674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"invested": 40000.00,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"profit": 10000.00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308337C" w14:textId="77777777" w:rsidR="00025787" w:rsidRDefault="00025787">
      <w:pPr>
        <w:spacing w:before="120" w:after="60"/>
        <w:rPr>
          <w:rFonts w:cs="Arial"/>
          <w:color w:val="000000" w:themeColor="text1"/>
        </w:rPr>
      </w:pPr>
    </w:p>
    <w:p w14:paraId="09660B28" w14:textId="01C77347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.2 Microsoft Azure Functions — conversão cambial</w:t>
      </w:r>
    </w:p>
    <w:p w14:paraId="31A1D33F" w14:textId="2831F10E" w:rsidR="00C21284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Método: POST. </w:t>
      </w:r>
    </w:p>
    <w:p w14:paraId="42FAAA9E" w14:textId="25705035" w:rsidR="00DC07D4" w:rsidRPr="008B335E" w:rsidRDefault="00DC07D4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7"/>
        </w:rPr>
        <w:t>https://conversorinternacional-ckfhcba3axdjc0cw.northcentralus-01.azurewebsites.net/api/conversorInternacional</w:t>
      </w:r>
    </w:p>
    <w:p w14:paraId="5FCDF0E5" w14:textId="77777777" w:rsidR="00C21284" w:rsidRDefault="00C21284">
      <w:pPr>
        <w:rPr>
          <w:rFonts w:cs="Arial"/>
          <w:color w:val="000000" w:themeColor="text1"/>
        </w:rPr>
      </w:pPr>
    </w:p>
    <w:p w14:paraId="133683DE" w14:textId="1EF95F69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lastRenderedPageBreak/>
        <w:t xml:space="preserve">Request — </w:t>
      </w:r>
      <w:proofErr w:type="spellStart"/>
      <w:r w:rsidRPr="008B335E">
        <w:rPr>
          <w:rFonts w:cs="Arial"/>
          <w:color w:val="000000" w:themeColor="text1"/>
        </w:rPr>
        <w:t>exemplo</w:t>
      </w:r>
      <w:proofErr w:type="spellEnd"/>
      <w:r w:rsidRPr="008B335E">
        <w:rPr>
          <w:rFonts w:cs="Arial"/>
          <w:color w:val="000000" w:themeColor="text1"/>
        </w:rPr>
        <w:t xml:space="preserve">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617CD4C0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D6D9F16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"valorReais":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"cotacaoDolar": 5.50,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"cotacaoEuro": 6.00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CFAA7B7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contrato esperado pelo frontend: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2F396B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45C1DF9" w14:textId="31E539FE" w:rsidR="00C21284" w:rsidRPr="00C21284" w:rsidRDefault="00FD19E2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</w:r>
            <w:r w:rsidR="00C21284">
              <w:rPr>
                <w:rFonts w:cs="Arial"/>
                <w:color w:val="000000" w:themeColor="text1"/>
                <w:sz w:val="17"/>
              </w:rPr>
              <w:t xml:space="preserve">  </w:t>
            </w:r>
            <w:r w:rsidR="00C21284" w:rsidRPr="00C21284">
              <w:rPr>
                <w:rFonts w:cs="Arial"/>
                <w:color w:val="000000" w:themeColor="text1"/>
                <w:sz w:val="17"/>
              </w:rPr>
              <w:t>"</w:t>
            </w:r>
            <w:proofErr w:type="spellStart"/>
            <w:r w:rsidR="00C21284" w:rsidRPr="00C21284">
              <w:rPr>
                <w:rFonts w:cs="Arial"/>
                <w:color w:val="000000" w:themeColor="text1"/>
                <w:sz w:val="17"/>
              </w:rPr>
              <w:t>provedor</w:t>
            </w:r>
            <w:proofErr w:type="spellEnd"/>
            <w:r w:rsidR="00C21284" w:rsidRPr="00C21284">
              <w:rPr>
                <w:rFonts w:cs="Arial"/>
                <w:color w:val="000000" w:themeColor="text1"/>
                <w:sz w:val="17"/>
              </w:rPr>
              <w:t>": "Azure",</w:t>
            </w:r>
          </w:p>
          <w:p w14:paraId="6CF6ADE6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valorReais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1000,</w:t>
            </w:r>
          </w:p>
          <w:p w14:paraId="4E7A4598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valorDolar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200,</w:t>
            </w:r>
          </w:p>
          <w:p w14:paraId="43CCA791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valorEuro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160,</w:t>
            </w:r>
          </w:p>
          <w:p w14:paraId="1D454D3B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cotacaoDolar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5,</w:t>
            </w:r>
          </w:p>
          <w:p w14:paraId="06B084F6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cotacaoEuro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6.25,</w:t>
            </w:r>
          </w:p>
          <w:p w14:paraId="0700C26B" w14:textId="3CE99182" w:rsidR="00CD07E0" w:rsidRPr="008B335E" w:rsidRDefault="00C21284" w:rsidP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cotacaoSimulada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true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8DEC19F" w14:textId="77777777" w:rsidR="00C21284" w:rsidRDefault="00C21284" w:rsidP="00C21284">
      <w:pPr>
        <w:spacing w:before="120" w:after="60"/>
        <w:rPr>
          <w:rFonts w:cs="Arial"/>
          <w:b/>
          <w:bCs/>
          <w:color w:val="000000" w:themeColor="text1"/>
          <w:lang w:val="pt-BR"/>
        </w:rPr>
      </w:pPr>
    </w:p>
    <w:p w14:paraId="551A9A1C" w14:textId="0513EFAF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b/>
          <w:bCs/>
          <w:color w:val="000000" w:themeColor="text1"/>
          <w:lang w:val="pt-BR"/>
        </w:rPr>
        <w:t>2.2.1 Implementação da função</w:t>
      </w:r>
    </w:p>
    <w:p w14:paraId="74CC9FC6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 xml:space="preserve">- Linguagem: </w:t>
      </w:r>
      <w:proofErr w:type="spellStart"/>
      <w:r w:rsidRPr="00C21284">
        <w:rPr>
          <w:rFonts w:cs="Arial"/>
          <w:color w:val="000000" w:themeColor="text1"/>
          <w:lang w:val="pt-BR"/>
        </w:rPr>
        <w:t>JavaScript</w:t>
      </w:r>
      <w:proofErr w:type="spellEnd"/>
      <w:r w:rsidRPr="00C21284">
        <w:rPr>
          <w:rFonts w:cs="Arial"/>
          <w:color w:val="000000" w:themeColor="text1"/>
          <w:lang w:val="pt-BR"/>
        </w:rPr>
        <w:t>.</w:t>
      </w:r>
    </w:p>
    <w:p w14:paraId="691A5CD9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 xml:space="preserve">- </w:t>
      </w:r>
      <w:proofErr w:type="spellStart"/>
      <w:r w:rsidRPr="00C21284">
        <w:rPr>
          <w:rFonts w:cs="Arial"/>
          <w:color w:val="000000" w:themeColor="text1"/>
          <w:lang w:val="pt-BR"/>
        </w:rPr>
        <w:t>Runtime</w:t>
      </w:r>
      <w:proofErr w:type="spellEnd"/>
      <w:r w:rsidRPr="00C21284">
        <w:rPr>
          <w:rFonts w:cs="Arial"/>
          <w:color w:val="000000" w:themeColor="text1"/>
          <w:lang w:val="pt-BR"/>
        </w:rPr>
        <w:t>: Node.js, conforme a implementação desenvolvida.</w:t>
      </w:r>
    </w:p>
    <w:p w14:paraId="3368DCA8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 xml:space="preserve">- Plataforma: Azure </w:t>
      </w:r>
      <w:proofErr w:type="spellStart"/>
      <w:r w:rsidRPr="00C21284">
        <w:rPr>
          <w:rFonts w:cs="Arial"/>
          <w:color w:val="000000" w:themeColor="text1"/>
          <w:lang w:val="pt-BR"/>
        </w:rPr>
        <w:t>Functions</w:t>
      </w:r>
      <w:proofErr w:type="spellEnd"/>
      <w:r w:rsidRPr="00C21284">
        <w:rPr>
          <w:rFonts w:cs="Arial"/>
          <w:color w:val="000000" w:themeColor="text1"/>
          <w:lang w:val="pt-BR"/>
        </w:rPr>
        <w:t>.</w:t>
      </w:r>
    </w:p>
    <w:p w14:paraId="36FC9FC9" w14:textId="77777777" w:rsid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>- Região: North Central US (</w:t>
      </w:r>
      <w:proofErr w:type="spellStart"/>
      <w:r w:rsidRPr="00C21284">
        <w:rPr>
          <w:rFonts w:cs="Arial"/>
          <w:color w:val="000000" w:themeColor="text1"/>
          <w:lang w:val="pt-BR"/>
        </w:rPr>
        <w:t>northcentralus</w:t>
      </w:r>
      <w:proofErr w:type="spellEnd"/>
      <w:r w:rsidRPr="00C21284">
        <w:rPr>
          <w:rFonts w:cs="Arial"/>
          <w:color w:val="000000" w:themeColor="text1"/>
          <w:lang w:val="pt-BR"/>
        </w:rPr>
        <w:t>).</w:t>
      </w:r>
    </w:p>
    <w:p w14:paraId="28C5FF10" w14:textId="77777777" w:rsid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</w:p>
    <w:p w14:paraId="52A17603" w14:textId="148AB81D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b/>
          <w:bCs/>
          <w:color w:val="000000" w:themeColor="text1"/>
          <w:lang w:val="pt-BR"/>
        </w:rPr>
        <w:t>2.2.2 Origem das cotações e tratamento de erros</w:t>
      </w:r>
    </w:p>
    <w:p w14:paraId="145F4F37" w14:textId="36F0BC82" w:rsidR="00025787" w:rsidRDefault="00C21284">
      <w:pPr>
        <w:spacing w:before="120" w:after="60"/>
        <w:rPr>
          <w:rFonts w:cs="Arial"/>
          <w:color w:val="000000" w:themeColor="text1"/>
        </w:rPr>
      </w:pPr>
      <w:r w:rsidRPr="00C21284">
        <w:rPr>
          <w:rFonts w:cs="Arial"/>
          <w:color w:val="000000" w:themeColor="text1"/>
          <w:lang w:val="pt-BR"/>
        </w:rPr>
        <w:t>A função utiliza cotações fixas para fins de demonstração acadêmica: R$ 5,00 por dólar e R$ 6,25 por euro.</w:t>
      </w:r>
    </w:p>
    <w:p w14:paraId="769AD866" w14:textId="77777777" w:rsidR="00C21284" w:rsidRDefault="00C21284">
      <w:pPr>
        <w:spacing w:before="120" w:after="60"/>
        <w:rPr>
          <w:rFonts w:cs="Arial"/>
          <w:color w:val="000000" w:themeColor="text1"/>
        </w:rPr>
      </w:pPr>
    </w:p>
    <w:p w14:paraId="63B3E345" w14:textId="59F985E3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.3 Google Cloud Functions — projeção após inflação</w:t>
      </w:r>
    </w:p>
    <w:p w14:paraId="0722ABA8" w14:textId="52732A7A" w:rsidR="00CD07E0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Método: POST. </w:t>
      </w:r>
    </w:p>
    <w:p w14:paraId="3009C5F8" w14:textId="716E3E09" w:rsidR="00DC07D4" w:rsidRDefault="00DC07D4">
      <w:pPr>
        <w:rPr>
          <w:rFonts w:cs="Arial"/>
          <w:color w:val="000000" w:themeColor="text1"/>
        </w:rPr>
      </w:pPr>
      <w:hyperlink r:id="rId9" w:history="1">
        <w:r w:rsidRPr="006041B1">
          <w:rPr>
            <w:rStyle w:val="Hyperlink"/>
            <w:rFonts w:cs="Arial"/>
          </w:rPr>
          <w:t>https://projetor-inflacao-bnizxb6syq-rj.a.run.app</w:t>
        </w:r>
      </w:hyperlink>
    </w:p>
    <w:p w14:paraId="166589BA" w14:textId="77777777" w:rsidR="00DC07D4" w:rsidRPr="008B335E" w:rsidRDefault="00DC07D4">
      <w:pPr>
        <w:rPr>
          <w:rFonts w:cs="Arial"/>
          <w:color w:val="000000" w:themeColor="text1"/>
        </w:rPr>
      </w:pPr>
    </w:p>
    <w:p w14:paraId="581FFA7C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6276D44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DD95890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"inflation": 0.045,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197CB8D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2C3A557F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1768D830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"real": 40000.00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0E77F1E" w14:textId="77777777" w:rsidR="00025787" w:rsidRDefault="00025787" w:rsidP="00025787">
      <w:pPr>
        <w:rPr>
          <w:rFonts w:cs="Arial"/>
          <w:color w:val="000000" w:themeColor="text1"/>
        </w:rPr>
      </w:pPr>
    </w:p>
    <w:p w14:paraId="1242D81A" w14:textId="0BDF1EF4" w:rsidR="00CD07E0" w:rsidRPr="008B335E" w:rsidRDefault="00025787" w:rsidP="00025787">
      <w:p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 xml:space="preserve">.4 </w:t>
      </w:r>
      <w:proofErr w:type="spellStart"/>
      <w:r w:rsidRPr="008B335E">
        <w:rPr>
          <w:rFonts w:cs="Arial"/>
          <w:b/>
          <w:color w:val="000000" w:themeColor="text1"/>
          <w:sz w:val="22"/>
        </w:rPr>
        <w:t>Tratamento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</w:t>
      </w:r>
      <w:proofErr w:type="spellStart"/>
      <w:r w:rsidRPr="008B335E">
        <w:rPr>
          <w:rFonts w:cs="Arial"/>
          <w:b/>
          <w:color w:val="000000" w:themeColor="text1"/>
          <w:sz w:val="22"/>
        </w:rPr>
        <w:t>comum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das APIs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304"/>
        <w:gridCol w:w="5040"/>
      </w:tblGrid>
      <w:tr w:rsidR="00CD07E0" w:rsidRPr="008B335E" w14:paraId="65562336" w14:textId="77777777">
        <w:trPr>
          <w:jc w:val="center"/>
        </w:trPr>
        <w:tc>
          <w:tcPr>
            <w:tcW w:w="259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690635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Situação</w:t>
            </w:r>
          </w:p>
        </w:tc>
        <w:tc>
          <w:tcPr>
            <w:tcW w:w="230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3D1FF1E6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Código HTTP</w:t>
            </w:r>
          </w:p>
        </w:tc>
        <w:tc>
          <w:tcPr>
            <w:tcW w:w="50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D8FEBCF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Formato/conduta</w:t>
            </w:r>
          </w:p>
        </w:tc>
      </w:tr>
      <w:tr w:rsidR="00CD07E0" w:rsidRPr="008B335E" w14:paraId="0005CCC4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491C59B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válida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7568FD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200 OK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2EDA1935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os campos numéricos documentados.</w:t>
            </w:r>
          </w:p>
        </w:tc>
      </w:tr>
      <w:tr w:rsidR="00CD07E0" w:rsidRPr="008B335E" w14:paraId="2544A52B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98D2BC1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Parâmetros ausentes ou inválidos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7D47FE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400 Bad Request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E3C959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mensagem clara de validação.</w:t>
            </w:r>
          </w:p>
        </w:tc>
      </w:tr>
      <w:tr w:rsidR="00CD07E0" w:rsidRPr="008B335E" w14:paraId="020855C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5812349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Erro inesperado no serviço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63377F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500 Internal Server Error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F8F2843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mensagem genérica, sem expor stack trace, tokens ou dados sensíveis.</w:t>
            </w:r>
          </w:p>
        </w:tc>
      </w:tr>
      <w:tr w:rsidR="00CD07E0" w:rsidRPr="008B335E" w14:paraId="5F120F3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4CF790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de navegador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663C5AF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CORS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CA3B2DF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Permitir a origem da hospedagem, método POST e headers necessários; tratar OPTIONS quando aplicável.</w:t>
            </w:r>
          </w:p>
        </w:tc>
      </w:tr>
      <w:tr w:rsidR="00CD07E0" w:rsidRPr="008B335E" w14:paraId="6009C44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2DEBB13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lastRenderedPageBreak/>
              <w:t>Tempo limite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5BB98A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Timeout do frontend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8DCF758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Interromper a espera do módulo e mostrar erro/fallback, mantendo os demais resultados.</w:t>
            </w:r>
          </w:p>
        </w:tc>
      </w:tr>
    </w:tbl>
    <w:p w14:paraId="71BBEBC6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O frontend utiliza a API de temporização do navegador para medir a latência total observada. Essa medida inclui rede, processamento no provedor e transferência da resposta, portanto não equivale somente ao tempo de execução interno da função.</w:t>
      </w:r>
    </w:p>
    <w:p w14:paraId="475BA1AC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151012A" w14:textId="39E20CE1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3</w:t>
      </w:r>
      <w:r w:rsidRPr="008B335E">
        <w:rPr>
          <w:rFonts w:cs="Arial"/>
          <w:b/>
          <w:color w:val="000000" w:themeColor="text1"/>
          <w:sz w:val="28"/>
        </w:rPr>
        <w:t>. Análise de métricas e desempenho</w:t>
      </w:r>
    </w:p>
    <w:p w14:paraId="2BA69A60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latência é avaliada em dois cenários. Cold Start corresponde à primeira chamada após um período de inatividade, quando o provedor pode precisar inicializar o ambiente de execução. Warm Start corresponde às chamadas subsequentes quando o ambiente já está disponível. O comportamento real varia conforme região, runtime, configuração, carga e políticas de reutilização do provedor.</w:t>
      </w:r>
    </w:p>
    <w:p w14:paraId="317D20DA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registra a latência observada pelo navegador em milissegundos. A tabela abaixo apresenta o formato de comparação e deve ser preenchida com os resultados obtidos durante os testes de integração.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399"/>
        <w:gridCol w:w="3502"/>
      </w:tblGrid>
      <w:tr w:rsidR="00DC07D4" w:rsidRPr="008B335E" w14:paraId="020A3EBC" w14:textId="77777777" w:rsidTr="00DC07D4">
        <w:trPr>
          <w:trHeight w:val="371"/>
          <w:jc w:val="center"/>
        </w:trPr>
        <w:tc>
          <w:tcPr>
            <w:tcW w:w="3297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8622C14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proofErr w:type="spellStart"/>
            <w:r w:rsidRPr="00025787">
              <w:rPr>
                <w:rFonts w:cs="Arial"/>
                <w:b/>
                <w:color w:val="FFFFFF" w:themeColor="background1"/>
                <w:sz w:val="16"/>
              </w:rPr>
              <w:t>Provedor</w:t>
            </w:r>
            <w:proofErr w:type="spellEnd"/>
          </w:p>
        </w:tc>
        <w:tc>
          <w:tcPr>
            <w:tcW w:w="3399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941CFC9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Cold Start (ms)</w:t>
            </w:r>
          </w:p>
        </w:tc>
        <w:tc>
          <w:tcPr>
            <w:tcW w:w="350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4CCD27AA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Warm Start (ms)</w:t>
            </w:r>
          </w:p>
        </w:tc>
      </w:tr>
      <w:tr w:rsidR="00DC07D4" w:rsidRPr="008B335E" w14:paraId="7AF76A4D" w14:textId="77777777" w:rsidTr="00DC07D4">
        <w:trPr>
          <w:trHeight w:val="356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156B9E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Lambda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6CE6483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F2FDCF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</w:tr>
      <w:tr w:rsidR="00DC07D4" w:rsidRPr="008B335E" w14:paraId="08F2DF8F" w14:textId="77777777" w:rsidTr="00DC07D4">
        <w:trPr>
          <w:trHeight w:val="371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B5FA0C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Azure Functions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0464B64" w14:textId="3E78493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6"/>
              </w:rPr>
              <w:t xml:space="preserve">2.125 </w:t>
            </w:r>
            <w:proofErr w:type="spellStart"/>
            <w:r w:rsidRPr="00C21284"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3C71B8B" w14:textId="5254CD73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6"/>
              </w:rPr>
              <w:t xml:space="preserve">159 </w:t>
            </w:r>
            <w:proofErr w:type="spellStart"/>
            <w:r w:rsidRPr="00C21284"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</w:tr>
      <w:tr w:rsidR="00DC07D4" w:rsidRPr="008B335E" w14:paraId="0CE87108" w14:textId="77777777" w:rsidTr="00DC07D4">
        <w:trPr>
          <w:trHeight w:val="385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87727F2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Functions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E445531" w14:textId="69CC02B9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  <w:sz w:val="16"/>
              </w:rPr>
              <w:t xml:space="preserve">181 </w:t>
            </w:r>
            <w:proofErr w:type="spellStart"/>
            <w:r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851051" w14:textId="79561304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  <w:sz w:val="16"/>
              </w:rPr>
              <w:t xml:space="preserve">24 </w:t>
            </w:r>
            <w:proofErr w:type="spellStart"/>
            <w:r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</w:tr>
    </w:tbl>
    <w:p w14:paraId="24D79D03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0ABCCC0" w14:textId="2F13C775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4</w:t>
      </w:r>
      <w:r w:rsidRPr="008B335E">
        <w:rPr>
          <w:rFonts w:cs="Arial"/>
          <w:b/>
          <w:color w:val="000000" w:themeColor="text1"/>
          <w:sz w:val="28"/>
        </w:rPr>
        <w:t>. Relato técnico comparativo dos provedores</w:t>
      </w:r>
    </w:p>
    <w:p w14:paraId="69DACB2C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implementação multicloud exige configurar permissões, publicação HTTP, CORS, logs e monitoramento em cada provedor. Embora os conceitos sejam semelhantes, cada console organiza essas opções de maneira diferente. A tabela resume os pontos técnicos a validar em cada ambiente.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125"/>
        <w:gridCol w:w="3699"/>
        <w:gridCol w:w="3024"/>
        <w:gridCol w:w="2358"/>
      </w:tblGrid>
      <w:tr w:rsidR="00CD07E0" w:rsidRPr="00025787" w14:paraId="2956E057" w14:textId="77777777" w:rsidTr="009C6F4B">
        <w:trPr>
          <w:jc w:val="center"/>
        </w:trPr>
        <w:tc>
          <w:tcPr>
            <w:tcW w:w="112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9B146A2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proofErr w:type="spellStart"/>
            <w:r w:rsidRPr="00025787">
              <w:rPr>
                <w:rFonts w:cs="Arial"/>
                <w:b/>
                <w:color w:val="FFFFFF" w:themeColor="background1"/>
                <w:sz w:val="16"/>
              </w:rPr>
              <w:t>Aspecto</w:t>
            </w:r>
            <w:proofErr w:type="spellEnd"/>
          </w:p>
        </w:tc>
        <w:tc>
          <w:tcPr>
            <w:tcW w:w="3699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0EF5AB0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AWS Lambda</w:t>
            </w:r>
          </w:p>
        </w:tc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7707BA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Microsoft Azure Functions</w:t>
            </w:r>
          </w:p>
        </w:tc>
        <w:tc>
          <w:tcPr>
            <w:tcW w:w="235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67032BA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Google Cloud Functions</w:t>
            </w:r>
          </w:p>
        </w:tc>
      </w:tr>
      <w:tr w:rsidR="00CD07E0" w:rsidRPr="008B335E" w14:paraId="13CAEFEA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4E92A1F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IAM / permissões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001A9C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Definir papel de execução e permissões mínimas; configurar acesso HTTP por Function URL ou API Gateway.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ADBDC56" w14:textId="6D3F9791" w:rsidR="00CD07E0" w:rsidRPr="008B335E" w:rsidRDefault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5"/>
              </w:rPr>
              <w:t xml:space="preserve">A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configuração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utilizada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desenvolvimento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permite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chamadas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anônimas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,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sem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exigir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uma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chave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de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função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cliente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>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A0B84B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Definir identidade de execução e permissão de invocação HTTP; avaliar explicitamente </w:t>
            </w:r>
            <w:proofErr w:type="gramStart"/>
            <w:r w:rsidRPr="008B335E">
              <w:rPr>
                <w:rFonts w:cs="Arial"/>
                <w:color w:val="000000" w:themeColor="text1"/>
                <w:sz w:val="15"/>
              </w:rPr>
              <w:t>a</w:t>
            </w:r>
            <w:proofErr w:type="gramEnd"/>
            <w:r w:rsidRPr="008B335E">
              <w:rPr>
                <w:rFonts w:cs="Arial"/>
                <w:color w:val="000000" w:themeColor="text1"/>
                <w:sz w:val="15"/>
              </w:rPr>
              <w:t xml:space="preserve"> exposição pública.</w:t>
            </w:r>
          </w:p>
        </w:tc>
      </w:tr>
      <w:tr w:rsidR="00CD07E0" w:rsidRPr="008B335E" w14:paraId="6B28547D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B628F3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CORS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F1E0FF2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no recurso HTTP de entrada; permitir origem do frontend, POST e headers necessários.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F568942" w14:textId="6EA31DCC" w:rsidR="00CD07E0" w:rsidRPr="008B335E" w:rsidRDefault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5"/>
              </w:rPr>
              <w:t xml:space="preserve">A URL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pública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do frontend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hospedado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Railway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foi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configurada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CORS da Azure Function para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permitir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as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requisições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originadas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da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aplicação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>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5DC9AB8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headers CORS na função HTTP e validar requisições OPTIONS.</w:t>
            </w:r>
          </w:p>
        </w:tc>
      </w:tr>
      <w:tr w:rsidR="00CD07E0" w:rsidRPr="008B335E" w14:paraId="117B3639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53E42D7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Logs / monitoramento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096D64C" w14:textId="624FDB9D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CloudWatch Logs 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métricas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de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duração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,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invocações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erros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>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5A7F12E" w14:textId="2D24A80A" w:rsidR="00CD07E0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noProof/>
                <w:color w:val="000000" w:themeColor="text1"/>
              </w:rPr>
              <w:drawing>
                <wp:inline distT="0" distB="0" distL="0" distR="0" wp14:anchorId="65118291" wp14:editId="2564727E">
                  <wp:extent cx="1851433" cy="866702"/>
                  <wp:effectExtent l="0" t="0" r="0" b="0"/>
                  <wp:docPr id="40549064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964" cy="87631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132FBE0B" w14:textId="77777777" w:rsidR="00CD07E0" w:rsidRDefault="00FD19E2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Cloud Logging 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métricas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de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execução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,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duração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erros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>.</w:t>
            </w:r>
          </w:p>
          <w:p w14:paraId="46DC6E2B" w14:textId="56B35B62" w:rsidR="00767DA7" w:rsidRPr="008B335E" w:rsidRDefault="00767DA7" w:rsidP="005329E3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BD59F4">
              <w:rPr>
                <w:noProof/>
              </w:rPr>
              <w:drawing>
                <wp:inline distT="0" distB="0" distL="0" distR="0" wp14:anchorId="39C5AAA6" wp14:editId="442E7BD1">
                  <wp:extent cx="1405646" cy="545465"/>
                  <wp:effectExtent l="0" t="0" r="4445" b="6985"/>
                  <wp:docPr id="170898695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98695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841" cy="58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7E0" w:rsidRPr="008B335E" w14:paraId="18D30349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EDBF0F0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Deploy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6B704E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Selecionar runtime e handler, configurar variáveis e publicar a função; depois validar o endpoint.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F188E8C" w14:textId="26B743E4" w:rsidR="00CD07E0" w:rsidRDefault="009C6F4B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>
              <w:rPr>
                <w:rFonts w:cs="Arial"/>
                <w:noProof/>
                <w:color w:val="000000" w:themeColor="text1"/>
                <w:sz w:val="15"/>
              </w:rPr>
              <w:drawing>
                <wp:inline distT="0" distB="0" distL="0" distR="0" wp14:anchorId="6033F435" wp14:editId="77D48B39">
                  <wp:extent cx="1851025" cy="867668"/>
                  <wp:effectExtent l="0" t="0" r="0" b="8890"/>
                  <wp:docPr id="145859703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1920" cy="8868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644B47E" w14:textId="36EC1B04" w:rsidR="009C6F4B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03DCB40" w14:textId="77777777" w:rsidR="00CD07E0" w:rsidRDefault="00FD19E2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Publicar função HTTP,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selecionar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runtime/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região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definir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política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de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invocação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>.</w:t>
            </w:r>
          </w:p>
          <w:p w14:paraId="14CD08B0" w14:textId="68EDB912" w:rsidR="00767DA7" w:rsidRPr="008B335E" w:rsidRDefault="00767DA7" w:rsidP="005329E3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BD59F4">
              <w:rPr>
                <w:noProof/>
              </w:rPr>
              <w:drawing>
                <wp:inline distT="0" distB="0" distL="0" distR="0" wp14:anchorId="02E1E2BA" wp14:editId="183DB7DE">
                  <wp:extent cx="1203267" cy="625475"/>
                  <wp:effectExtent l="0" t="0" r="0" b="3175"/>
                  <wp:docPr id="185863492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6349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5374" cy="6577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7E0" w:rsidRPr="005329E3" w14:paraId="23DDB2F8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231B599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lastRenderedPageBreak/>
              <w:t>Validação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funcional</w:t>
            </w:r>
            <w:proofErr w:type="spellEnd"/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810A39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Testar payload, resposta JSON, códigos HTTP e acesso do frontend.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161DA1D" w14:textId="4687BB31" w:rsidR="00CD07E0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noProof/>
                <w:color w:val="000000" w:themeColor="text1"/>
              </w:rPr>
              <w:drawing>
                <wp:inline distT="0" distB="0" distL="0" distR="0" wp14:anchorId="214BACA1" wp14:editId="72F51630">
                  <wp:extent cx="1844525" cy="851940"/>
                  <wp:effectExtent l="0" t="0" r="3810" b="5715"/>
                  <wp:docPr id="572787147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2106" cy="88315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2BF1E647" w14:textId="77777777" w:rsidR="00CD07E0" w:rsidRDefault="00FD19E2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Testar endpoint, JSON, CORS,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permissões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comportamento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em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caso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de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falha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>.</w:t>
            </w:r>
          </w:p>
          <w:p w14:paraId="11F94BCD" w14:textId="2A2C88CC" w:rsidR="00767DA7" w:rsidRPr="008B335E" w:rsidRDefault="00767DA7" w:rsidP="005329E3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A76A1D">
              <w:rPr>
                <w:noProof/>
              </w:rPr>
              <w:drawing>
                <wp:inline distT="0" distB="0" distL="0" distR="0" wp14:anchorId="0988B90E" wp14:editId="70CB80B5">
                  <wp:extent cx="1400464" cy="425380"/>
                  <wp:effectExtent l="0" t="0" r="0" b="0"/>
                  <wp:docPr id="171055438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55438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904" cy="448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967C6A" w14:textId="77777777" w:rsidR="00025787" w:rsidRDefault="00025787">
      <w:pPr>
        <w:spacing w:before="120" w:after="60"/>
        <w:rPr>
          <w:rFonts w:cs="Arial"/>
          <w:b/>
          <w:color w:val="000000" w:themeColor="text1"/>
          <w:sz w:val="22"/>
        </w:rPr>
      </w:pPr>
    </w:p>
    <w:p w14:paraId="0B27901D" w14:textId="7F25D611" w:rsidR="00CD07E0" w:rsidRPr="008B335E" w:rsidRDefault="00C21284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4</w:t>
      </w:r>
      <w:r w:rsidRPr="008B335E">
        <w:rPr>
          <w:rFonts w:cs="Arial"/>
          <w:b/>
          <w:color w:val="000000" w:themeColor="text1"/>
          <w:sz w:val="22"/>
        </w:rPr>
        <w:t xml:space="preserve">.1 </w:t>
      </w:r>
      <w:proofErr w:type="spellStart"/>
      <w:r w:rsidRPr="008B335E">
        <w:rPr>
          <w:rFonts w:cs="Arial"/>
          <w:b/>
          <w:color w:val="000000" w:themeColor="text1"/>
          <w:sz w:val="22"/>
        </w:rPr>
        <w:t>Análise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</w:t>
      </w:r>
      <w:proofErr w:type="spellStart"/>
      <w:r w:rsidRPr="008B335E">
        <w:rPr>
          <w:rFonts w:cs="Arial"/>
          <w:b/>
          <w:color w:val="000000" w:themeColor="text1"/>
          <w:sz w:val="22"/>
        </w:rPr>
        <w:t>crítica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de </w:t>
      </w:r>
      <w:proofErr w:type="spellStart"/>
      <w:r w:rsidRPr="008B335E">
        <w:rPr>
          <w:rFonts w:cs="Arial"/>
          <w:b/>
          <w:color w:val="000000" w:themeColor="text1"/>
          <w:sz w:val="22"/>
        </w:rPr>
        <w:t>integração</w:t>
      </w:r>
      <w:proofErr w:type="spellEnd"/>
    </w:p>
    <w:p w14:paraId="07D06EF9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consistência do contrato JSON é fundamental para a integração. Os nomes dos campos enviados pelo frontend devem coincidir com os aceitos pela função, e os nomes retornados precisam coincidir com os consumidos pelo dashboard. Divergências de nomenclatura podem fazer a interface interpretar uma resposta válida como erro.</w:t>
      </w:r>
    </w:p>
    <w:p w14:paraId="623DF00A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configuração de CORS é necessária porque o navegador restringe chamadas entre origens diferentes. O endpoint deve permitir a origem pública da SPA, além do método e dos headers utilizados. Durante o deploy, os logs devem ser consultados para diferenciar erros de código, permissões, rede e configuração.</w:t>
      </w:r>
    </w:p>
    <w:p w14:paraId="7D2EA890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As permissões devem seguir o princípio do menor privilégio. Quando o teste acadêmico exigir invocação pública, essa configuração deve ser intencional, limitada ao necessário e revista após a demonstração. Chaves privadas e tokens não devem ser incluídos no código do frontend ou em repositórios públicos.</w:t>
      </w:r>
    </w:p>
    <w:p w14:paraId="0205A2F6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</w:p>
    <w:p w14:paraId="2D497A94" w14:textId="423A0A17" w:rsidR="00CD07E0" w:rsidRPr="008B335E" w:rsidRDefault="00DC07D4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lastRenderedPageBreak/>
        <w:t>5</w:t>
      </w:r>
      <w:r w:rsidRPr="008B335E">
        <w:rPr>
          <w:rFonts w:cs="Arial"/>
          <w:b/>
          <w:color w:val="000000" w:themeColor="text1"/>
          <w:sz w:val="28"/>
        </w:rPr>
        <w:t>. Resiliência e tratamento de falhas</w:t>
      </w:r>
    </w:p>
    <w:p w14:paraId="76F056FB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realiza as chamadas dos provedores de forma independente. Caso uma chamada falhe, o frontend apresenta o estado correspondente e utiliza o fallback local previsto para aquele módulo. Os resultados dos outros serviços continuam disponíveis, evitando que uma falha isolada interrompa toda a experiência.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7056"/>
      </w:tblGrid>
      <w:tr w:rsidR="00CD07E0" w:rsidRPr="00025787" w14:paraId="58A8D8C8" w14:textId="77777777">
        <w:trPr>
          <w:jc w:val="center"/>
        </w:trPr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D45DC82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Cenário</w:t>
            </w:r>
          </w:p>
        </w:tc>
        <w:tc>
          <w:tcPr>
            <w:tcW w:w="7056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C2954D8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Comportamento esperado</w:t>
            </w:r>
          </w:p>
        </w:tc>
      </w:tr>
      <w:tr w:rsidR="00CD07E0" w:rsidRPr="008B335E" w14:paraId="21411816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091434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Todos os serviços respondem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CFC839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dashboard apresenta os três resultados, os estados de sucesso e as latências.</w:t>
            </w:r>
          </w:p>
        </w:tc>
      </w:tr>
      <w:tr w:rsidR="00CD07E0" w:rsidRPr="008B335E" w14:paraId="318C199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5945D49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6FA75F5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projeção de investimento apresenta fallback/aviso; os módulos cambial e de inflação continuam operacionais.</w:t>
            </w:r>
          </w:p>
        </w:tc>
      </w:tr>
      <w:tr w:rsidR="00CD07E0" w:rsidRPr="008B335E" w14:paraId="649699B4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BD6FD1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Azure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C77A236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conversão cambial apresenta fallback/aviso; os outros módulos continuam operacionais.</w:t>
            </w:r>
          </w:p>
        </w:tc>
      </w:tr>
      <w:tr w:rsidR="00CD07E0" w:rsidRPr="008B335E" w14:paraId="3B91964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936F0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3180557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poder de compra apresenta fallback/aviso; os outros módulos continuam operacionais.</w:t>
            </w:r>
          </w:p>
        </w:tc>
      </w:tr>
      <w:tr w:rsidR="00CD07E0" w:rsidRPr="008B335E" w14:paraId="550C7E43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B3DEAB4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Endpoint excede o timeout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161EEA1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 interface interrompe a espera daquele módulo, informa o estado e mantém os demais resultados.</w:t>
            </w:r>
          </w:p>
        </w:tc>
      </w:tr>
    </w:tbl>
    <w:p w14:paraId="5039B7E8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D5E925C" w14:textId="3E23AAA3" w:rsidR="00CD07E0" w:rsidRPr="008B335E" w:rsidRDefault="00DC07D4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6.</w:t>
      </w:r>
      <w:r w:rsidRPr="008B335E">
        <w:rPr>
          <w:rFonts w:cs="Arial"/>
          <w:b/>
          <w:color w:val="000000" w:themeColor="text1"/>
          <w:sz w:val="28"/>
        </w:rPr>
        <w:t xml:space="preserve"> Segurança, observabilidade e custos</w:t>
      </w:r>
    </w:p>
    <w:p w14:paraId="1021BCD9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Utilizar HTTPS nos endpoints públicos.</w:t>
      </w:r>
    </w:p>
    <w:p w14:paraId="79569A1C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Validar os parâmetros de entrada e limitar valores fora do intervalo permitido.</w:t>
      </w:r>
    </w:p>
    <w:p w14:paraId="0A6316BE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Não armazenar credenciais no frontend; utilizar mecanismos de configuração e segredos próprios dos provedores quando necessário.</w:t>
      </w:r>
    </w:p>
    <w:p w14:paraId="166C2029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Registrar falhas, duração e códigos de resposta sem incluir dados sensíveis nos logs.</w:t>
      </w:r>
    </w:p>
    <w:p w14:paraId="4D1A9405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Restringir permissões de execução e invocação ao mínimo necessário.</w:t>
      </w:r>
    </w:p>
    <w:p w14:paraId="0FAD5677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Monitorar consumo e desativar ou remover recursos de teste após a apresentação para evitar custos desnecessários.</w:t>
      </w:r>
    </w:p>
    <w:sectPr w:rsidR="00CD07E0" w:rsidRPr="008B335E" w:rsidSect="00034616">
      <w:headerReference w:type="default" r:id="rId16"/>
      <w:footerReference w:type="default" r:id="rId17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22947" w14:textId="77777777" w:rsidR="009919D2" w:rsidRDefault="009919D2">
      <w:pPr>
        <w:spacing w:after="0" w:line="240" w:lineRule="auto"/>
      </w:pPr>
      <w:r>
        <w:separator/>
      </w:r>
    </w:p>
  </w:endnote>
  <w:endnote w:type="continuationSeparator" w:id="0">
    <w:p w14:paraId="43084496" w14:textId="77777777" w:rsidR="009919D2" w:rsidRDefault="009919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98105" w14:textId="221963F3" w:rsidR="00CD07E0" w:rsidRDefault="00CD07E0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69A0C" w14:textId="77777777" w:rsidR="009919D2" w:rsidRDefault="009919D2">
      <w:pPr>
        <w:spacing w:after="0" w:line="240" w:lineRule="auto"/>
      </w:pPr>
      <w:r>
        <w:separator/>
      </w:r>
    </w:p>
  </w:footnote>
  <w:footnote w:type="continuationSeparator" w:id="0">
    <w:p w14:paraId="7FDA9A7B" w14:textId="77777777" w:rsidR="009919D2" w:rsidRDefault="009919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3092550"/>
      <w:docPartObj>
        <w:docPartGallery w:val="Page Numbers (Top of Page)"/>
        <w:docPartUnique/>
      </w:docPartObj>
    </w:sdtPr>
    <w:sdtEndPr/>
    <w:sdtContent>
      <w:p w14:paraId="7FDC394E" w14:textId="5EB507FB" w:rsidR="008B335E" w:rsidRDefault="008B335E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FE60E80" w14:textId="4B591D21" w:rsidR="00CD07E0" w:rsidRDefault="00CD07E0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420A47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7830351">
    <w:abstractNumId w:val="8"/>
  </w:num>
  <w:num w:numId="2" w16cid:durableId="310138149">
    <w:abstractNumId w:val="6"/>
  </w:num>
  <w:num w:numId="3" w16cid:durableId="507868362">
    <w:abstractNumId w:val="5"/>
  </w:num>
  <w:num w:numId="4" w16cid:durableId="1660494889">
    <w:abstractNumId w:val="4"/>
  </w:num>
  <w:num w:numId="5" w16cid:durableId="1275408075">
    <w:abstractNumId w:val="7"/>
  </w:num>
  <w:num w:numId="6" w16cid:durableId="987974270">
    <w:abstractNumId w:val="3"/>
  </w:num>
  <w:num w:numId="7" w16cid:durableId="430200115">
    <w:abstractNumId w:val="2"/>
  </w:num>
  <w:num w:numId="8" w16cid:durableId="581069805">
    <w:abstractNumId w:val="1"/>
  </w:num>
  <w:num w:numId="9" w16cid:durableId="2086296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787"/>
    <w:rsid w:val="00034616"/>
    <w:rsid w:val="0006063C"/>
    <w:rsid w:val="0015074B"/>
    <w:rsid w:val="0029639D"/>
    <w:rsid w:val="00326F90"/>
    <w:rsid w:val="004641BF"/>
    <w:rsid w:val="005329E3"/>
    <w:rsid w:val="0071002C"/>
    <w:rsid w:val="00720E9C"/>
    <w:rsid w:val="007539FD"/>
    <w:rsid w:val="00767DA7"/>
    <w:rsid w:val="0085387C"/>
    <w:rsid w:val="008B335E"/>
    <w:rsid w:val="009919D2"/>
    <w:rsid w:val="009A0A51"/>
    <w:rsid w:val="009C6F4B"/>
    <w:rsid w:val="00A92519"/>
    <w:rsid w:val="00AA1D8D"/>
    <w:rsid w:val="00B47730"/>
    <w:rsid w:val="00C21284"/>
    <w:rsid w:val="00CB0664"/>
    <w:rsid w:val="00CD07E0"/>
    <w:rsid w:val="00DC07D4"/>
    <w:rsid w:val="00DC5A6D"/>
    <w:rsid w:val="00E965BB"/>
    <w:rsid w:val="00FC693F"/>
    <w:rsid w:val="00FD0212"/>
    <w:rsid w:val="00FD1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41DD63"/>
  <w14:defaultImageDpi w14:val="300"/>
  <w15:docId w15:val="{EC6D3EC4-E4E3-412C-91CD-1E4C4DA79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eastAsia="Arial" w:hAnsi="Arial"/>
      <w:color w:val="000000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B335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3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ithub.com/Pedro-Cavenaghi/Saasmulticloud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projetor-inflacao-bnizxb6syq-rj.a.run.app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6</Pages>
  <Words>1438</Words>
  <Characters>7768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Fellipe Eduardo Franco</cp:lastModifiedBy>
  <cp:revision>7</cp:revision>
  <dcterms:created xsi:type="dcterms:W3CDTF">2013-12-23T23:15:00Z</dcterms:created>
  <dcterms:modified xsi:type="dcterms:W3CDTF">2026-10-29T00:16:00Z</dcterms:modified>
  <cp:category/>
</cp:coreProperties>
</file>