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9B33" w14:textId="77777777" w:rsidR="00CD07E0" w:rsidRPr="008B335E" w:rsidRDefault="00CD07E0">
      <w:pPr>
        <w:spacing w:after="560"/>
        <w:rPr>
          <w:rFonts w:cs="Arial"/>
          <w:color w:val="000000" w:themeColor="text1"/>
        </w:rPr>
      </w:pPr>
    </w:p>
    <w:p w14:paraId="3C00E8B7" w14:textId="77777777" w:rsidR="00CD07E0" w:rsidRDefault="00000000">
      <w:pPr>
        <w:spacing w:after="40"/>
        <w:jc w:val="center"/>
        <w:rPr>
          <w:rFonts w:cs="Arial"/>
          <w:b/>
          <w:color w:val="000000" w:themeColor="text1"/>
          <w:sz w:val="56"/>
        </w:rPr>
      </w:pPr>
      <w:proofErr w:type="spellStart"/>
      <w:r w:rsidRPr="008B335E">
        <w:rPr>
          <w:rFonts w:cs="Arial"/>
          <w:b/>
          <w:color w:val="000000" w:themeColor="text1"/>
          <w:sz w:val="56"/>
        </w:rPr>
        <w:t>IHMInvest</w:t>
      </w:r>
      <w:proofErr w:type="spellEnd"/>
    </w:p>
    <w:p w14:paraId="62289E4E" w14:textId="77777777" w:rsidR="008B335E" w:rsidRDefault="008B335E">
      <w:pPr>
        <w:spacing w:after="40"/>
        <w:jc w:val="center"/>
        <w:rPr>
          <w:rFonts w:cs="Arial"/>
          <w:b/>
          <w:color w:val="000000" w:themeColor="text1"/>
          <w:sz w:val="56"/>
        </w:rPr>
      </w:pPr>
    </w:p>
    <w:p w14:paraId="36F27363" w14:textId="77777777" w:rsidR="008B335E" w:rsidRPr="008B335E" w:rsidRDefault="008B335E">
      <w:pPr>
        <w:spacing w:after="40"/>
        <w:jc w:val="center"/>
        <w:rPr>
          <w:rFonts w:cs="Arial"/>
          <w:color w:val="000000" w:themeColor="text1"/>
        </w:rPr>
      </w:pPr>
    </w:p>
    <w:p w14:paraId="0965501E" w14:textId="77777777" w:rsidR="008B335E" w:rsidRDefault="008B335E">
      <w:pPr>
        <w:spacing w:after="160"/>
        <w:jc w:val="center"/>
        <w:rPr>
          <w:rFonts w:cs="Arial"/>
          <w:b/>
          <w:color w:val="000000" w:themeColor="text1"/>
          <w:sz w:val="38"/>
        </w:rPr>
      </w:pPr>
    </w:p>
    <w:p w14:paraId="013545FA" w14:textId="77777777" w:rsidR="008B335E" w:rsidRPr="008B335E" w:rsidRDefault="008B335E">
      <w:pPr>
        <w:spacing w:after="160"/>
        <w:jc w:val="center"/>
        <w:rPr>
          <w:rFonts w:cs="Arial"/>
          <w:color w:val="000000" w:themeColor="text1"/>
        </w:rPr>
      </w:pPr>
    </w:p>
    <w:p w14:paraId="2FBC2B02" w14:textId="1A951073" w:rsidR="008B335E" w:rsidRPr="008B335E" w:rsidRDefault="00000000">
      <w:pPr>
        <w:spacing w:after="60"/>
        <w:jc w:val="center"/>
        <w:rPr>
          <w:rFonts w:cs="Arial"/>
          <w:color w:val="000000" w:themeColor="text1"/>
          <w:sz w:val="26"/>
        </w:rPr>
      </w:pPr>
      <w:proofErr w:type="spellStart"/>
      <w:r w:rsidRPr="008B335E">
        <w:rPr>
          <w:rFonts w:cs="Arial"/>
          <w:color w:val="000000" w:themeColor="text1"/>
          <w:sz w:val="26"/>
        </w:rPr>
        <w:t>Ecossistema</w:t>
      </w:r>
      <w:proofErr w:type="spellEnd"/>
      <w:r w:rsidRPr="008B335E">
        <w:rPr>
          <w:rFonts w:cs="Arial"/>
          <w:color w:val="000000" w:themeColor="text1"/>
          <w:sz w:val="26"/>
        </w:rPr>
        <w:t xml:space="preserve"> SaaS </w:t>
      </w:r>
      <w:proofErr w:type="spellStart"/>
      <w:r w:rsidRPr="008B335E">
        <w:rPr>
          <w:rFonts w:cs="Arial"/>
          <w:color w:val="000000" w:themeColor="text1"/>
          <w:sz w:val="26"/>
        </w:rPr>
        <w:t>Financeiro</w:t>
      </w:r>
      <w:proofErr w:type="spellEnd"/>
      <w:r w:rsidRPr="008B335E">
        <w:rPr>
          <w:rFonts w:cs="Arial"/>
          <w:color w:val="000000" w:themeColor="text1"/>
          <w:sz w:val="26"/>
        </w:rPr>
        <w:t xml:space="preserve"> </w:t>
      </w:r>
      <w:proofErr w:type="spellStart"/>
      <w:r w:rsidRPr="008B335E">
        <w:rPr>
          <w:rFonts w:cs="Arial"/>
          <w:color w:val="000000" w:themeColor="text1"/>
          <w:sz w:val="26"/>
        </w:rPr>
        <w:t>Multicloud</w:t>
      </w:r>
      <w:proofErr w:type="spellEnd"/>
    </w:p>
    <w:p w14:paraId="2847CFB6" w14:textId="77777777" w:rsidR="008B335E" w:rsidRPr="008B335E" w:rsidRDefault="008B335E">
      <w:pPr>
        <w:spacing w:after="60"/>
        <w:jc w:val="center"/>
        <w:rPr>
          <w:rFonts w:cs="Arial"/>
          <w:color w:val="000000" w:themeColor="text1"/>
        </w:rPr>
      </w:pPr>
    </w:p>
    <w:p w14:paraId="1A65DD2F" w14:textId="41587D26" w:rsidR="00CD07E0" w:rsidRPr="008B335E" w:rsidRDefault="00000000" w:rsidP="008B335E">
      <w:pPr>
        <w:spacing w:after="400"/>
        <w:jc w:val="center"/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 xml:space="preserve">AWS </w:t>
      </w:r>
      <w:proofErr w:type="gramStart"/>
      <w:r w:rsidRPr="008B335E">
        <w:rPr>
          <w:rFonts w:cs="Arial"/>
          <w:color w:val="000000" w:themeColor="text1"/>
        </w:rPr>
        <w:t>Lambda  |</w:t>
      </w:r>
      <w:proofErr w:type="gramEnd"/>
      <w:r w:rsidRPr="008B335E">
        <w:rPr>
          <w:rFonts w:cs="Arial"/>
          <w:color w:val="000000" w:themeColor="text1"/>
        </w:rPr>
        <w:t xml:space="preserve">  Microsoft Azure </w:t>
      </w:r>
      <w:proofErr w:type="gramStart"/>
      <w:r w:rsidRPr="008B335E">
        <w:rPr>
          <w:rFonts w:cs="Arial"/>
          <w:color w:val="000000" w:themeColor="text1"/>
        </w:rPr>
        <w:t>Functions  |</w:t>
      </w:r>
      <w:proofErr w:type="gramEnd"/>
      <w:r w:rsidRPr="008B335E">
        <w:rPr>
          <w:rFonts w:cs="Arial"/>
          <w:color w:val="000000" w:themeColor="text1"/>
        </w:rPr>
        <w:t xml:space="preserve">  Google Cloud Functions</w:t>
      </w:r>
    </w:p>
    <w:p w14:paraId="50E32359" w14:textId="77777777" w:rsidR="00CD07E0" w:rsidRDefault="00000000">
      <w:pPr>
        <w:spacing w:after="80"/>
        <w:jc w:val="center"/>
        <w:rPr>
          <w:rFonts w:cs="Arial"/>
          <w:b/>
          <w:color w:val="000000" w:themeColor="text1"/>
          <w:sz w:val="22"/>
        </w:rPr>
      </w:pPr>
      <w:r w:rsidRPr="008B335E">
        <w:rPr>
          <w:rFonts w:cs="Arial"/>
          <w:b/>
          <w:color w:val="000000" w:themeColor="text1"/>
          <w:sz w:val="22"/>
        </w:rPr>
        <w:t xml:space="preserve">Grupo A — </w:t>
      </w:r>
      <w:proofErr w:type="spellStart"/>
      <w:r w:rsidRPr="008B335E">
        <w:rPr>
          <w:rFonts w:cs="Arial"/>
          <w:b/>
          <w:color w:val="000000" w:themeColor="text1"/>
          <w:sz w:val="22"/>
        </w:rPr>
        <w:t>Análise</w:t>
      </w:r>
      <w:proofErr w:type="spellEnd"/>
      <w:r w:rsidRPr="008B335E">
        <w:rPr>
          <w:rFonts w:cs="Arial"/>
          <w:b/>
          <w:color w:val="000000" w:themeColor="text1"/>
          <w:sz w:val="22"/>
        </w:rPr>
        <w:t xml:space="preserve"> e </w:t>
      </w:r>
      <w:proofErr w:type="spellStart"/>
      <w:r w:rsidRPr="008B335E">
        <w:rPr>
          <w:rFonts w:cs="Arial"/>
          <w:b/>
          <w:color w:val="000000" w:themeColor="text1"/>
          <w:sz w:val="22"/>
        </w:rPr>
        <w:t>projeção</w:t>
      </w:r>
      <w:proofErr w:type="spellEnd"/>
      <w:r w:rsidRPr="008B335E">
        <w:rPr>
          <w:rFonts w:cs="Arial"/>
          <w:b/>
          <w:color w:val="000000" w:themeColor="text1"/>
          <w:sz w:val="22"/>
        </w:rPr>
        <w:t xml:space="preserve"> de </w:t>
      </w:r>
      <w:proofErr w:type="spellStart"/>
      <w:r w:rsidRPr="008B335E">
        <w:rPr>
          <w:rFonts w:cs="Arial"/>
          <w:b/>
          <w:color w:val="000000" w:themeColor="text1"/>
          <w:sz w:val="22"/>
        </w:rPr>
        <w:t>investimentos</w:t>
      </w:r>
      <w:proofErr w:type="spellEnd"/>
    </w:p>
    <w:p w14:paraId="707DB982" w14:textId="77777777" w:rsidR="008B335E" w:rsidRDefault="008B335E">
      <w:pPr>
        <w:spacing w:after="80"/>
        <w:jc w:val="center"/>
        <w:rPr>
          <w:rFonts w:cs="Arial"/>
          <w:b/>
          <w:color w:val="000000" w:themeColor="text1"/>
          <w:sz w:val="22"/>
        </w:rPr>
      </w:pPr>
    </w:p>
    <w:p w14:paraId="5D52259F" w14:textId="77777777" w:rsidR="008B335E" w:rsidRDefault="008B335E">
      <w:pPr>
        <w:spacing w:after="80"/>
        <w:jc w:val="center"/>
        <w:rPr>
          <w:rFonts w:cs="Arial"/>
          <w:b/>
          <w:color w:val="000000" w:themeColor="text1"/>
          <w:sz w:val="22"/>
        </w:rPr>
      </w:pPr>
    </w:p>
    <w:p w14:paraId="17586ED7" w14:textId="77777777" w:rsidR="008B335E" w:rsidRPr="008B335E" w:rsidRDefault="008B335E">
      <w:pPr>
        <w:spacing w:after="80"/>
        <w:jc w:val="center"/>
        <w:rPr>
          <w:rFonts w:cs="Arial"/>
          <w:b/>
          <w:color w:val="000000" w:themeColor="text1"/>
          <w:sz w:val="22"/>
        </w:rPr>
      </w:pPr>
    </w:p>
    <w:p w14:paraId="7D29D102" w14:textId="77777777" w:rsidR="008B335E" w:rsidRPr="008B335E" w:rsidRDefault="008B335E">
      <w:pPr>
        <w:spacing w:after="80"/>
        <w:jc w:val="center"/>
        <w:rPr>
          <w:rFonts w:cs="Arial"/>
          <w:color w:val="000000" w:themeColor="text1"/>
        </w:rPr>
      </w:pPr>
    </w:p>
    <w:p w14:paraId="34CFEDEA" w14:textId="2E4A988C" w:rsidR="00CD07E0" w:rsidRDefault="00000000">
      <w:pPr>
        <w:spacing w:after="80"/>
        <w:jc w:val="center"/>
        <w:rPr>
          <w:rFonts w:cs="Arial"/>
          <w:color w:val="000000" w:themeColor="text1"/>
          <w:sz w:val="18"/>
        </w:rPr>
      </w:pPr>
      <w:proofErr w:type="spellStart"/>
      <w:r w:rsidRPr="008B335E">
        <w:rPr>
          <w:rFonts w:cs="Arial"/>
          <w:color w:val="000000" w:themeColor="text1"/>
          <w:sz w:val="18"/>
        </w:rPr>
        <w:t>Repositório</w:t>
      </w:r>
      <w:proofErr w:type="spellEnd"/>
      <w:r w:rsidRPr="008B335E">
        <w:rPr>
          <w:rFonts w:cs="Arial"/>
          <w:color w:val="000000" w:themeColor="text1"/>
          <w:sz w:val="18"/>
        </w:rPr>
        <w:t xml:space="preserve">: </w:t>
      </w:r>
      <w:hyperlink r:id="rId8" w:history="1">
        <w:r w:rsidR="00CD07E0" w:rsidRPr="008B335E">
          <w:rPr>
            <w:rStyle w:val="Hyperlink"/>
            <w:rFonts w:cs="Arial"/>
            <w:sz w:val="18"/>
          </w:rPr>
          <w:t>github.com/Pedro-Cavenaghi/</w:t>
        </w:r>
        <w:proofErr w:type="spellStart"/>
        <w:r w:rsidR="00CD07E0" w:rsidRPr="008B335E">
          <w:rPr>
            <w:rStyle w:val="Hyperlink"/>
            <w:rFonts w:cs="Arial"/>
            <w:sz w:val="18"/>
          </w:rPr>
          <w:t>Saasmulticloud</w:t>
        </w:r>
        <w:proofErr w:type="spellEnd"/>
      </w:hyperlink>
    </w:p>
    <w:p w14:paraId="705DE166" w14:textId="77777777" w:rsidR="008B335E" w:rsidRDefault="008B335E">
      <w:pPr>
        <w:spacing w:after="80"/>
        <w:jc w:val="center"/>
        <w:rPr>
          <w:rFonts w:cs="Arial"/>
          <w:color w:val="000000" w:themeColor="text1"/>
          <w:sz w:val="18"/>
        </w:rPr>
      </w:pPr>
    </w:p>
    <w:p w14:paraId="73EB5274" w14:textId="77777777" w:rsidR="008B335E" w:rsidRDefault="008B335E">
      <w:pPr>
        <w:spacing w:after="80"/>
        <w:jc w:val="center"/>
        <w:rPr>
          <w:rFonts w:cs="Arial"/>
          <w:color w:val="000000" w:themeColor="text1"/>
        </w:rPr>
      </w:pPr>
    </w:p>
    <w:p w14:paraId="56F4CC0A" w14:textId="77777777" w:rsidR="008B335E" w:rsidRDefault="008B335E">
      <w:pPr>
        <w:spacing w:after="80"/>
        <w:jc w:val="center"/>
        <w:rPr>
          <w:rFonts w:cs="Arial"/>
          <w:color w:val="000000" w:themeColor="text1"/>
        </w:rPr>
      </w:pPr>
    </w:p>
    <w:p w14:paraId="1C792683" w14:textId="77777777" w:rsidR="008B335E" w:rsidRDefault="008B335E">
      <w:pPr>
        <w:spacing w:after="80"/>
        <w:jc w:val="center"/>
        <w:rPr>
          <w:rFonts w:cs="Arial"/>
          <w:color w:val="000000" w:themeColor="text1"/>
        </w:rPr>
      </w:pPr>
    </w:p>
    <w:p w14:paraId="681A9A89" w14:textId="77777777" w:rsidR="008B335E" w:rsidRDefault="008B335E">
      <w:pPr>
        <w:spacing w:after="80"/>
        <w:jc w:val="center"/>
        <w:rPr>
          <w:rFonts w:cs="Arial"/>
          <w:color w:val="000000" w:themeColor="text1"/>
        </w:rPr>
      </w:pPr>
    </w:p>
    <w:p w14:paraId="45D42F32" w14:textId="77777777" w:rsidR="008B335E" w:rsidRDefault="008B335E">
      <w:pPr>
        <w:spacing w:after="80"/>
        <w:jc w:val="center"/>
        <w:rPr>
          <w:rFonts w:cs="Arial"/>
          <w:color w:val="000000" w:themeColor="text1"/>
        </w:rPr>
      </w:pPr>
    </w:p>
    <w:p w14:paraId="362CBC4D" w14:textId="009DA39A" w:rsidR="008B335E" w:rsidRPr="008B335E" w:rsidRDefault="008B335E" w:rsidP="008B335E">
      <w:pPr>
        <w:jc w:val="center"/>
        <w:rPr>
          <w:rFonts w:eastAsia="Arial Black" w:cs="Arial"/>
          <w:b/>
          <w:bCs/>
          <w:sz w:val="24"/>
          <w:szCs w:val="24"/>
        </w:rPr>
      </w:pPr>
      <w:r w:rsidRPr="008B335E">
        <w:rPr>
          <w:rFonts w:eastAsia="Arial Black" w:cs="Arial"/>
          <w:b/>
          <w:bCs/>
          <w:sz w:val="24"/>
          <w:szCs w:val="24"/>
        </w:rPr>
        <w:t>Felipe Eduardo Franco</w:t>
      </w:r>
    </w:p>
    <w:p w14:paraId="53300A08" w14:textId="3D8C2BE5" w:rsidR="008B335E" w:rsidRPr="008B335E" w:rsidRDefault="008B335E" w:rsidP="008B335E">
      <w:pPr>
        <w:jc w:val="center"/>
        <w:rPr>
          <w:rFonts w:eastAsia="Arial Black" w:cs="Arial"/>
          <w:b/>
          <w:bCs/>
          <w:sz w:val="24"/>
          <w:szCs w:val="24"/>
        </w:rPr>
      </w:pPr>
      <w:r w:rsidRPr="008B335E">
        <w:rPr>
          <w:rFonts w:eastAsia="Arial Black" w:cs="Arial"/>
          <w:b/>
          <w:bCs/>
          <w:sz w:val="24"/>
          <w:szCs w:val="24"/>
        </w:rPr>
        <w:t>João Pedro Baradelli Pavan</w:t>
      </w:r>
    </w:p>
    <w:p w14:paraId="74FDB137" w14:textId="5F6DC5EE" w:rsidR="008B335E" w:rsidRPr="008B335E" w:rsidRDefault="008B335E" w:rsidP="008B335E">
      <w:pPr>
        <w:jc w:val="center"/>
        <w:rPr>
          <w:rFonts w:eastAsia="Arial Black" w:cs="Arial"/>
          <w:b/>
          <w:bCs/>
          <w:sz w:val="24"/>
          <w:szCs w:val="24"/>
        </w:rPr>
      </w:pPr>
      <w:r w:rsidRPr="008B335E">
        <w:rPr>
          <w:rFonts w:eastAsia="Arial Black" w:cs="Arial"/>
          <w:b/>
          <w:bCs/>
          <w:sz w:val="24"/>
          <w:szCs w:val="24"/>
        </w:rPr>
        <w:t xml:space="preserve">João Luís </w:t>
      </w:r>
      <w:proofErr w:type="gramStart"/>
      <w:r w:rsidRPr="008B335E">
        <w:rPr>
          <w:rFonts w:eastAsia="Arial Black" w:cs="Arial"/>
          <w:b/>
          <w:bCs/>
          <w:sz w:val="24"/>
          <w:szCs w:val="24"/>
        </w:rPr>
        <w:t>Da</w:t>
      </w:r>
      <w:proofErr w:type="gramEnd"/>
      <w:r w:rsidRPr="008B335E">
        <w:rPr>
          <w:rFonts w:eastAsia="Arial Black" w:cs="Arial"/>
          <w:b/>
          <w:bCs/>
          <w:sz w:val="24"/>
          <w:szCs w:val="24"/>
        </w:rPr>
        <w:t xml:space="preserve"> Silva</w:t>
      </w:r>
    </w:p>
    <w:p w14:paraId="438482CA" w14:textId="2488FEC6" w:rsidR="008B335E" w:rsidRPr="008B335E" w:rsidRDefault="008B335E" w:rsidP="008B335E">
      <w:pPr>
        <w:jc w:val="center"/>
        <w:rPr>
          <w:rFonts w:eastAsia="Arial Black" w:cs="Arial"/>
          <w:b/>
          <w:bCs/>
          <w:sz w:val="24"/>
          <w:szCs w:val="24"/>
        </w:rPr>
      </w:pPr>
      <w:r w:rsidRPr="008B335E">
        <w:rPr>
          <w:rFonts w:eastAsia="Arial Black" w:cs="Arial"/>
          <w:b/>
          <w:bCs/>
          <w:sz w:val="24"/>
          <w:szCs w:val="24"/>
        </w:rPr>
        <w:t>Pedro Henrique Cavenaghi Dos Santos</w:t>
      </w:r>
    </w:p>
    <w:p w14:paraId="4D9A6A4E" w14:textId="19B02CF2" w:rsidR="008B335E" w:rsidRPr="008B335E" w:rsidRDefault="008B335E" w:rsidP="008B335E">
      <w:pPr>
        <w:jc w:val="center"/>
        <w:rPr>
          <w:rFonts w:eastAsia="Arial Black" w:cs="Arial"/>
          <w:b/>
          <w:bCs/>
          <w:sz w:val="24"/>
          <w:szCs w:val="24"/>
        </w:rPr>
      </w:pPr>
      <w:r w:rsidRPr="008B335E">
        <w:rPr>
          <w:rFonts w:eastAsia="Arial Black" w:cs="Arial"/>
          <w:b/>
          <w:bCs/>
          <w:sz w:val="24"/>
          <w:szCs w:val="24"/>
        </w:rPr>
        <w:t>Samuel Santos Oliveira</w:t>
      </w:r>
    </w:p>
    <w:p w14:paraId="72E6109D" w14:textId="77777777" w:rsidR="008B335E" w:rsidRDefault="008B335E">
      <w:pPr>
        <w:spacing w:after="80"/>
        <w:jc w:val="center"/>
        <w:rPr>
          <w:rFonts w:cs="Arial"/>
          <w:color w:val="000000" w:themeColor="text1"/>
        </w:rPr>
      </w:pPr>
    </w:p>
    <w:p w14:paraId="62F47B0C" w14:textId="77777777" w:rsidR="008B335E" w:rsidRDefault="008B335E">
      <w:pPr>
        <w:spacing w:after="80"/>
        <w:jc w:val="center"/>
        <w:rPr>
          <w:rFonts w:cs="Arial"/>
          <w:color w:val="000000" w:themeColor="text1"/>
        </w:rPr>
      </w:pPr>
    </w:p>
    <w:p w14:paraId="148BB7A6" w14:textId="77777777" w:rsidR="008B335E" w:rsidRDefault="008B335E">
      <w:pPr>
        <w:spacing w:after="80"/>
        <w:jc w:val="center"/>
        <w:rPr>
          <w:rFonts w:cs="Arial"/>
          <w:color w:val="000000" w:themeColor="text1"/>
        </w:rPr>
      </w:pPr>
    </w:p>
    <w:p w14:paraId="5B292F12" w14:textId="77777777" w:rsidR="008B335E" w:rsidRDefault="008B335E">
      <w:pPr>
        <w:spacing w:after="80"/>
        <w:jc w:val="center"/>
        <w:rPr>
          <w:rFonts w:cs="Arial"/>
          <w:color w:val="000000" w:themeColor="text1"/>
        </w:rPr>
      </w:pPr>
    </w:p>
    <w:p w14:paraId="048A377C" w14:textId="77777777" w:rsidR="008B335E" w:rsidRDefault="008B335E">
      <w:pPr>
        <w:spacing w:after="80"/>
        <w:jc w:val="center"/>
        <w:rPr>
          <w:rFonts w:cs="Arial"/>
          <w:color w:val="000000" w:themeColor="text1"/>
        </w:rPr>
      </w:pPr>
    </w:p>
    <w:p w14:paraId="3D0C4BD6" w14:textId="77777777" w:rsidR="008B335E" w:rsidRPr="008B335E" w:rsidRDefault="008B335E">
      <w:pPr>
        <w:spacing w:after="80"/>
        <w:jc w:val="center"/>
        <w:rPr>
          <w:rFonts w:cs="Arial"/>
          <w:color w:val="000000" w:themeColor="text1"/>
        </w:rPr>
      </w:pPr>
    </w:p>
    <w:p w14:paraId="7B1640B9" w14:textId="77777777" w:rsidR="008B335E" w:rsidRPr="008B335E" w:rsidRDefault="008B335E">
      <w:pPr>
        <w:jc w:val="center"/>
        <w:rPr>
          <w:rFonts w:cs="Arial"/>
          <w:color w:val="000000" w:themeColor="text1"/>
          <w:sz w:val="18"/>
        </w:rPr>
      </w:pPr>
    </w:p>
    <w:p w14:paraId="27E70905" w14:textId="16B903CD" w:rsidR="00CD07E0" w:rsidRPr="008B335E" w:rsidRDefault="00000000">
      <w:pPr>
        <w:jc w:val="center"/>
        <w:rPr>
          <w:rFonts w:cs="Arial"/>
          <w:b/>
          <w:bCs/>
          <w:color w:val="000000" w:themeColor="text1"/>
          <w:sz w:val="22"/>
          <w:szCs w:val="24"/>
        </w:rPr>
      </w:pPr>
      <w:r w:rsidRPr="008B335E">
        <w:rPr>
          <w:rFonts w:cs="Arial"/>
          <w:b/>
          <w:bCs/>
          <w:color w:val="000000" w:themeColor="text1"/>
          <w:szCs w:val="24"/>
        </w:rPr>
        <w:t xml:space="preserve">26 de </w:t>
      </w:r>
      <w:proofErr w:type="spellStart"/>
      <w:r w:rsidRPr="008B335E">
        <w:rPr>
          <w:rFonts w:cs="Arial"/>
          <w:b/>
          <w:bCs/>
          <w:color w:val="000000" w:themeColor="text1"/>
          <w:szCs w:val="24"/>
        </w:rPr>
        <w:t>outubro</w:t>
      </w:r>
      <w:proofErr w:type="spellEnd"/>
      <w:r w:rsidRPr="008B335E">
        <w:rPr>
          <w:rFonts w:cs="Arial"/>
          <w:b/>
          <w:bCs/>
          <w:color w:val="000000" w:themeColor="text1"/>
          <w:szCs w:val="24"/>
        </w:rPr>
        <w:t xml:space="preserve"> de 2026</w:t>
      </w:r>
    </w:p>
    <w:p w14:paraId="5CD78318" w14:textId="45EA52F9" w:rsidR="00CD07E0" w:rsidRPr="008B335E" w:rsidRDefault="00000000" w:rsidP="00025787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br w:type="page"/>
      </w:r>
      <w:r w:rsidR="00E965BB">
        <w:rPr>
          <w:rFonts w:cs="Arial"/>
          <w:b/>
          <w:color w:val="000000" w:themeColor="text1"/>
          <w:sz w:val="28"/>
        </w:rPr>
        <w:lastRenderedPageBreak/>
        <w:t>1.</w:t>
      </w:r>
      <w:r w:rsidRPr="008B335E">
        <w:rPr>
          <w:rFonts w:cs="Arial"/>
          <w:b/>
          <w:color w:val="000000" w:themeColor="text1"/>
          <w:sz w:val="28"/>
        </w:rPr>
        <w:t xml:space="preserve"> Arquitetura da solução</w:t>
      </w:r>
    </w:p>
    <w:p w14:paraId="52CD10E6" w14:textId="77777777" w:rsidR="00CD07E0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 xml:space="preserve">O frontend é responsável por receber os dados, validar os campos, disparar as requisições, medir a latência e consolidar as respostas. Cada provedor executa uma responsabilidade específica. O dashboard mantém os módulos independentes para que a falha de um serviço não impeça </w:t>
      </w:r>
      <w:proofErr w:type="gramStart"/>
      <w:r w:rsidRPr="008B335E">
        <w:rPr>
          <w:rFonts w:cs="Arial"/>
          <w:color w:val="000000" w:themeColor="text1"/>
        </w:rPr>
        <w:t>a</w:t>
      </w:r>
      <w:proofErr w:type="gramEnd"/>
      <w:r w:rsidRPr="008B335E">
        <w:rPr>
          <w:rFonts w:cs="Arial"/>
          <w:color w:val="000000" w:themeColor="text1"/>
        </w:rPr>
        <w:t xml:space="preserve"> </w:t>
      </w:r>
      <w:proofErr w:type="spellStart"/>
      <w:r w:rsidRPr="008B335E">
        <w:rPr>
          <w:rFonts w:cs="Arial"/>
          <w:color w:val="000000" w:themeColor="text1"/>
        </w:rPr>
        <w:t>apresentação</w:t>
      </w:r>
      <w:proofErr w:type="spellEnd"/>
      <w:r w:rsidRPr="008B335E">
        <w:rPr>
          <w:rFonts w:cs="Arial"/>
          <w:color w:val="000000" w:themeColor="text1"/>
        </w:rPr>
        <w:t xml:space="preserve"> dos </w:t>
      </w:r>
      <w:proofErr w:type="spellStart"/>
      <w:r w:rsidRPr="008B335E">
        <w:rPr>
          <w:rFonts w:cs="Arial"/>
          <w:color w:val="000000" w:themeColor="text1"/>
        </w:rPr>
        <w:t>resultados</w:t>
      </w:r>
      <w:proofErr w:type="spellEnd"/>
      <w:r w:rsidRPr="008B335E">
        <w:rPr>
          <w:rFonts w:cs="Arial"/>
          <w:color w:val="000000" w:themeColor="text1"/>
        </w:rPr>
        <w:t xml:space="preserve"> dos </w:t>
      </w:r>
      <w:proofErr w:type="spellStart"/>
      <w:r w:rsidRPr="008B335E">
        <w:rPr>
          <w:rFonts w:cs="Arial"/>
          <w:color w:val="000000" w:themeColor="text1"/>
        </w:rPr>
        <w:t>demais</w:t>
      </w:r>
      <w:proofErr w:type="spellEnd"/>
      <w:r w:rsidRPr="008B335E">
        <w:rPr>
          <w:rFonts w:cs="Arial"/>
          <w:color w:val="000000" w:themeColor="text1"/>
        </w:rPr>
        <w:t>.</w:t>
      </w:r>
    </w:p>
    <w:p w14:paraId="73FF9EAD" w14:textId="77777777" w:rsidR="00025787" w:rsidRPr="008B335E" w:rsidRDefault="00025787">
      <w:pPr>
        <w:rPr>
          <w:rFonts w:cs="Arial"/>
          <w:color w:val="000000" w:themeColor="text1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D07E0" w:rsidRPr="008B335E" w14:paraId="7BB9D743" w14:textId="77777777">
        <w:trPr>
          <w:jc w:val="center"/>
        </w:trPr>
        <w:tc>
          <w:tcPr>
            <w:tcW w:w="10224" w:type="dxa"/>
            <w:tcBorders>
              <w:top w:val="single" w:sz="10" w:space="0" w:color="1769AA"/>
              <w:left w:val="single" w:sz="10" w:space="0" w:color="1769AA"/>
              <w:bottom w:val="single" w:sz="10" w:space="0" w:color="1769AA"/>
              <w:right w:val="single" w:sz="10" w:space="0" w:color="1769AA"/>
            </w:tcBorders>
            <w:shd w:val="clear" w:color="auto" w:fill="EEF5FA"/>
            <w:vAlign w:val="center"/>
          </w:tcPr>
          <w:p w14:paraId="200E37F3" w14:textId="77777777" w:rsidR="00CD07E0" w:rsidRPr="008B335E" w:rsidRDefault="00000000">
            <w:pPr>
              <w:spacing w:after="60"/>
              <w:jc w:val="center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b/>
                <w:color w:val="000000" w:themeColor="text1"/>
              </w:rPr>
              <w:t>1 — USUÁRIO</w:t>
            </w:r>
          </w:p>
          <w:p w14:paraId="5C852A6F" w14:textId="77777777" w:rsidR="00CD07E0" w:rsidRPr="008B335E" w:rsidRDefault="00000000">
            <w:pPr>
              <w:spacing w:after="0"/>
              <w:jc w:val="center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8"/>
              </w:rPr>
              <w:t>Acessa a IHMInvest pelo navegador e informa valor inicial, aporte mensal, taxa de juros anual, prazo em meses e inflação estimada.</w:t>
            </w:r>
          </w:p>
        </w:tc>
      </w:tr>
    </w:tbl>
    <w:p w14:paraId="2384179C" w14:textId="77777777" w:rsidR="00CD07E0" w:rsidRPr="008B335E" w:rsidRDefault="00000000">
      <w:pPr>
        <w:spacing w:after="0"/>
        <w:jc w:val="center"/>
        <w:rPr>
          <w:rFonts w:cs="Arial"/>
          <w:color w:val="000000" w:themeColor="text1"/>
        </w:rPr>
      </w:pPr>
      <w:r w:rsidRPr="008B335E">
        <w:rPr>
          <w:rFonts w:cs="Arial"/>
          <w:b/>
          <w:color w:val="000000" w:themeColor="text1"/>
          <w:sz w:val="2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D07E0" w:rsidRPr="008B335E" w14:paraId="437BB37E" w14:textId="77777777">
        <w:trPr>
          <w:jc w:val="center"/>
        </w:trPr>
        <w:tc>
          <w:tcPr>
            <w:tcW w:w="10224" w:type="dxa"/>
            <w:tcBorders>
              <w:top w:val="single" w:sz="10" w:space="0" w:color="1769AA"/>
              <w:left w:val="single" w:sz="10" w:space="0" w:color="1769AA"/>
              <w:bottom w:val="single" w:sz="10" w:space="0" w:color="1769AA"/>
              <w:right w:val="single" w:sz="10" w:space="0" w:color="1769AA"/>
            </w:tcBorders>
            <w:shd w:val="clear" w:color="auto" w:fill="EEF5FA"/>
            <w:vAlign w:val="center"/>
          </w:tcPr>
          <w:p w14:paraId="1D8A6F4D" w14:textId="77777777" w:rsidR="00CD07E0" w:rsidRPr="008B335E" w:rsidRDefault="00000000">
            <w:pPr>
              <w:spacing w:after="60"/>
              <w:jc w:val="center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b/>
                <w:color w:val="000000" w:themeColor="text1"/>
              </w:rPr>
              <w:t>2 — FRONTEND SPA / IHMInvest</w:t>
            </w:r>
          </w:p>
          <w:p w14:paraId="62DC9637" w14:textId="77777777" w:rsidR="00CD07E0" w:rsidRPr="008B335E" w:rsidRDefault="00000000">
            <w:pPr>
              <w:spacing w:after="0"/>
              <w:jc w:val="center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8"/>
              </w:rPr>
              <w:t>Valida os dados e envia requisições POST com JSON para as três funções. Exibe os estados, os resultados e a latência de cada provedor.</w:t>
            </w:r>
          </w:p>
        </w:tc>
      </w:tr>
    </w:tbl>
    <w:p w14:paraId="7BA1B7BF" w14:textId="77777777" w:rsidR="00CD07E0" w:rsidRPr="008B335E" w:rsidRDefault="00000000">
      <w:pPr>
        <w:spacing w:after="0"/>
        <w:jc w:val="center"/>
        <w:rPr>
          <w:rFonts w:cs="Arial"/>
          <w:color w:val="000000" w:themeColor="text1"/>
        </w:rPr>
      </w:pPr>
      <w:r w:rsidRPr="008B335E">
        <w:rPr>
          <w:rFonts w:cs="Arial"/>
          <w:b/>
          <w:color w:val="000000" w:themeColor="text1"/>
          <w:sz w:val="2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D07E0" w:rsidRPr="008B335E" w14:paraId="4A36A023" w14:textId="77777777">
        <w:trPr>
          <w:jc w:val="center"/>
        </w:trPr>
        <w:tc>
          <w:tcPr>
            <w:tcW w:w="3408" w:type="dxa"/>
            <w:tcBorders>
              <w:top w:val="single" w:sz="8" w:space="0" w:color="1769AA"/>
              <w:left w:val="single" w:sz="8" w:space="0" w:color="1769AA"/>
              <w:bottom w:val="single" w:sz="8" w:space="0" w:color="1769AA"/>
              <w:right w:val="single" w:sz="8" w:space="0" w:color="1769AA"/>
            </w:tcBorders>
            <w:shd w:val="clear" w:color="auto" w:fill="EEF5FA"/>
          </w:tcPr>
          <w:p w14:paraId="06130577" w14:textId="77777777" w:rsidR="00CD07E0" w:rsidRPr="008B335E" w:rsidRDefault="00000000">
            <w:pPr>
              <w:spacing w:after="60"/>
              <w:jc w:val="center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b/>
                <w:color w:val="000000" w:themeColor="text1"/>
                <w:sz w:val="18"/>
              </w:rPr>
              <w:t>3A — AWS LAMBDA</w:t>
            </w:r>
          </w:p>
          <w:p w14:paraId="22C54913" w14:textId="77777777" w:rsidR="00CD07E0" w:rsidRPr="008B335E" w:rsidRDefault="00000000">
            <w:pPr>
              <w:spacing w:after="60"/>
              <w:jc w:val="center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b/>
                <w:color w:val="000000" w:themeColor="text1"/>
                <w:sz w:val="17"/>
              </w:rPr>
              <w:t>Cálculo do investimento</w:t>
            </w:r>
          </w:p>
          <w:p w14:paraId="05912324" w14:textId="77777777" w:rsidR="00CD07E0" w:rsidRPr="008B335E" w:rsidRDefault="00000000">
            <w:pPr>
              <w:spacing w:after="0"/>
              <w:jc w:val="center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Retorna montante projetado, total investido e rendimento.</w:t>
            </w:r>
          </w:p>
        </w:tc>
        <w:tc>
          <w:tcPr>
            <w:tcW w:w="3408" w:type="dxa"/>
            <w:tcBorders>
              <w:top w:val="single" w:sz="8" w:space="0" w:color="1769AA"/>
              <w:left w:val="single" w:sz="8" w:space="0" w:color="1769AA"/>
              <w:bottom w:val="single" w:sz="8" w:space="0" w:color="1769AA"/>
              <w:right w:val="single" w:sz="8" w:space="0" w:color="1769AA"/>
            </w:tcBorders>
            <w:shd w:val="clear" w:color="auto" w:fill="EEF5FA"/>
          </w:tcPr>
          <w:p w14:paraId="2BFDC943" w14:textId="77777777" w:rsidR="00CD07E0" w:rsidRPr="008B335E" w:rsidRDefault="00000000">
            <w:pPr>
              <w:spacing w:after="60"/>
              <w:jc w:val="center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b/>
                <w:color w:val="000000" w:themeColor="text1"/>
                <w:sz w:val="18"/>
              </w:rPr>
              <w:t>3B — AZURE FUNCTIONS</w:t>
            </w:r>
          </w:p>
          <w:p w14:paraId="421ED71F" w14:textId="77777777" w:rsidR="00CD07E0" w:rsidRPr="008B335E" w:rsidRDefault="00000000">
            <w:pPr>
              <w:spacing w:after="60"/>
              <w:jc w:val="center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b/>
                <w:color w:val="000000" w:themeColor="text1"/>
                <w:sz w:val="17"/>
              </w:rPr>
              <w:t>Conversão cambial</w:t>
            </w:r>
          </w:p>
          <w:p w14:paraId="342F9A8D" w14:textId="77777777" w:rsidR="00CD07E0" w:rsidRPr="008B335E" w:rsidRDefault="00000000">
            <w:pPr>
              <w:spacing w:after="0"/>
              <w:jc w:val="center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Converte o montante em reais para USD e EUR.</w:t>
            </w:r>
          </w:p>
        </w:tc>
        <w:tc>
          <w:tcPr>
            <w:tcW w:w="3408" w:type="dxa"/>
            <w:tcBorders>
              <w:top w:val="single" w:sz="8" w:space="0" w:color="1769AA"/>
              <w:left w:val="single" w:sz="8" w:space="0" w:color="1769AA"/>
              <w:bottom w:val="single" w:sz="8" w:space="0" w:color="1769AA"/>
              <w:right w:val="single" w:sz="8" w:space="0" w:color="1769AA"/>
            </w:tcBorders>
            <w:shd w:val="clear" w:color="auto" w:fill="EEF5FA"/>
          </w:tcPr>
          <w:p w14:paraId="2148E858" w14:textId="77777777" w:rsidR="00CD07E0" w:rsidRPr="008B335E" w:rsidRDefault="00000000">
            <w:pPr>
              <w:spacing w:after="60"/>
              <w:jc w:val="center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b/>
                <w:color w:val="000000" w:themeColor="text1"/>
                <w:sz w:val="18"/>
              </w:rPr>
              <w:t>3C — GOOGLE CLOUD</w:t>
            </w:r>
          </w:p>
          <w:p w14:paraId="050638A3" w14:textId="77777777" w:rsidR="00CD07E0" w:rsidRPr="008B335E" w:rsidRDefault="00000000">
            <w:pPr>
              <w:spacing w:after="60"/>
              <w:jc w:val="center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b/>
                <w:color w:val="000000" w:themeColor="text1"/>
                <w:sz w:val="17"/>
              </w:rPr>
              <w:t>Poder de compra</w:t>
            </w:r>
          </w:p>
          <w:p w14:paraId="5AB76F53" w14:textId="77777777" w:rsidR="00CD07E0" w:rsidRPr="008B335E" w:rsidRDefault="00000000">
            <w:pPr>
              <w:spacing w:after="0"/>
              <w:jc w:val="center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Calcula o valor real estimado após o efeito da inflação.</w:t>
            </w:r>
          </w:p>
        </w:tc>
      </w:tr>
    </w:tbl>
    <w:p w14:paraId="2CAA4884" w14:textId="77777777" w:rsidR="00CD07E0" w:rsidRPr="008B335E" w:rsidRDefault="00000000">
      <w:pPr>
        <w:spacing w:after="0"/>
        <w:jc w:val="center"/>
        <w:rPr>
          <w:rFonts w:cs="Arial"/>
          <w:color w:val="000000" w:themeColor="text1"/>
        </w:rPr>
      </w:pPr>
      <w:r w:rsidRPr="008B335E">
        <w:rPr>
          <w:rFonts w:cs="Arial"/>
          <w:b/>
          <w:color w:val="000000" w:themeColor="text1"/>
          <w:sz w:val="2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D07E0" w:rsidRPr="008B335E" w14:paraId="35380190" w14:textId="77777777">
        <w:trPr>
          <w:jc w:val="center"/>
        </w:trPr>
        <w:tc>
          <w:tcPr>
            <w:tcW w:w="10224" w:type="dxa"/>
            <w:tcBorders>
              <w:top w:val="single" w:sz="10" w:space="0" w:color="1769AA"/>
              <w:left w:val="single" w:sz="10" w:space="0" w:color="1769AA"/>
              <w:bottom w:val="single" w:sz="10" w:space="0" w:color="1769AA"/>
              <w:right w:val="single" w:sz="10" w:space="0" w:color="1769AA"/>
            </w:tcBorders>
            <w:shd w:val="clear" w:color="auto" w:fill="EAF6F1"/>
            <w:vAlign w:val="center"/>
          </w:tcPr>
          <w:p w14:paraId="1BACB5B7" w14:textId="77777777" w:rsidR="00CD07E0" w:rsidRPr="008B335E" w:rsidRDefault="00000000">
            <w:pPr>
              <w:spacing w:after="60"/>
              <w:jc w:val="center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b/>
                <w:color w:val="000000" w:themeColor="text1"/>
              </w:rPr>
              <w:t>4 — DASHBOARD CONSOLIDADO</w:t>
            </w:r>
          </w:p>
          <w:p w14:paraId="4BC3E514" w14:textId="77777777" w:rsidR="00CD07E0" w:rsidRPr="008B335E" w:rsidRDefault="00000000">
            <w:pPr>
              <w:spacing w:after="0"/>
              <w:jc w:val="center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8"/>
              </w:rPr>
              <w:t>Apresenta os resultados financeiros, identifica o provedor de cada módulo e informa o estado e a latência da requisição. Quando um endpoint falha ou excede o tempo limite, o módulo apresenta fallback sem bloquear os demais.</w:t>
            </w:r>
          </w:p>
        </w:tc>
      </w:tr>
    </w:tbl>
    <w:p w14:paraId="40A0CE39" w14:textId="1E99D566" w:rsidR="00CD07E0" w:rsidRDefault="00CD07E0">
      <w:pPr>
        <w:spacing w:after="0"/>
        <w:jc w:val="center"/>
        <w:rPr>
          <w:rFonts w:cs="Arial"/>
          <w:b/>
          <w:color w:val="000000" w:themeColor="text1"/>
          <w:sz w:val="22"/>
        </w:rPr>
      </w:pPr>
    </w:p>
    <w:p w14:paraId="22383F80" w14:textId="77777777" w:rsidR="008B335E" w:rsidRPr="008B335E" w:rsidRDefault="008B335E">
      <w:pPr>
        <w:spacing w:after="0"/>
        <w:jc w:val="center"/>
        <w:rPr>
          <w:rFonts w:cs="Arial"/>
          <w:color w:val="000000" w:themeColor="text1"/>
        </w:rPr>
      </w:pPr>
    </w:p>
    <w:p w14:paraId="1A91DF86" w14:textId="6B22F5DC" w:rsidR="00CD07E0" w:rsidRPr="008B335E" w:rsidRDefault="00025787">
      <w:pPr>
        <w:spacing w:before="200"/>
        <w:rPr>
          <w:rFonts w:cs="Arial"/>
          <w:color w:val="000000" w:themeColor="text1"/>
        </w:rPr>
      </w:pPr>
      <w:r>
        <w:rPr>
          <w:rFonts w:cs="Arial"/>
          <w:b/>
          <w:color w:val="000000" w:themeColor="text1"/>
          <w:sz w:val="28"/>
        </w:rPr>
        <w:t>2</w:t>
      </w:r>
      <w:r w:rsidRPr="008B335E">
        <w:rPr>
          <w:rFonts w:cs="Arial"/>
          <w:b/>
          <w:color w:val="000000" w:themeColor="text1"/>
          <w:sz w:val="28"/>
        </w:rPr>
        <w:t>. Especificação dos endpoints</w:t>
      </w:r>
    </w:p>
    <w:p w14:paraId="6938CB61" w14:textId="77777777" w:rsidR="00CD07E0" w:rsidRDefault="00000000" w:rsidP="00025787">
      <w:pPr>
        <w:jc w:val="both"/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 xml:space="preserve">As três funções expõem endpoints HTTP do método POST e recebem dados JSON. As respostas de sucesso usam HTTP 200; entradas inválidas devem retornar HTTP 400 e falhas internas, HTTP 500. Os exemplos </w:t>
      </w:r>
      <w:proofErr w:type="spellStart"/>
      <w:r w:rsidRPr="008B335E">
        <w:rPr>
          <w:rFonts w:cs="Arial"/>
          <w:color w:val="000000" w:themeColor="text1"/>
        </w:rPr>
        <w:t>abaixo</w:t>
      </w:r>
      <w:proofErr w:type="spellEnd"/>
      <w:r w:rsidRPr="008B335E">
        <w:rPr>
          <w:rFonts w:cs="Arial"/>
          <w:color w:val="000000" w:themeColor="text1"/>
        </w:rPr>
        <w:t xml:space="preserve"> </w:t>
      </w:r>
      <w:proofErr w:type="spellStart"/>
      <w:r w:rsidRPr="008B335E">
        <w:rPr>
          <w:rFonts w:cs="Arial"/>
          <w:color w:val="000000" w:themeColor="text1"/>
        </w:rPr>
        <w:t>definem</w:t>
      </w:r>
      <w:proofErr w:type="spellEnd"/>
      <w:r w:rsidRPr="008B335E">
        <w:rPr>
          <w:rFonts w:cs="Arial"/>
          <w:color w:val="000000" w:themeColor="text1"/>
        </w:rPr>
        <w:t xml:space="preserve"> </w:t>
      </w:r>
      <w:proofErr w:type="spellStart"/>
      <w:r w:rsidRPr="008B335E">
        <w:rPr>
          <w:rFonts w:cs="Arial"/>
          <w:color w:val="000000" w:themeColor="text1"/>
        </w:rPr>
        <w:t>os</w:t>
      </w:r>
      <w:proofErr w:type="spellEnd"/>
      <w:r w:rsidRPr="008B335E">
        <w:rPr>
          <w:rFonts w:cs="Arial"/>
          <w:color w:val="000000" w:themeColor="text1"/>
        </w:rPr>
        <w:t xml:space="preserve"> </w:t>
      </w:r>
      <w:proofErr w:type="spellStart"/>
      <w:r w:rsidRPr="008B335E">
        <w:rPr>
          <w:rFonts w:cs="Arial"/>
          <w:color w:val="000000" w:themeColor="text1"/>
        </w:rPr>
        <w:t>contratos</w:t>
      </w:r>
      <w:proofErr w:type="spellEnd"/>
      <w:r w:rsidRPr="008B335E">
        <w:rPr>
          <w:rFonts w:cs="Arial"/>
          <w:color w:val="000000" w:themeColor="text1"/>
        </w:rPr>
        <w:t xml:space="preserve"> </w:t>
      </w:r>
      <w:proofErr w:type="spellStart"/>
      <w:r w:rsidRPr="008B335E">
        <w:rPr>
          <w:rFonts w:cs="Arial"/>
          <w:color w:val="000000" w:themeColor="text1"/>
        </w:rPr>
        <w:t>utilizados</w:t>
      </w:r>
      <w:proofErr w:type="spellEnd"/>
      <w:r w:rsidRPr="008B335E">
        <w:rPr>
          <w:rFonts w:cs="Arial"/>
          <w:color w:val="000000" w:themeColor="text1"/>
        </w:rPr>
        <w:t xml:space="preserve"> pela </w:t>
      </w:r>
      <w:proofErr w:type="spellStart"/>
      <w:r w:rsidRPr="008B335E">
        <w:rPr>
          <w:rFonts w:cs="Arial"/>
          <w:color w:val="000000" w:themeColor="text1"/>
        </w:rPr>
        <w:t>aplicação</w:t>
      </w:r>
      <w:proofErr w:type="spellEnd"/>
      <w:r w:rsidRPr="008B335E">
        <w:rPr>
          <w:rFonts w:cs="Arial"/>
          <w:color w:val="000000" w:themeColor="text1"/>
        </w:rPr>
        <w:t>.</w:t>
      </w:r>
    </w:p>
    <w:p w14:paraId="42DF2ED1" w14:textId="193BAB21" w:rsidR="00CD07E0" w:rsidRPr="008B335E" w:rsidRDefault="00025787">
      <w:pPr>
        <w:spacing w:before="120" w:after="60"/>
        <w:rPr>
          <w:rFonts w:cs="Arial"/>
          <w:color w:val="000000" w:themeColor="text1"/>
        </w:rPr>
      </w:pPr>
      <w:r>
        <w:rPr>
          <w:rFonts w:cs="Arial"/>
          <w:b/>
          <w:color w:val="000000" w:themeColor="text1"/>
          <w:sz w:val="22"/>
        </w:rPr>
        <w:t>2</w:t>
      </w:r>
      <w:r w:rsidRPr="008B335E">
        <w:rPr>
          <w:rFonts w:cs="Arial"/>
          <w:b/>
          <w:color w:val="000000" w:themeColor="text1"/>
          <w:sz w:val="22"/>
        </w:rPr>
        <w:t>.1 AWS Lambda — cálculo de investimento</w:t>
      </w:r>
    </w:p>
    <w:p w14:paraId="0713D4F5" w14:textId="77777777" w:rsidR="00CD07E0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>Método: POST. Rota lógica: /calculate-investment. O endpoint público é definido na publicação da função e configurado no frontend.</w:t>
      </w:r>
    </w:p>
    <w:p w14:paraId="1EDD63FE" w14:textId="77777777" w:rsidR="00CD07E0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>Request — exemplo de entrada: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D07E0" w:rsidRPr="008B335E" w14:paraId="128431C2" w14:textId="77777777">
        <w:trPr>
          <w:jc w:val="center"/>
        </w:trPr>
        <w:tc>
          <w:tcPr>
            <w:tcW w:w="10224" w:type="dxa"/>
            <w:tcBorders>
              <w:top w:val="single" w:sz="5" w:space="0" w:color="CBD8E3"/>
              <w:left w:val="single" w:sz="5" w:space="0" w:color="CBD8E3"/>
              <w:bottom w:val="single" w:sz="5" w:space="0" w:color="CBD8E3"/>
              <w:right w:val="single" w:sz="5" w:space="0" w:color="CBD8E3"/>
            </w:tcBorders>
            <w:shd w:val="clear" w:color="auto" w:fill="F6F9FC"/>
          </w:tcPr>
          <w:p w14:paraId="2E51C876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7"/>
              </w:rPr>
              <w:t>{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 xml:space="preserve">  "initial": 10000,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 xml:space="preserve">  "monthly": 500,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 xml:space="preserve">  "annualRate": 0.10,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 xml:space="preserve">  "months": 60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>}</w:t>
            </w:r>
          </w:p>
        </w:tc>
      </w:tr>
    </w:tbl>
    <w:p w14:paraId="74759F9D" w14:textId="77777777" w:rsidR="00CD07E0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>Response — exemplo de saída: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D07E0" w:rsidRPr="008B335E" w14:paraId="482AFA0C" w14:textId="77777777">
        <w:trPr>
          <w:jc w:val="center"/>
        </w:trPr>
        <w:tc>
          <w:tcPr>
            <w:tcW w:w="10224" w:type="dxa"/>
            <w:tcBorders>
              <w:top w:val="single" w:sz="5" w:space="0" w:color="CBD8E3"/>
              <w:left w:val="single" w:sz="5" w:space="0" w:color="CBD8E3"/>
              <w:bottom w:val="single" w:sz="5" w:space="0" w:color="CBD8E3"/>
              <w:right w:val="single" w:sz="5" w:space="0" w:color="CBD8E3"/>
            </w:tcBorders>
            <w:shd w:val="clear" w:color="auto" w:fill="F6F9FC"/>
          </w:tcPr>
          <w:p w14:paraId="5F793674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7"/>
              </w:rPr>
              <w:t>{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 xml:space="preserve">  "balance": 50000.00,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 xml:space="preserve">  "invested": 40000.00,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 xml:space="preserve">  "profit": 10000.00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>}</w:t>
            </w:r>
          </w:p>
        </w:tc>
      </w:tr>
    </w:tbl>
    <w:p w14:paraId="0308337C" w14:textId="77777777" w:rsidR="00025787" w:rsidRDefault="00025787">
      <w:pPr>
        <w:spacing w:before="120" w:after="60"/>
        <w:rPr>
          <w:rFonts w:cs="Arial"/>
          <w:color w:val="000000" w:themeColor="text1"/>
        </w:rPr>
      </w:pPr>
    </w:p>
    <w:p w14:paraId="09660B28" w14:textId="01C77347" w:rsidR="00CD07E0" w:rsidRPr="008B335E" w:rsidRDefault="00025787">
      <w:pPr>
        <w:spacing w:before="120" w:after="60"/>
        <w:rPr>
          <w:rFonts w:cs="Arial"/>
          <w:color w:val="000000" w:themeColor="text1"/>
        </w:rPr>
      </w:pPr>
      <w:r>
        <w:rPr>
          <w:rFonts w:cs="Arial"/>
          <w:b/>
          <w:color w:val="000000" w:themeColor="text1"/>
          <w:sz w:val="22"/>
        </w:rPr>
        <w:t>2</w:t>
      </w:r>
      <w:r w:rsidRPr="008B335E">
        <w:rPr>
          <w:rFonts w:cs="Arial"/>
          <w:b/>
          <w:color w:val="000000" w:themeColor="text1"/>
          <w:sz w:val="22"/>
        </w:rPr>
        <w:t>.2 Microsoft Azure Functions — conversão cambial</w:t>
      </w:r>
    </w:p>
    <w:p w14:paraId="31A1D33F" w14:textId="2831F10E" w:rsidR="00C21284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 xml:space="preserve">Método: POST.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D07E0" w:rsidRPr="008B335E" w14:paraId="13ADF256" w14:textId="77777777">
        <w:trPr>
          <w:jc w:val="center"/>
        </w:trPr>
        <w:tc>
          <w:tcPr>
            <w:tcW w:w="10224" w:type="dxa"/>
            <w:tcBorders>
              <w:top w:val="single" w:sz="5" w:space="0" w:color="CBD8E3"/>
              <w:left w:val="single" w:sz="5" w:space="0" w:color="CBD8E3"/>
              <w:bottom w:val="single" w:sz="5" w:space="0" w:color="CBD8E3"/>
              <w:right w:val="single" w:sz="5" w:space="0" w:color="CBD8E3"/>
            </w:tcBorders>
            <w:shd w:val="clear" w:color="auto" w:fill="F6F9FC"/>
          </w:tcPr>
          <w:p w14:paraId="22CC538C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7"/>
              </w:rPr>
              <w:t>https://conversorinternacional-ckfhcba3axdjc0cw.northcentralus-01.azurewebsites.net/api/conversorInternacional</w:t>
            </w:r>
          </w:p>
        </w:tc>
      </w:tr>
    </w:tbl>
    <w:p w14:paraId="5FCDF0E5" w14:textId="77777777" w:rsidR="00C21284" w:rsidRDefault="00C21284">
      <w:pPr>
        <w:rPr>
          <w:rFonts w:cs="Arial"/>
          <w:color w:val="000000" w:themeColor="text1"/>
        </w:rPr>
      </w:pPr>
    </w:p>
    <w:p w14:paraId="133683DE" w14:textId="1EF95F69" w:rsidR="00CD07E0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lastRenderedPageBreak/>
        <w:t xml:space="preserve">Request — </w:t>
      </w:r>
      <w:proofErr w:type="spellStart"/>
      <w:r w:rsidRPr="008B335E">
        <w:rPr>
          <w:rFonts w:cs="Arial"/>
          <w:color w:val="000000" w:themeColor="text1"/>
        </w:rPr>
        <w:t>exemplo</w:t>
      </w:r>
      <w:proofErr w:type="spellEnd"/>
      <w:r w:rsidRPr="008B335E">
        <w:rPr>
          <w:rFonts w:cs="Arial"/>
          <w:color w:val="000000" w:themeColor="text1"/>
        </w:rPr>
        <w:t xml:space="preserve"> de entrada: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D07E0" w:rsidRPr="008B335E" w14:paraId="617CD4C0" w14:textId="77777777">
        <w:trPr>
          <w:jc w:val="center"/>
        </w:trPr>
        <w:tc>
          <w:tcPr>
            <w:tcW w:w="10224" w:type="dxa"/>
            <w:tcBorders>
              <w:top w:val="single" w:sz="5" w:space="0" w:color="CBD8E3"/>
              <w:left w:val="single" w:sz="5" w:space="0" w:color="CBD8E3"/>
              <w:bottom w:val="single" w:sz="5" w:space="0" w:color="CBD8E3"/>
              <w:right w:val="single" w:sz="5" w:space="0" w:color="CBD8E3"/>
            </w:tcBorders>
            <w:shd w:val="clear" w:color="auto" w:fill="F6F9FC"/>
          </w:tcPr>
          <w:p w14:paraId="2D6D9F16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7"/>
              </w:rPr>
              <w:t>{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 xml:space="preserve">  "valorReais": 50000.00,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 xml:space="preserve">  "cotacaoDolar": 5.50,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 xml:space="preserve">  "cotacaoEuro": 6.00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>}</w:t>
            </w:r>
          </w:p>
        </w:tc>
      </w:tr>
    </w:tbl>
    <w:p w14:paraId="0CFAA7B7" w14:textId="77777777" w:rsidR="00CD07E0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>Response — contrato esperado pelo frontend: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D07E0" w:rsidRPr="008B335E" w14:paraId="432F396B" w14:textId="77777777">
        <w:trPr>
          <w:jc w:val="center"/>
        </w:trPr>
        <w:tc>
          <w:tcPr>
            <w:tcW w:w="10224" w:type="dxa"/>
            <w:tcBorders>
              <w:top w:val="single" w:sz="5" w:space="0" w:color="CBD8E3"/>
              <w:left w:val="single" w:sz="5" w:space="0" w:color="CBD8E3"/>
              <w:bottom w:val="single" w:sz="5" w:space="0" w:color="CBD8E3"/>
              <w:right w:val="single" w:sz="5" w:space="0" w:color="CBD8E3"/>
            </w:tcBorders>
            <w:shd w:val="clear" w:color="auto" w:fill="F6F9FC"/>
          </w:tcPr>
          <w:p w14:paraId="545C1DF9" w14:textId="31E539FE" w:rsidR="00C21284" w:rsidRPr="00C21284" w:rsidRDefault="00000000" w:rsidP="00C21284">
            <w:pPr>
              <w:spacing w:after="0"/>
              <w:rPr>
                <w:rFonts w:cs="Arial"/>
                <w:color w:val="000000" w:themeColor="text1"/>
                <w:sz w:val="17"/>
              </w:rPr>
            </w:pPr>
            <w:r w:rsidRPr="008B335E">
              <w:rPr>
                <w:rFonts w:cs="Arial"/>
                <w:color w:val="000000" w:themeColor="text1"/>
                <w:sz w:val="17"/>
              </w:rPr>
              <w:t>{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</w:r>
            <w:r w:rsidR="00C21284">
              <w:rPr>
                <w:rFonts w:cs="Arial"/>
                <w:color w:val="000000" w:themeColor="text1"/>
                <w:sz w:val="17"/>
              </w:rPr>
              <w:t xml:space="preserve">  </w:t>
            </w:r>
            <w:r w:rsidR="00C21284" w:rsidRPr="00C21284">
              <w:rPr>
                <w:rFonts w:cs="Arial"/>
                <w:color w:val="000000" w:themeColor="text1"/>
                <w:sz w:val="17"/>
              </w:rPr>
              <w:t>"</w:t>
            </w:r>
            <w:proofErr w:type="spellStart"/>
            <w:r w:rsidR="00C21284" w:rsidRPr="00C21284">
              <w:rPr>
                <w:rFonts w:cs="Arial"/>
                <w:color w:val="000000" w:themeColor="text1"/>
                <w:sz w:val="17"/>
              </w:rPr>
              <w:t>provedor</w:t>
            </w:r>
            <w:proofErr w:type="spellEnd"/>
            <w:r w:rsidR="00C21284" w:rsidRPr="00C21284">
              <w:rPr>
                <w:rFonts w:cs="Arial"/>
                <w:color w:val="000000" w:themeColor="text1"/>
                <w:sz w:val="17"/>
              </w:rPr>
              <w:t>": "Azure",</w:t>
            </w:r>
          </w:p>
          <w:p w14:paraId="6CF6ADE6" w14:textId="77777777" w:rsidR="00C21284" w:rsidRPr="00C21284" w:rsidRDefault="00C21284" w:rsidP="00C21284">
            <w:pPr>
              <w:spacing w:after="0"/>
              <w:rPr>
                <w:rFonts w:cs="Arial"/>
                <w:color w:val="000000" w:themeColor="text1"/>
                <w:sz w:val="17"/>
              </w:rPr>
            </w:pPr>
            <w:r w:rsidRPr="00C21284">
              <w:rPr>
                <w:rFonts w:cs="Arial"/>
                <w:color w:val="000000" w:themeColor="text1"/>
                <w:sz w:val="17"/>
              </w:rPr>
              <w:t xml:space="preserve">  "</w:t>
            </w:r>
            <w:proofErr w:type="spellStart"/>
            <w:r w:rsidRPr="00C21284">
              <w:rPr>
                <w:rFonts w:cs="Arial"/>
                <w:color w:val="000000" w:themeColor="text1"/>
                <w:sz w:val="17"/>
              </w:rPr>
              <w:t>valorReais</w:t>
            </w:r>
            <w:proofErr w:type="spellEnd"/>
            <w:r w:rsidRPr="00C21284">
              <w:rPr>
                <w:rFonts w:cs="Arial"/>
                <w:color w:val="000000" w:themeColor="text1"/>
                <w:sz w:val="17"/>
              </w:rPr>
              <w:t>": 1000,</w:t>
            </w:r>
          </w:p>
          <w:p w14:paraId="4E7A4598" w14:textId="77777777" w:rsidR="00C21284" w:rsidRPr="00C21284" w:rsidRDefault="00C21284" w:rsidP="00C21284">
            <w:pPr>
              <w:spacing w:after="0"/>
              <w:rPr>
                <w:rFonts w:cs="Arial"/>
                <w:color w:val="000000" w:themeColor="text1"/>
                <w:sz w:val="17"/>
              </w:rPr>
            </w:pPr>
            <w:r w:rsidRPr="00C21284">
              <w:rPr>
                <w:rFonts w:cs="Arial"/>
                <w:color w:val="000000" w:themeColor="text1"/>
                <w:sz w:val="17"/>
              </w:rPr>
              <w:t xml:space="preserve">  "</w:t>
            </w:r>
            <w:proofErr w:type="spellStart"/>
            <w:r w:rsidRPr="00C21284">
              <w:rPr>
                <w:rFonts w:cs="Arial"/>
                <w:color w:val="000000" w:themeColor="text1"/>
                <w:sz w:val="17"/>
              </w:rPr>
              <w:t>valorDolar</w:t>
            </w:r>
            <w:proofErr w:type="spellEnd"/>
            <w:r w:rsidRPr="00C21284">
              <w:rPr>
                <w:rFonts w:cs="Arial"/>
                <w:color w:val="000000" w:themeColor="text1"/>
                <w:sz w:val="17"/>
              </w:rPr>
              <w:t>": 200,</w:t>
            </w:r>
          </w:p>
          <w:p w14:paraId="43CCA791" w14:textId="77777777" w:rsidR="00C21284" w:rsidRPr="00C21284" w:rsidRDefault="00C21284" w:rsidP="00C21284">
            <w:pPr>
              <w:spacing w:after="0"/>
              <w:rPr>
                <w:rFonts w:cs="Arial"/>
                <w:color w:val="000000" w:themeColor="text1"/>
                <w:sz w:val="17"/>
              </w:rPr>
            </w:pPr>
            <w:r w:rsidRPr="00C21284">
              <w:rPr>
                <w:rFonts w:cs="Arial"/>
                <w:color w:val="000000" w:themeColor="text1"/>
                <w:sz w:val="17"/>
              </w:rPr>
              <w:t xml:space="preserve">  "</w:t>
            </w:r>
            <w:proofErr w:type="spellStart"/>
            <w:r w:rsidRPr="00C21284">
              <w:rPr>
                <w:rFonts w:cs="Arial"/>
                <w:color w:val="000000" w:themeColor="text1"/>
                <w:sz w:val="17"/>
              </w:rPr>
              <w:t>valorEuro</w:t>
            </w:r>
            <w:proofErr w:type="spellEnd"/>
            <w:r w:rsidRPr="00C21284">
              <w:rPr>
                <w:rFonts w:cs="Arial"/>
                <w:color w:val="000000" w:themeColor="text1"/>
                <w:sz w:val="17"/>
              </w:rPr>
              <w:t>": 160,</w:t>
            </w:r>
          </w:p>
          <w:p w14:paraId="1D454D3B" w14:textId="77777777" w:rsidR="00C21284" w:rsidRPr="00C21284" w:rsidRDefault="00C21284" w:rsidP="00C21284">
            <w:pPr>
              <w:spacing w:after="0"/>
              <w:rPr>
                <w:rFonts w:cs="Arial"/>
                <w:color w:val="000000" w:themeColor="text1"/>
                <w:sz w:val="17"/>
              </w:rPr>
            </w:pPr>
            <w:r w:rsidRPr="00C21284">
              <w:rPr>
                <w:rFonts w:cs="Arial"/>
                <w:color w:val="000000" w:themeColor="text1"/>
                <w:sz w:val="17"/>
              </w:rPr>
              <w:t xml:space="preserve">  "</w:t>
            </w:r>
            <w:proofErr w:type="spellStart"/>
            <w:r w:rsidRPr="00C21284">
              <w:rPr>
                <w:rFonts w:cs="Arial"/>
                <w:color w:val="000000" w:themeColor="text1"/>
                <w:sz w:val="17"/>
              </w:rPr>
              <w:t>cotacaoDolar</w:t>
            </w:r>
            <w:proofErr w:type="spellEnd"/>
            <w:r w:rsidRPr="00C21284">
              <w:rPr>
                <w:rFonts w:cs="Arial"/>
                <w:color w:val="000000" w:themeColor="text1"/>
                <w:sz w:val="17"/>
              </w:rPr>
              <w:t>": 5,</w:t>
            </w:r>
          </w:p>
          <w:p w14:paraId="06B084F6" w14:textId="77777777" w:rsidR="00C21284" w:rsidRPr="00C21284" w:rsidRDefault="00C21284" w:rsidP="00C21284">
            <w:pPr>
              <w:spacing w:after="0"/>
              <w:rPr>
                <w:rFonts w:cs="Arial"/>
                <w:color w:val="000000" w:themeColor="text1"/>
                <w:sz w:val="17"/>
              </w:rPr>
            </w:pPr>
            <w:r w:rsidRPr="00C21284">
              <w:rPr>
                <w:rFonts w:cs="Arial"/>
                <w:color w:val="000000" w:themeColor="text1"/>
                <w:sz w:val="17"/>
              </w:rPr>
              <w:t xml:space="preserve">  "</w:t>
            </w:r>
            <w:proofErr w:type="spellStart"/>
            <w:r w:rsidRPr="00C21284">
              <w:rPr>
                <w:rFonts w:cs="Arial"/>
                <w:color w:val="000000" w:themeColor="text1"/>
                <w:sz w:val="17"/>
              </w:rPr>
              <w:t>cotacaoEuro</w:t>
            </w:r>
            <w:proofErr w:type="spellEnd"/>
            <w:r w:rsidRPr="00C21284">
              <w:rPr>
                <w:rFonts w:cs="Arial"/>
                <w:color w:val="000000" w:themeColor="text1"/>
                <w:sz w:val="17"/>
              </w:rPr>
              <w:t>": 6.25,</w:t>
            </w:r>
          </w:p>
          <w:p w14:paraId="0700C26B" w14:textId="3CE99182" w:rsidR="00CD07E0" w:rsidRPr="008B335E" w:rsidRDefault="00C21284" w:rsidP="00C21284">
            <w:pPr>
              <w:spacing w:after="0"/>
              <w:rPr>
                <w:rFonts w:cs="Arial"/>
                <w:color w:val="000000" w:themeColor="text1"/>
              </w:rPr>
            </w:pPr>
            <w:r w:rsidRPr="00C21284">
              <w:rPr>
                <w:rFonts w:cs="Arial"/>
                <w:color w:val="000000" w:themeColor="text1"/>
                <w:sz w:val="17"/>
              </w:rPr>
              <w:t xml:space="preserve">  "</w:t>
            </w:r>
            <w:proofErr w:type="spellStart"/>
            <w:r w:rsidRPr="00C21284">
              <w:rPr>
                <w:rFonts w:cs="Arial"/>
                <w:color w:val="000000" w:themeColor="text1"/>
                <w:sz w:val="17"/>
              </w:rPr>
              <w:t>cotacaoSimulada</w:t>
            </w:r>
            <w:proofErr w:type="spellEnd"/>
            <w:r w:rsidRPr="00C21284">
              <w:rPr>
                <w:rFonts w:cs="Arial"/>
                <w:color w:val="000000" w:themeColor="text1"/>
                <w:sz w:val="17"/>
              </w:rPr>
              <w:t>": true</w:t>
            </w:r>
            <w:r w:rsidR="00000000" w:rsidRPr="008B335E">
              <w:rPr>
                <w:rFonts w:cs="Arial"/>
                <w:color w:val="000000" w:themeColor="text1"/>
                <w:sz w:val="17"/>
              </w:rPr>
              <w:br/>
              <w:t>}</w:t>
            </w:r>
          </w:p>
        </w:tc>
      </w:tr>
    </w:tbl>
    <w:p w14:paraId="68DEC19F" w14:textId="77777777" w:rsidR="00C21284" w:rsidRDefault="00C21284" w:rsidP="00C21284">
      <w:pPr>
        <w:spacing w:before="120" w:after="60"/>
        <w:rPr>
          <w:rFonts w:cs="Arial"/>
          <w:b/>
          <w:bCs/>
          <w:color w:val="000000" w:themeColor="text1"/>
          <w:lang w:val="pt-BR"/>
        </w:rPr>
      </w:pPr>
    </w:p>
    <w:p w14:paraId="551A9A1C" w14:textId="0513EFAF" w:rsidR="00C21284" w:rsidRPr="00C21284" w:rsidRDefault="00C21284" w:rsidP="00C21284">
      <w:pPr>
        <w:spacing w:before="120" w:after="60"/>
        <w:rPr>
          <w:rFonts w:cs="Arial"/>
          <w:color w:val="000000" w:themeColor="text1"/>
          <w:lang w:val="pt-BR"/>
        </w:rPr>
      </w:pPr>
      <w:r w:rsidRPr="00C21284">
        <w:rPr>
          <w:rFonts w:cs="Arial"/>
          <w:b/>
          <w:bCs/>
          <w:color w:val="000000" w:themeColor="text1"/>
          <w:lang w:val="pt-BR"/>
        </w:rPr>
        <w:t>2.2.1 Implementação da função</w:t>
      </w:r>
    </w:p>
    <w:p w14:paraId="74CC9FC6" w14:textId="77777777" w:rsidR="00C21284" w:rsidRPr="00C21284" w:rsidRDefault="00C21284" w:rsidP="00C21284">
      <w:pPr>
        <w:spacing w:before="120" w:after="60"/>
        <w:rPr>
          <w:rFonts w:cs="Arial"/>
          <w:color w:val="000000" w:themeColor="text1"/>
          <w:lang w:val="pt-BR"/>
        </w:rPr>
      </w:pPr>
      <w:r w:rsidRPr="00C21284">
        <w:rPr>
          <w:rFonts w:cs="Arial"/>
          <w:color w:val="000000" w:themeColor="text1"/>
          <w:lang w:val="pt-BR"/>
        </w:rPr>
        <w:t xml:space="preserve">- Linguagem: </w:t>
      </w:r>
      <w:proofErr w:type="spellStart"/>
      <w:r w:rsidRPr="00C21284">
        <w:rPr>
          <w:rFonts w:cs="Arial"/>
          <w:color w:val="000000" w:themeColor="text1"/>
          <w:lang w:val="pt-BR"/>
        </w:rPr>
        <w:t>JavaScript</w:t>
      </w:r>
      <w:proofErr w:type="spellEnd"/>
      <w:r w:rsidRPr="00C21284">
        <w:rPr>
          <w:rFonts w:cs="Arial"/>
          <w:color w:val="000000" w:themeColor="text1"/>
          <w:lang w:val="pt-BR"/>
        </w:rPr>
        <w:t>.</w:t>
      </w:r>
    </w:p>
    <w:p w14:paraId="691A5CD9" w14:textId="77777777" w:rsidR="00C21284" w:rsidRPr="00C21284" w:rsidRDefault="00C21284" w:rsidP="00C21284">
      <w:pPr>
        <w:spacing w:before="120" w:after="60"/>
        <w:rPr>
          <w:rFonts w:cs="Arial"/>
          <w:color w:val="000000" w:themeColor="text1"/>
          <w:lang w:val="pt-BR"/>
        </w:rPr>
      </w:pPr>
      <w:r w:rsidRPr="00C21284">
        <w:rPr>
          <w:rFonts w:cs="Arial"/>
          <w:color w:val="000000" w:themeColor="text1"/>
          <w:lang w:val="pt-BR"/>
        </w:rPr>
        <w:t xml:space="preserve">- </w:t>
      </w:r>
      <w:proofErr w:type="spellStart"/>
      <w:r w:rsidRPr="00C21284">
        <w:rPr>
          <w:rFonts w:cs="Arial"/>
          <w:color w:val="000000" w:themeColor="text1"/>
          <w:lang w:val="pt-BR"/>
        </w:rPr>
        <w:t>Runtime</w:t>
      </w:r>
      <w:proofErr w:type="spellEnd"/>
      <w:r w:rsidRPr="00C21284">
        <w:rPr>
          <w:rFonts w:cs="Arial"/>
          <w:color w:val="000000" w:themeColor="text1"/>
          <w:lang w:val="pt-BR"/>
        </w:rPr>
        <w:t>: Node.js, conforme a implementação desenvolvida.</w:t>
      </w:r>
    </w:p>
    <w:p w14:paraId="3368DCA8" w14:textId="77777777" w:rsidR="00C21284" w:rsidRPr="00C21284" w:rsidRDefault="00C21284" w:rsidP="00C21284">
      <w:pPr>
        <w:spacing w:before="120" w:after="60"/>
        <w:rPr>
          <w:rFonts w:cs="Arial"/>
          <w:color w:val="000000" w:themeColor="text1"/>
          <w:lang w:val="pt-BR"/>
        </w:rPr>
      </w:pPr>
      <w:r w:rsidRPr="00C21284">
        <w:rPr>
          <w:rFonts w:cs="Arial"/>
          <w:color w:val="000000" w:themeColor="text1"/>
          <w:lang w:val="pt-BR"/>
        </w:rPr>
        <w:t xml:space="preserve">- Plataforma: Azure </w:t>
      </w:r>
      <w:proofErr w:type="spellStart"/>
      <w:r w:rsidRPr="00C21284">
        <w:rPr>
          <w:rFonts w:cs="Arial"/>
          <w:color w:val="000000" w:themeColor="text1"/>
          <w:lang w:val="pt-BR"/>
        </w:rPr>
        <w:t>Functions</w:t>
      </w:r>
      <w:proofErr w:type="spellEnd"/>
      <w:r w:rsidRPr="00C21284">
        <w:rPr>
          <w:rFonts w:cs="Arial"/>
          <w:color w:val="000000" w:themeColor="text1"/>
          <w:lang w:val="pt-BR"/>
        </w:rPr>
        <w:t>.</w:t>
      </w:r>
    </w:p>
    <w:p w14:paraId="36FC9FC9" w14:textId="77777777" w:rsidR="00C21284" w:rsidRDefault="00C21284" w:rsidP="00C21284">
      <w:pPr>
        <w:spacing w:before="120" w:after="60"/>
        <w:rPr>
          <w:rFonts w:cs="Arial"/>
          <w:color w:val="000000" w:themeColor="text1"/>
          <w:lang w:val="pt-BR"/>
        </w:rPr>
      </w:pPr>
      <w:r w:rsidRPr="00C21284">
        <w:rPr>
          <w:rFonts w:cs="Arial"/>
          <w:color w:val="000000" w:themeColor="text1"/>
          <w:lang w:val="pt-BR"/>
        </w:rPr>
        <w:t>- Região: North Central US (</w:t>
      </w:r>
      <w:proofErr w:type="spellStart"/>
      <w:r w:rsidRPr="00C21284">
        <w:rPr>
          <w:rFonts w:cs="Arial"/>
          <w:color w:val="000000" w:themeColor="text1"/>
          <w:lang w:val="pt-BR"/>
        </w:rPr>
        <w:t>northcentralus</w:t>
      </w:r>
      <w:proofErr w:type="spellEnd"/>
      <w:r w:rsidRPr="00C21284">
        <w:rPr>
          <w:rFonts w:cs="Arial"/>
          <w:color w:val="000000" w:themeColor="text1"/>
          <w:lang w:val="pt-BR"/>
        </w:rPr>
        <w:t>).</w:t>
      </w:r>
    </w:p>
    <w:p w14:paraId="28C5FF10" w14:textId="77777777" w:rsidR="00C21284" w:rsidRDefault="00C21284" w:rsidP="00C21284">
      <w:pPr>
        <w:spacing w:before="120" w:after="60"/>
        <w:rPr>
          <w:rFonts w:cs="Arial"/>
          <w:color w:val="000000" w:themeColor="text1"/>
          <w:lang w:val="pt-BR"/>
        </w:rPr>
      </w:pPr>
    </w:p>
    <w:p w14:paraId="52A17603" w14:textId="148AB81D" w:rsidR="00C21284" w:rsidRPr="00C21284" w:rsidRDefault="00C21284" w:rsidP="00C21284">
      <w:pPr>
        <w:spacing w:before="120" w:after="60"/>
        <w:rPr>
          <w:rFonts w:cs="Arial"/>
          <w:color w:val="000000" w:themeColor="text1"/>
          <w:lang w:val="pt-BR"/>
        </w:rPr>
      </w:pPr>
      <w:r w:rsidRPr="00C21284">
        <w:rPr>
          <w:rFonts w:cs="Arial"/>
          <w:b/>
          <w:bCs/>
          <w:color w:val="000000" w:themeColor="text1"/>
          <w:lang w:val="pt-BR"/>
        </w:rPr>
        <w:t>2.2.2 Origem das cotações e tratamento de erros</w:t>
      </w:r>
    </w:p>
    <w:p w14:paraId="145F4F37" w14:textId="36F0BC82" w:rsidR="00025787" w:rsidRDefault="00C21284">
      <w:pPr>
        <w:spacing w:before="120" w:after="60"/>
        <w:rPr>
          <w:rFonts w:cs="Arial"/>
          <w:color w:val="000000" w:themeColor="text1"/>
        </w:rPr>
      </w:pPr>
      <w:r w:rsidRPr="00C21284">
        <w:rPr>
          <w:rFonts w:cs="Arial"/>
          <w:color w:val="000000" w:themeColor="text1"/>
          <w:lang w:val="pt-BR"/>
        </w:rPr>
        <w:t>A função utiliza cotações fixas para fins de demonstração acadêmica: R$ 5,00 por dólar e R$ 6,25 por euro.</w:t>
      </w:r>
    </w:p>
    <w:p w14:paraId="769AD866" w14:textId="77777777" w:rsidR="00C21284" w:rsidRDefault="00C21284">
      <w:pPr>
        <w:spacing w:before="120" w:after="60"/>
        <w:rPr>
          <w:rFonts w:cs="Arial"/>
          <w:color w:val="000000" w:themeColor="text1"/>
        </w:rPr>
      </w:pPr>
    </w:p>
    <w:p w14:paraId="63B3E345" w14:textId="59F985E3" w:rsidR="00CD07E0" w:rsidRPr="008B335E" w:rsidRDefault="00025787">
      <w:pPr>
        <w:spacing w:before="120" w:after="60"/>
        <w:rPr>
          <w:rFonts w:cs="Arial"/>
          <w:color w:val="000000" w:themeColor="text1"/>
        </w:rPr>
      </w:pPr>
      <w:r>
        <w:rPr>
          <w:rFonts w:cs="Arial"/>
          <w:b/>
          <w:color w:val="000000" w:themeColor="text1"/>
          <w:sz w:val="22"/>
        </w:rPr>
        <w:t>2</w:t>
      </w:r>
      <w:r w:rsidRPr="008B335E">
        <w:rPr>
          <w:rFonts w:cs="Arial"/>
          <w:b/>
          <w:color w:val="000000" w:themeColor="text1"/>
          <w:sz w:val="22"/>
        </w:rPr>
        <w:t>.3 Google Cloud Functions — projeção após inflação</w:t>
      </w:r>
    </w:p>
    <w:p w14:paraId="0722ABA8" w14:textId="77777777" w:rsidR="00CD07E0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>Método: POST. Rota lógica: /project-inflation. A URL pública é obtida após a publicação da função.</w:t>
      </w:r>
    </w:p>
    <w:p w14:paraId="581FFA7C" w14:textId="77777777" w:rsidR="00CD07E0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>Request — exemplo de entrada: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D07E0" w:rsidRPr="008B335E" w14:paraId="76276D44" w14:textId="77777777">
        <w:trPr>
          <w:jc w:val="center"/>
        </w:trPr>
        <w:tc>
          <w:tcPr>
            <w:tcW w:w="10224" w:type="dxa"/>
            <w:tcBorders>
              <w:top w:val="single" w:sz="5" w:space="0" w:color="CBD8E3"/>
              <w:left w:val="single" w:sz="5" w:space="0" w:color="CBD8E3"/>
              <w:bottom w:val="single" w:sz="5" w:space="0" w:color="CBD8E3"/>
              <w:right w:val="single" w:sz="5" w:space="0" w:color="CBD8E3"/>
            </w:tcBorders>
            <w:shd w:val="clear" w:color="auto" w:fill="F6F9FC"/>
          </w:tcPr>
          <w:p w14:paraId="5DD95890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7"/>
              </w:rPr>
              <w:t>{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 xml:space="preserve">  "balance": 50000.00,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 xml:space="preserve">  "inflation": 0.045,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 xml:space="preserve">  "months": 60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>}</w:t>
            </w:r>
          </w:p>
        </w:tc>
      </w:tr>
    </w:tbl>
    <w:p w14:paraId="6197CB8D" w14:textId="77777777" w:rsidR="00CD07E0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>Response — exemplo de saída: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D07E0" w:rsidRPr="008B335E" w14:paraId="2C3A557F" w14:textId="77777777">
        <w:trPr>
          <w:jc w:val="center"/>
        </w:trPr>
        <w:tc>
          <w:tcPr>
            <w:tcW w:w="10224" w:type="dxa"/>
            <w:tcBorders>
              <w:top w:val="single" w:sz="5" w:space="0" w:color="CBD8E3"/>
              <w:left w:val="single" w:sz="5" w:space="0" w:color="CBD8E3"/>
              <w:bottom w:val="single" w:sz="5" w:space="0" w:color="CBD8E3"/>
              <w:right w:val="single" w:sz="5" w:space="0" w:color="CBD8E3"/>
            </w:tcBorders>
            <w:shd w:val="clear" w:color="auto" w:fill="F6F9FC"/>
          </w:tcPr>
          <w:p w14:paraId="1768D830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7"/>
              </w:rPr>
              <w:t>{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 xml:space="preserve">  "real": 40000.00</w:t>
            </w:r>
            <w:r w:rsidRPr="008B335E">
              <w:rPr>
                <w:rFonts w:cs="Arial"/>
                <w:color w:val="000000" w:themeColor="text1"/>
                <w:sz w:val="17"/>
              </w:rPr>
              <w:br/>
              <w:t>}</w:t>
            </w:r>
          </w:p>
        </w:tc>
      </w:tr>
    </w:tbl>
    <w:p w14:paraId="60E77F1E" w14:textId="77777777" w:rsidR="00025787" w:rsidRDefault="00025787" w:rsidP="00025787">
      <w:pPr>
        <w:rPr>
          <w:rFonts w:cs="Arial"/>
          <w:color w:val="000000" w:themeColor="text1"/>
        </w:rPr>
      </w:pPr>
    </w:p>
    <w:p w14:paraId="1242D81A" w14:textId="0BDF1EF4" w:rsidR="00CD07E0" w:rsidRPr="008B335E" w:rsidRDefault="00025787" w:rsidP="00025787">
      <w:pPr>
        <w:rPr>
          <w:rFonts w:cs="Arial"/>
          <w:color w:val="000000" w:themeColor="text1"/>
        </w:rPr>
      </w:pPr>
      <w:r>
        <w:rPr>
          <w:rFonts w:cs="Arial"/>
          <w:b/>
          <w:color w:val="000000" w:themeColor="text1"/>
          <w:sz w:val="22"/>
        </w:rPr>
        <w:t>2</w:t>
      </w:r>
      <w:r w:rsidRPr="008B335E">
        <w:rPr>
          <w:rFonts w:cs="Arial"/>
          <w:b/>
          <w:color w:val="000000" w:themeColor="text1"/>
          <w:sz w:val="22"/>
        </w:rPr>
        <w:t xml:space="preserve">.4 </w:t>
      </w:r>
      <w:proofErr w:type="spellStart"/>
      <w:r w:rsidRPr="008B335E">
        <w:rPr>
          <w:rFonts w:cs="Arial"/>
          <w:b/>
          <w:color w:val="000000" w:themeColor="text1"/>
          <w:sz w:val="22"/>
        </w:rPr>
        <w:t>Tratamento</w:t>
      </w:r>
      <w:proofErr w:type="spellEnd"/>
      <w:r w:rsidRPr="008B335E">
        <w:rPr>
          <w:rFonts w:cs="Arial"/>
          <w:b/>
          <w:color w:val="000000" w:themeColor="text1"/>
          <w:sz w:val="22"/>
        </w:rPr>
        <w:t xml:space="preserve"> </w:t>
      </w:r>
      <w:proofErr w:type="spellStart"/>
      <w:r w:rsidRPr="008B335E">
        <w:rPr>
          <w:rFonts w:cs="Arial"/>
          <w:b/>
          <w:color w:val="000000" w:themeColor="text1"/>
          <w:sz w:val="22"/>
        </w:rPr>
        <w:t>comum</w:t>
      </w:r>
      <w:proofErr w:type="spellEnd"/>
      <w:r w:rsidRPr="008B335E">
        <w:rPr>
          <w:rFonts w:cs="Arial"/>
          <w:b/>
          <w:color w:val="000000" w:themeColor="text1"/>
          <w:sz w:val="22"/>
        </w:rPr>
        <w:t xml:space="preserve"> das APIs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304"/>
        <w:gridCol w:w="5040"/>
      </w:tblGrid>
      <w:tr w:rsidR="00CD07E0" w:rsidRPr="008B335E" w14:paraId="65562336" w14:textId="77777777">
        <w:trPr>
          <w:jc w:val="center"/>
        </w:trPr>
        <w:tc>
          <w:tcPr>
            <w:tcW w:w="259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6324F"/>
          </w:tcPr>
          <w:p w14:paraId="29690635" w14:textId="77777777" w:rsidR="00CD07E0" w:rsidRPr="00025787" w:rsidRDefault="00000000">
            <w:pPr>
              <w:spacing w:after="0"/>
              <w:rPr>
                <w:rFonts w:cs="Arial"/>
                <w:color w:val="FFFFFF" w:themeColor="background1"/>
              </w:rPr>
            </w:pPr>
            <w:r w:rsidRPr="00025787">
              <w:rPr>
                <w:rFonts w:cs="Arial"/>
                <w:b/>
                <w:color w:val="FFFFFF" w:themeColor="background1"/>
                <w:sz w:val="16"/>
              </w:rPr>
              <w:t>Situação</w:t>
            </w:r>
          </w:p>
        </w:tc>
        <w:tc>
          <w:tcPr>
            <w:tcW w:w="230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6324F"/>
          </w:tcPr>
          <w:p w14:paraId="3D1FF1E6" w14:textId="77777777" w:rsidR="00CD07E0" w:rsidRPr="00025787" w:rsidRDefault="00000000">
            <w:pPr>
              <w:spacing w:after="0"/>
              <w:rPr>
                <w:rFonts w:cs="Arial"/>
                <w:color w:val="FFFFFF" w:themeColor="background1"/>
              </w:rPr>
            </w:pPr>
            <w:r w:rsidRPr="00025787">
              <w:rPr>
                <w:rFonts w:cs="Arial"/>
                <w:b/>
                <w:color w:val="FFFFFF" w:themeColor="background1"/>
                <w:sz w:val="16"/>
              </w:rPr>
              <w:t>Código HTTP</w:t>
            </w:r>
          </w:p>
        </w:tc>
        <w:tc>
          <w:tcPr>
            <w:tcW w:w="504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6324F"/>
          </w:tcPr>
          <w:p w14:paraId="0D8FEBCF" w14:textId="77777777" w:rsidR="00CD07E0" w:rsidRPr="00025787" w:rsidRDefault="00000000">
            <w:pPr>
              <w:spacing w:after="0"/>
              <w:rPr>
                <w:rFonts w:cs="Arial"/>
                <w:color w:val="FFFFFF" w:themeColor="background1"/>
              </w:rPr>
            </w:pPr>
            <w:r w:rsidRPr="00025787">
              <w:rPr>
                <w:rFonts w:cs="Arial"/>
                <w:b/>
                <w:color w:val="FFFFFF" w:themeColor="background1"/>
                <w:sz w:val="16"/>
              </w:rPr>
              <w:t>Formato/conduta</w:t>
            </w:r>
          </w:p>
        </w:tc>
      </w:tr>
      <w:tr w:rsidR="00CD07E0" w:rsidRPr="008B335E" w14:paraId="0005CCC4" w14:textId="77777777">
        <w:trPr>
          <w:jc w:val="center"/>
        </w:trPr>
        <w:tc>
          <w:tcPr>
            <w:tcW w:w="2592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3491C59B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Requisição válida</w:t>
            </w:r>
          </w:p>
        </w:tc>
        <w:tc>
          <w:tcPr>
            <w:tcW w:w="230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57568FDE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200 OK</w:t>
            </w:r>
          </w:p>
        </w:tc>
        <w:tc>
          <w:tcPr>
            <w:tcW w:w="5040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2EDA1935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Retornar JSON com os campos numéricos documentados.</w:t>
            </w:r>
          </w:p>
        </w:tc>
      </w:tr>
      <w:tr w:rsidR="00CD07E0" w:rsidRPr="008B335E" w14:paraId="2544A52B" w14:textId="77777777">
        <w:trPr>
          <w:jc w:val="center"/>
        </w:trPr>
        <w:tc>
          <w:tcPr>
            <w:tcW w:w="2592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798D2BC1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Parâmetros ausentes ou inválidos</w:t>
            </w:r>
          </w:p>
        </w:tc>
        <w:tc>
          <w:tcPr>
            <w:tcW w:w="230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37D47FEE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400 Bad Request</w:t>
            </w:r>
          </w:p>
        </w:tc>
        <w:tc>
          <w:tcPr>
            <w:tcW w:w="5040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6E3C959D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Retornar JSON com mensagem clara de validação.</w:t>
            </w:r>
          </w:p>
        </w:tc>
      </w:tr>
      <w:tr w:rsidR="00CD07E0" w:rsidRPr="008B335E" w14:paraId="020855C8" w14:textId="77777777">
        <w:trPr>
          <w:jc w:val="center"/>
        </w:trPr>
        <w:tc>
          <w:tcPr>
            <w:tcW w:w="2592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55812349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Erro inesperado no serviço</w:t>
            </w:r>
          </w:p>
        </w:tc>
        <w:tc>
          <w:tcPr>
            <w:tcW w:w="230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563377FE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500 Internal Server Error</w:t>
            </w:r>
          </w:p>
        </w:tc>
        <w:tc>
          <w:tcPr>
            <w:tcW w:w="5040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0F8F2843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Retornar mensagem genérica, sem expor stack trace, tokens ou dados sensíveis.</w:t>
            </w:r>
          </w:p>
        </w:tc>
      </w:tr>
      <w:tr w:rsidR="00CD07E0" w:rsidRPr="008B335E" w14:paraId="5F120F38" w14:textId="77777777">
        <w:trPr>
          <w:jc w:val="center"/>
        </w:trPr>
        <w:tc>
          <w:tcPr>
            <w:tcW w:w="2592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14CF790E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Requisição de navegador</w:t>
            </w:r>
          </w:p>
        </w:tc>
        <w:tc>
          <w:tcPr>
            <w:tcW w:w="230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7663C5AF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CORS</w:t>
            </w:r>
          </w:p>
        </w:tc>
        <w:tc>
          <w:tcPr>
            <w:tcW w:w="5040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6CA3B2DF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Permitir a origem da hospedagem, método POST e headers necessários; tratar OPTIONS quando aplicável.</w:t>
            </w:r>
          </w:p>
        </w:tc>
      </w:tr>
      <w:tr w:rsidR="00CD07E0" w:rsidRPr="008B335E" w14:paraId="6009C448" w14:textId="77777777">
        <w:trPr>
          <w:jc w:val="center"/>
        </w:trPr>
        <w:tc>
          <w:tcPr>
            <w:tcW w:w="2592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52DEBB13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Tempo limite</w:t>
            </w:r>
          </w:p>
        </w:tc>
        <w:tc>
          <w:tcPr>
            <w:tcW w:w="230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45BB98AD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Timeout do frontend</w:t>
            </w:r>
          </w:p>
        </w:tc>
        <w:tc>
          <w:tcPr>
            <w:tcW w:w="5040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48DCF758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Interromper a espera do módulo e mostrar erro/fallback, mantendo os demais resultados.</w:t>
            </w:r>
          </w:p>
        </w:tc>
      </w:tr>
    </w:tbl>
    <w:p w14:paraId="71BBEBC6" w14:textId="77777777" w:rsidR="00CD07E0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lastRenderedPageBreak/>
        <w:t>O frontend utiliza a API de temporização do navegador para medir a latência total observada. Essa medida inclui rede, processamento no provedor e transferência da resposta, portanto não equivale somente ao tempo de execução interno da função.</w:t>
      </w:r>
    </w:p>
    <w:p w14:paraId="475BA1AC" w14:textId="77777777" w:rsidR="00025787" w:rsidRDefault="00025787">
      <w:pPr>
        <w:spacing w:before="200"/>
        <w:rPr>
          <w:rFonts w:cs="Arial"/>
          <w:b/>
          <w:color w:val="000000" w:themeColor="text1"/>
          <w:sz w:val="28"/>
        </w:rPr>
      </w:pPr>
    </w:p>
    <w:p w14:paraId="5151012A" w14:textId="39E20CE1" w:rsidR="00CD07E0" w:rsidRPr="008B335E" w:rsidRDefault="00025787">
      <w:pPr>
        <w:spacing w:before="200"/>
        <w:rPr>
          <w:rFonts w:cs="Arial"/>
          <w:color w:val="000000" w:themeColor="text1"/>
        </w:rPr>
      </w:pPr>
      <w:r>
        <w:rPr>
          <w:rFonts w:cs="Arial"/>
          <w:b/>
          <w:color w:val="000000" w:themeColor="text1"/>
          <w:sz w:val="28"/>
        </w:rPr>
        <w:t>3</w:t>
      </w:r>
      <w:r w:rsidRPr="008B335E">
        <w:rPr>
          <w:rFonts w:cs="Arial"/>
          <w:b/>
          <w:color w:val="000000" w:themeColor="text1"/>
          <w:sz w:val="28"/>
        </w:rPr>
        <w:t>. Análise de métricas e desempenho</w:t>
      </w:r>
    </w:p>
    <w:p w14:paraId="2BA69A60" w14:textId="77777777" w:rsidR="00CD07E0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>A latência é avaliada em dois cenários. Cold Start corresponde à primeira chamada após um período de inatividade, quando o provedor pode precisar inicializar o ambiente de execução. Warm Start corresponde às chamadas subsequentes quando o ambiente já está disponível. O comportamento real varia conforme região, runtime, configuração, carga e políticas de reutilização do provedor.</w:t>
      </w:r>
    </w:p>
    <w:p w14:paraId="317D20DA" w14:textId="77777777" w:rsidR="00CD07E0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>A interface registra a latência observada pelo navegador em milissegundos. A tabela abaixo apresenta o formato de comparação e deve ser preenchida com os resultados obtidos durante os testes de integração.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376"/>
        <w:gridCol w:w="2448"/>
        <w:gridCol w:w="2808"/>
      </w:tblGrid>
      <w:tr w:rsidR="00CD07E0" w:rsidRPr="008B335E" w14:paraId="020A3EBC" w14:textId="77777777">
        <w:trPr>
          <w:jc w:val="center"/>
        </w:trPr>
        <w:tc>
          <w:tcPr>
            <w:tcW w:w="230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6324F"/>
          </w:tcPr>
          <w:p w14:paraId="28622C14" w14:textId="77777777" w:rsidR="00CD07E0" w:rsidRPr="00025787" w:rsidRDefault="00000000">
            <w:pPr>
              <w:spacing w:after="0"/>
              <w:rPr>
                <w:rFonts w:cs="Arial"/>
                <w:color w:val="FFFFFF" w:themeColor="background1"/>
              </w:rPr>
            </w:pPr>
            <w:r w:rsidRPr="00025787">
              <w:rPr>
                <w:rFonts w:cs="Arial"/>
                <w:b/>
                <w:color w:val="FFFFFF" w:themeColor="background1"/>
                <w:sz w:val="16"/>
              </w:rPr>
              <w:t>Provedor</w:t>
            </w:r>
          </w:p>
        </w:tc>
        <w:tc>
          <w:tcPr>
            <w:tcW w:w="237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6324F"/>
          </w:tcPr>
          <w:p w14:paraId="5941CFC9" w14:textId="77777777" w:rsidR="00CD07E0" w:rsidRPr="00025787" w:rsidRDefault="00000000">
            <w:pPr>
              <w:spacing w:after="0"/>
              <w:rPr>
                <w:rFonts w:cs="Arial"/>
                <w:color w:val="FFFFFF" w:themeColor="background1"/>
              </w:rPr>
            </w:pPr>
            <w:r w:rsidRPr="00025787">
              <w:rPr>
                <w:rFonts w:cs="Arial"/>
                <w:b/>
                <w:color w:val="FFFFFF" w:themeColor="background1"/>
                <w:sz w:val="16"/>
              </w:rPr>
              <w:t>Cold Start (ms)</w:t>
            </w:r>
          </w:p>
        </w:tc>
        <w:tc>
          <w:tcPr>
            <w:tcW w:w="244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6324F"/>
          </w:tcPr>
          <w:p w14:paraId="4CCD27AA" w14:textId="77777777" w:rsidR="00CD07E0" w:rsidRPr="00025787" w:rsidRDefault="00000000">
            <w:pPr>
              <w:spacing w:after="0"/>
              <w:rPr>
                <w:rFonts w:cs="Arial"/>
                <w:color w:val="FFFFFF" w:themeColor="background1"/>
              </w:rPr>
            </w:pPr>
            <w:r w:rsidRPr="00025787">
              <w:rPr>
                <w:rFonts w:cs="Arial"/>
                <w:b/>
                <w:color w:val="FFFFFF" w:themeColor="background1"/>
                <w:sz w:val="16"/>
              </w:rPr>
              <w:t>Warm Start (ms)</w:t>
            </w:r>
          </w:p>
        </w:tc>
        <w:tc>
          <w:tcPr>
            <w:tcW w:w="280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6324F"/>
          </w:tcPr>
          <w:p w14:paraId="75776FD5" w14:textId="77777777" w:rsidR="00CD07E0" w:rsidRPr="00025787" w:rsidRDefault="00000000">
            <w:pPr>
              <w:spacing w:after="0"/>
              <w:rPr>
                <w:rFonts w:cs="Arial"/>
                <w:color w:val="FFFFFF" w:themeColor="background1"/>
              </w:rPr>
            </w:pPr>
            <w:r w:rsidRPr="00025787">
              <w:rPr>
                <w:rFonts w:cs="Arial"/>
                <w:b/>
                <w:color w:val="FFFFFF" w:themeColor="background1"/>
                <w:sz w:val="16"/>
              </w:rPr>
              <w:t>Critério de análise</w:t>
            </w:r>
          </w:p>
        </w:tc>
      </w:tr>
      <w:tr w:rsidR="00CD07E0" w:rsidRPr="008B335E" w14:paraId="7AF76A4D" w14:textId="77777777">
        <w:trPr>
          <w:jc w:val="center"/>
        </w:trPr>
        <w:tc>
          <w:tcPr>
            <w:tcW w:w="230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5E156B9E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AWS Lambda</w:t>
            </w:r>
          </w:p>
        </w:tc>
        <w:tc>
          <w:tcPr>
            <w:tcW w:w="2376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76CE6483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Registrar a medição real</w:t>
            </w:r>
          </w:p>
        </w:tc>
        <w:tc>
          <w:tcPr>
            <w:tcW w:w="2448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66F2FDCF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Registrar a medição real</w:t>
            </w:r>
          </w:p>
        </w:tc>
        <w:tc>
          <w:tcPr>
            <w:tcW w:w="2808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12FFD0BC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Comparar primeira chamada e chamadas subsequentes.</w:t>
            </w:r>
          </w:p>
        </w:tc>
      </w:tr>
      <w:tr w:rsidR="00CD07E0" w:rsidRPr="008B335E" w14:paraId="08F2DF8F" w14:textId="77777777">
        <w:trPr>
          <w:jc w:val="center"/>
        </w:trPr>
        <w:tc>
          <w:tcPr>
            <w:tcW w:w="230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00B5FA0C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Azure Functions</w:t>
            </w:r>
          </w:p>
        </w:tc>
        <w:tc>
          <w:tcPr>
            <w:tcW w:w="2376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60464B64" w14:textId="3E784937" w:rsidR="00CD07E0" w:rsidRPr="008B335E" w:rsidRDefault="00C21284">
            <w:pPr>
              <w:spacing w:after="0"/>
              <w:rPr>
                <w:rFonts w:cs="Arial"/>
                <w:color w:val="000000" w:themeColor="text1"/>
              </w:rPr>
            </w:pPr>
            <w:r w:rsidRPr="00C21284">
              <w:rPr>
                <w:rFonts w:cs="Arial"/>
                <w:color w:val="000000" w:themeColor="text1"/>
                <w:sz w:val="16"/>
              </w:rPr>
              <w:t xml:space="preserve">2.125 </w:t>
            </w:r>
            <w:proofErr w:type="spellStart"/>
            <w:r w:rsidRPr="00C21284">
              <w:rPr>
                <w:rFonts w:cs="Arial"/>
                <w:color w:val="000000" w:themeColor="text1"/>
                <w:sz w:val="16"/>
              </w:rPr>
              <w:t>ms</w:t>
            </w:r>
            <w:proofErr w:type="spellEnd"/>
          </w:p>
        </w:tc>
        <w:tc>
          <w:tcPr>
            <w:tcW w:w="2448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03C71B8B" w14:textId="5254CD73" w:rsidR="00CD07E0" w:rsidRPr="008B335E" w:rsidRDefault="00C21284">
            <w:pPr>
              <w:spacing w:after="0"/>
              <w:rPr>
                <w:rFonts w:cs="Arial"/>
                <w:color w:val="000000" w:themeColor="text1"/>
              </w:rPr>
            </w:pPr>
            <w:r w:rsidRPr="00C21284">
              <w:rPr>
                <w:rFonts w:cs="Arial"/>
                <w:color w:val="000000" w:themeColor="text1"/>
                <w:sz w:val="16"/>
              </w:rPr>
              <w:t xml:space="preserve">159 </w:t>
            </w:r>
            <w:proofErr w:type="spellStart"/>
            <w:r w:rsidRPr="00C21284">
              <w:rPr>
                <w:rFonts w:cs="Arial"/>
                <w:color w:val="000000" w:themeColor="text1"/>
                <w:sz w:val="16"/>
              </w:rPr>
              <w:t>ms</w:t>
            </w:r>
            <w:proofErr w:type="spellEnd"/>
          </w:p>
        </w:tc>
        <w:tc>
          <w:tcPr>
            <w:tcW w:w="2808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087844C5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Verificar o comportamento após inatividade e em sequência.</w:t>
            </w:r>
          </w:p>
        </w:tc>
      </w:tr>
      <w:tr w:rsidR="00CD07E0" w:rsidRPr="008B335E" w14:paraId="0CE87108" w14:textId="77777777">
        <w:trPr>
          <w:jc w:val="center"/>
        </w:trPr>
        <w:tc>
          <w:tcPr>
            <w:tcW w:w="230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687727F2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Google Cloud Functions</w:t>
            </w:r>
          </w:p>
        </w:tc>
        <w:tc>
          <w:tcPr>
            <w:tcW w:w="2376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3E445531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Registrar a medição real</w:t>
            </w:r>
          </w:p>
        </w:tc>
        <w:tc>
          <w:tcPr>
            <w:tcW w:w="2448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5E851051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Registrar a medição real</w:t>
            </w:r>
          </w:p>
        </w:tc>
        <w:tc>
          <w:tcPr>
            <w:tcW w:w="2808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31CFD343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Comparar primeira chamada e chamadas subsequentes.</w:t>
            </w:r>
          </w:p>
        </w:tc>
      </w:tr>
    </w:tbl>
    <w:p w14:paraId="24D79D03" w14:textId="77777777" w:rsidR="00025787" w:rsidRDefault="00025787">
      <w:pPr>
        <w:spacing w:before="200"/>
        <w:rPr>
          <w:rFonts w:cs="Arial"/>
          <w:b/>
          <w:color w:val="000000" w:themeColor="text1"/>
          <w:sz w:val="28"/>
        </w:rPr>
      </w:pPr>
    </w:p>
    <w:p w14:paraId="50ABCCC0" w14:textId="2F13C775" w:rsidR="00CD07E0" w:rsidRPr="008B335E" w:rsidRDefault="00025787">
      <w:pPr>
        <w:spacing w:before="200"/>
        <w:rPr>
          <w:rFonts w:cs="Arial"/>
          <w:color w:val="000000" w:themeColor="text1"/>
        </w:rPr>
      </w:pPr>
      <w:r>
        <w:rPr>
          <w:rFonts w:cs="Arial"/>
          <w:b/>
          <w:color w:val="000000" w:themeColor="text1"/>
          <w:sz w:val="28"/>
        </w:rPr>
        <w:t>4</w:t>
      </w:r>
      <w:r w:rsidRPr="008B335E">
        <w:rPr>
          <w:rFonts w:cs="Arial"/>
          <w:b/>
          <w:color w:val="000000" w:themeColor="text1"/>
          <w:sz w:val="28"/>
        </w:rPr>
        <w:t>. Relato técnico comparativo dos provedores</w:t>
      </w:r>
    </w:p>
    <w:p w14:paraId="69DACB2C" w14:textId="77777777" w:rsidR="00CD07E0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>A implementação multicloud exige configurar permissões, publicação HTTP, CORS, logs e monitoramento em cada provedor. Embora os conceitos sejam semelhantes, cada console organiza essas opções de maneira diferente. A tabela resume os pontos técnicos a validar em cada ambiente.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125"/>
        <w:gridCol w:w="3699"/>
        <w:gridCol w:w="3024"/>
        <w:gridCol w:w="2358"/>
      </w:tblGrid>
      <w:tr w:rsidR="00CD07E0" w:rsidRPr="00025787" w14:paraId="2956E057" w14:textId="77777777" w:rsidTr="009C6F4B">
        <w:trPr>
          <w:jc w:val="center"/>
        </w:trPr>
        <w:tc>
          <w:tcPr>
            <w:tcW w:w="11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6324F"/>
          </w:tcPr>
          <w:p w14:paraId="09B146A2" w14:textId="77777777" w:rsidR="00CD07E0" w:rsidRPr="00025787" w:rsidRDefault="00000000">
            <w:pPr>
              <w:spacing w:after="0"/>
              <w:rPr>
                <w:rFonts w:cs="Arial"/>
                <w:color w:val="FFFFFF" w:themeColor="background1"/>
              </w:rPr>
            </w:pPr>
            <w:proofErr w:type="spellStart"/>
            <w:r w:rsidRPr="00025787">
              <w:rPr>
                <w:rFonts w:cs="Arial"/>
                <w:b/>
                <w:color w:val="FFFFFF" w:themeColor="background1"/>
                <w:sz w:val="16"/>
              </w:rPr>
              <w:t>Aspecto</w:t>
            </w:r>
            <w:proofErr w:type="spellEnd"/>
          </w:p>
        </w:tc>
        <w:tc>
          <w:tcPr>
            <w:tcW w:w="369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6324F"/>
          </w:tcPr>
          <w:p w14:paraId="70EF5AB0" w14:textId="77777777" w:rsidR="00CD07E0" w:rsidRPr="00025787" w:rsidRDefault="00000000">
            <w:pPr>
              <w:spacing w:after="0"/>
              <w:rPr>
                <w:rFonts w:cs="Arial"/>
                <w:color w:val="FFFFFF" w:themeColor="background1"/>
              </w:rPr>
            </w:pPr>
            <w:r w:rsidRPr="00025787">
              <w:rPr>
                <w:rFonts w:cs="Arial"/>
                <w:b/>
                <w:color w:val="FFFFFF" w:themeColor="background1"/>
                <w:sz w:val="16"/>
              </w:rPr>
              <w:t>AWS Lambda</w:t>
            </w:r>
          </w:p>
        </w:tc>
        <w:tc>
          <w:tcPr>
            <w:tcW w:w="302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6324F"/>
          </w:tcPr>
          <w:p w14:paraId="297707BA" w14:textId="77777777" w:rsidR="00CD07E0" w:rsidRPr="00025787" w:rsidRDefault="00000000">
            <w:pPr>
              <w:spacing w:after="0"/>
              <w:rPr>
                <w:rFonts w:cs="Arial"/>
                <w:color w:val="FFFFFF" w:themeColor="background1"/>
              </w:rPr>
            </w:pPr>
            <w:r w:rsidRPr="00025787">
              <w:rPr>
                <w:rFonts w:cs="Arial"/>
                <w:b/>
                <w:color w:val="FFFFFF" w:themeColor="background1"/>
                <w:sz w:val="16"/>
              </w:rPr>
              <w:t>Microsoft Azure Functions</w:t>
            </w:r>
          </w:p>
        </w:tc>
        <w:tc>
          <w:tcPr>
            <w:tcW w:w="235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6324F"/>
          </w:tcPr>
          <w:p w14:paraId="567032BA" w14:textId="77777777" w:rsidR="00CD07E0" w:rsidRPr="00025787" w:rsidRDefault="00000000">
            <w:pPr>
              <w:spacing w:after="0"/>
              <w:rPr>
                <w:rFonts w:cs="Arial"/>
                <w:color w:val="FFFFFF" w:themeColor="background1"/>
              </w:rPr>
            </w:pPr>
            <w:r w:rsidRPr="00025787">
              <w:rPr>
                <w:rFonts w:cs="Arial"/>
                <w:b/>
                <w:color w:val="FFFFFF" w:themeColor="background1"/>
                <w:sz w:val="16"/>
              </w:rPr>
              <w:t>Google Cloud Functions</w:t>
            </w:r>
          </w:p>
        </w:tc>
      </w:tr>
      <w:tr w:rsidR="00CD07E0" w:rsidRPr="008B335E" w14:paraId="13CAEFEA" w14:textId="77777777" w:rsidTr="009C6F4B">
        <w:trPr>
          <w:jc w:val="center"/>
        </w:trPr>
        <w:tc>
          <w:tcPr>
            <w:tcW w:w="1125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04E92A1F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5"/>
              </w:rPr>
              <w:t>IAM / permissões</w:t>
            </w:r>
          </w:p>
        </w:tc>
        <w:tc>
          <w:tcPr>
            <w:tcW w:w="3699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0001A9CD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5"/>
              </w:rPr>
              <w:t>Definir papel de execução e permissões mínimas; configurar acesso HTTP por Function URL ou API Gateway.</w:t>
            </w:r>
          </w:p>
        </w:tc>
        <w:tc>
          <w:tcPr>
            <w:tcW w:w="302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5ADBDC56" w14:textId="6D3F9791" w:rsidR="00CD07E0" w:rsidRPr="008B335E" w:rsidRDefault="00C21284">
            <w:pPr>
              <w:spacing w:after="0"/>
              <w:rPr>
                <w:rFonts w:cs="Arial"/>
                <w:color w:val="000000" w:themeColor="text1"/>
              </w:rPr>
            </w:pPr>
            <w:r w:rsidRPr="00C21284">
              <w:rPr>
                <w:rFonts w:cs="Arial"/>
                <w:color w:val="000000" w:themeColor="text1"/>
                <w:sz w:val="15"/>
              </w:rPr>
              <w:t xml:space="preserve">A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configuração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utilizada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 no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desenvolvimento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permite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chamadas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anônimas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,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sem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exigir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uma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chave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 de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função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 no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cliente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>.</w:t>
            </w:r>
          </w:p>
        </w:tc>
        <w:tc>
          <w:tcPr>
            <w:tcW w:w="2358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3FA0B84B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5"/>
              </w:rPr>
              <w:t xml:space="preserve">Definir identidade de execução e permissão de invocação HTTP; avaliar explicitamente </w:t>
            </w:r>
            <w:proofErr w:type="gramStart"/>
            <w:r w:rsidRPr="008B335E">
              <w:rPr>
                <w:rFonts w:cs="Arial"/>
                <w:color w:val="000000" w:themeColor="text1"/>
                <w:sz w:val="15"/>
              </w:rPr>
              <w:t>a</w:t>
            </w:r>
            <w:proofErr w:type="gramEnd"/>
            <w:r w:rsidRPr="008B335E">
              <w:rPr>
                <w:rFonts w:cs="Arial"/>
                <w:color w:val="000000" w:themeColor="text1"/>
                <w:sz w:val="15"/>
              </w:rPr>
              <w:t xml:space="preserve"> exposição pública.</w:t>
            </w:r>
          </w:p>
        </w:tc>
      </w:tr>
      <w:tr w:rsidR="00CD07E0" w:rsidRPr="008B335E" w14:paraId="6B28547D" w14:textId="77777777" w:rsidTr="009C6F4B">
        <w:trPr>
          <w:jc w:val="center"/>
        </w:trPr>
        <w:tc>
          <w:tcPr>
            <w:tcW w:w="1125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6B628F3D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5"/>
              </w:rPr>
              <w:t>CORS</w:t>
            </w:r>
          </w:p>
        </w:tc>
        <w:tc>
          <w:tcPr>
            <w:tcW w:w="3699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3F1E0FF2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5"/>
              </w:rPr>
              <w:t>Configurar no recurso HTTP de entrada; permitir origem do frontend, POST e headers necessários.</w:t>
            </w:r>
          </w:p>
        </w:tc>
        <w:tc>
          <w:tcPr>
            <w:tcW w:w="302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7F568942" w14:textId="6EA31DCC" w:rsidR="00CD07E0" w:rsidRPr="008B335E" w:rsidRDefault="00C21284">
            <w:pPr>
              <w:spacing w:after="0"/>
              <w:rPr>
                <w:rFonts w:cs="Arial"/>
                <w:color w:val="000000" w:themeColor="text1"/>
              </w:rPr>
            </w:pPr>
            <w:r w:rsidRPr="00C21284">
              <w:rPr>
                <w:rFonts w:cs="Arial"/>
                <w:color w:val="000000" w:themeColor="text1"/>
                <w:sz w:val="15"/>
              </w:rPr>
              <w:t xml:space="preserve">A URL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pública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 do frontend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hospedado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 no Railway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foi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configurada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 no CORS da Azure Function para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permitir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 as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requisições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originadas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 xml:space="preserve"> da </w:t>
            </w:r>
            <w:proofErr w:type="spellStart"/>
            <w:r w:rsidRPr="00C21284">
              <w:rPr>
                <w:rFonts w:cs="Arial"/>
                <w:color w:val="000000" w:themeColor="text1"/>
                <w:sz w:val="15"/>
              </w:rPr>
              <w:t>aplicação</w:t>
            </w:r>
            <w:proofErr w:type="spellEnd"/>
            <w:r w:rsidRPr="00C21284">
              <w:rPr>
                <w:rFonts w:cs="Arial"/>
                <w:color w:val="000000" w:themeColor="text1"/>
                <w:sz w:val="15"/>
              </w:rPr>
              <w:t>.</w:t>
            </w:r>
          </w:p>
        </w:tc>
        <w:tc>
          <w:tcPr>
            <w:tcW w:w="2358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35DC9AB8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5"/>
              </w:rPr>
              <w:t>Configurar headers CORS na função HTTP e validar requisições OPTIONS.</w:t>
            </w:r>
          </w:p>
        </w:tc>
      </w:tr>
      <w:tr w:rsidR="00CD07E0" w:rsidRPr="008B335E" w14:paraId="117B3639" w14:textId="77777777" w:rsidTr="009C6F4B">
        <w:trPr>
          <w:jc w:val="center"/>
        </w:trPr>
        <w:tc>
          <w:tcPr>
            <w:tcW w:w="1125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053E42D7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5"/>
              </w:rPr>
              <w:t>Logs / monitoramento</w:t>
            </w:r>
          </w:p>
        </w:tc>
        <w:tc>
          <w:tcPr>
            <w:tcW w:w="3699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4096D64C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5"/>
              </w:rPr>
              <w:t>CloudWatch Logs e métricas de duração, invocações e erros.</w:t>
            </w:r>
          </w:p>
        </w:tc>
        <w:tc>
          <w:tcPr>
            <w:tcW w:w="302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75A7F12E" w14:textId="2D24A80A" w:rsidR="00CD07E0" w:rsidRPr="008B335E" w:rsidRDefault="009C6F4B">
            <w:pPr>
              <w:spacing w:after="0"/>
              <w:rPr>
                <w:rFonts w:cs="Arial"/>
                <w:color w:val="000000" w:themeColor="text1"/>
              </w:rPr>
            </w:pPr>
            <w:r>
              <w:rPr>
                <w:rFonts w:cs="Arial"/>
                <w:noProof/>
                <w:color w:val="000000" w:themeColor="text1"/>
              </w:rPr>
              <w:drawing>
                <wp:inline distT="0" distB="0" distL="0" distR="0" wp14:anchorId="65118291" wp14:editId="2564727E">
                  <wp:extent cx="1851433" cy="866702"/>
                  <wp:effectExtent l="0" t="0" r="0" b="0"/>
                  <wp:docPr id="40549064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964" cy="8763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8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46DC6E2B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5"/>
              </w:rPr>
              <w:t>Cloud Logging e métricas de execução, duração e erros.</w:t>
            </w:r>
          </w:p>
        </w:tc>
      </w:tr>
      <w:tr w:rsidR="00CD07E0" w:rsidRPr="008B335E" w14:paraId="18D30349" w14:textId="77777777" w:rsidTr="009C6F4B">
        <w:trPr>
          <w:jc w:val="center"/>
        </w:trPr>
        <w:tc>
          <w:tcPr>
            <w:tcW w:w="1125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3EDBF0F0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5"/>
              </w:rPr>
              <w:t>Deploy</w:t>
            </w:r>
          </w:p>
        </w:tc>
        <w:tc>
          <w:tcPr>
            <w:tcW w:w="3699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16B704ED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5"/>
              </w:rPr>
              <w:t>Selecionar runtime e handler, configurar variáveis e publicar a função; depois validar o endpoint.</w:t>
            </w:r>
          </w:p>
        </w:tc>
        <w:tc>
          <w:tcPr>
            <w:tcW w:w="302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7F188E8C" w14:textId="26B743E4" w:rsidR="00CD07E0" w:rsidRDefault="009C6F4B">
            <w:pPr>
              <w:spacing w:after="0"/>
              <w:rPr>
                <w:rFonts w:cs="Arial"/>
                <w:color w:val="000000" w:themeColor="text1"/>
                <w:sz w:val="15"/>
              </w:rPr>
            </w:pPr>
            <w:r>
              <w:rPr>
                <w:rFonts w:cs="Arial"/>
                <w:noProof/>
                <w:color w:val="000000" w:themeColor="text1"/>
                <w:sz w:val="15"/>
              </w:rPr>
              <w:drawing>
                <wp:inline distT="0" distB="0" distL="0" distR="0" wp14:anchorId="6033F435" wp14:editId="77D48B39">
                  <wp:extent cx="1851025" cy="867668"/>
                  <wp:effectExtent l="0" t="0" r="0" b="8890"/>
                  <wp:docPr id="145859703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1920" cy="8868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644B47E" w14:textId="36EC1B04" w:rsidR="009C6F4B" w:rsidRPr="008B335E" w:rsidRDefault="009C6F4B">
            <w:pPr>
              <w:spacing w:after="0"/>
              <w:rPr>
                <w:rFonts w:cs="Arial"/>
                <w:color w:val="000000" w:themeColor="text1"/>
              </w:rPr>
            </w:pPr>
          </w:p>
        </w:tc>
        <w:tc>
          <w:tcPr>
            <w:tcW w:w="2358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14CD08B0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5"/>
              </w:rPr>
              <w:t>Publicar função HTTP, selecionar runtime/região e definir política de invocação.</w:t>
            </w:r>
          </w:p>
        </w:tc>
      </w:tr>
      <w:tr w:rsidR="00CD07E0" w:rsidRPr="008B335E" w14:paraId="23DDB2F8" w14:textId="77777777" w:rsidTr="009C6F4B">
        <w:trPr>
          <w:jc w:val="center"/>
        </w:trPr>
        <w:tc>
          <w:tcPr>
            <w:tcW w:w="1125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7231B599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proofErr w:type="spellStart"/>
            <w:r w:rsidRPr="008B335E">
              <w:rPr>
                <w:rFonts w:cs="Arial"/>
                <w:color w:val="000000" w:themeColor="text1"/>
                <w:sz w:val="15"/>
              </w:rPr>
              <w:t>Validação</w:t>
            </w:r>
            <w:proofErr w:type="spellEnd"/>
            <w:r w:rsidRPr="008B335E">
              <w:rPr>
                <w:rFonts w:cs="Arial"/>
                <w:color w:val="000000" w:themeColor="text1"/>
                <w:sz w:val="15"/>
              </w:rPr>
              <w:t xml:space="preserve"> </w:t>
            </w:r>
            <w:proofErr w:type="spellStart"/>
            <w:r w:rsidRPr="008B335E">
              <w:rPr>
                <w:rFonts w:cs="Arial"/>
                <w:color w:val="000000" w:themeColor="text1"/>
                <w:sz w:val="15"/>
              </w:rPr>
              <w:t>funcional</w:t>
            </w:r>
            <w:proofErr w:type="spellEnd"/>
          </w:p>
        </w:tc>
        <w:tc>
          <w:tcPr>
            <w:tcW w:w="3699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7810A39E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5"/>
              </w:rPr>
              <w:t>Testar payload, resposta JSON, códigos HTTP e acesso do frontend.</w:t>
            </w:r>
          </w:p>
        </w:tc>
        <w:tc>
          <w:tcPr>
            <w:tcW w:w="302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3161DA1D" w14:textId="4687BB31" w:rsidR="00CD07E0" w:rsidRPr="008B335E" w:rsidRDefault="009C6F4B">
            <w:pPr>
              <w:spacing w:after="0"/>
              <w:rPr>
                <w:rFonts w:cs="Arial"/>
                <w:color w:val="000000" w:themeColor="text1"/>
              </w:rPr>
            </w:pPr>
            <w:r>
              <w:rPr>
                <w:rFonts w:cs="Arial"/>
                <w:noProof/>
                <w:color w:val="000000" w:themeColor="text1"/>
              </w:rPr>
              <w:drawing>
                <wp:inline distT="0" distB="0" distL="0" distR="0" wp14:anchorId="214BACA1" wp14:editId="72F51630">
                  <wp:extent cx="1844525" cy="851940"/>
                  <wp:effectExtent l="0" t="0" r="3810" b="5715"/>
                  <wp:docPr id="572787147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106" cy="8831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8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11F94BCD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5"/>
              </w:rPr>
              <w:t>Testar endpoint, JSON, CORS, permissões e comportamento em caso de falha.</w:t>
            </w:r>
          </w:p>
        </w:tc>
      </w:tr>
    </w:tbl>
    <w:p w14:paraId="30967C6A" w14:textId="77777777" w:rsidR="00025787" w:rsidRDefault="00025787">
      <w:pPr>
        <w:spacing w:before="120" w:after="60"/>
        <w:rPr>
          <w:rFonts w:cs="Arial"/>
          <w:b/>
          <w:color w:val="000000" w:themeColor="text1"/>
          <w:sz w:val="22"/>
        </w:rPr>
      </w:pPr>
    </w:p>
    <w:p w14:paraId="0B27901D" w14:textId="7F25D611" w:rsidR="00CD07E0" w:rsidRPr="008B335E" w:rsidRDefault="00C21284">
      <w:pPr>
        <w:spacing w:before="120" w:after="60"/>
        <w:rPr>
          <w:rFonts w:cs="Arial"/>
          <w:color w:val="000000" w:themeColor="text1"/>
        </w:rPr>
      </w:pPr>
      <w:r>
        <w:rPr>
          <w:rFonts w:cs="Arial"/>
          <w:b/>
          <w:color w:val="000000" w:themeColor="text1"/>
          <w:sz w:val="22"/>
        </w:rPr>
        <w:lastRenderedPageBreak/>
        <w:t>4</w:t>
      </w:r>
      <w:r w:rsidR="00000000" w:rsidRPr="008B335E">
        <w:rPr>
          <w:rFonts w:cs="Arial"/>
          <w:b/>
          <w:color w:val="000000" w:themeColor="text1"/>
          <w:sz w:val="22"/>
        </w:rPr>
        <w:t xml:space="preserve">.1 </w:t>
      </w:r>
      <w:proofErr w:type="spellStart"/>
      <w:r w:rsidR="00000000" w:rsidRPr="008B335E">
        <w:rPr>
          <w:rFonts w:cs="Arial"/>
          <w:b/>
          <w:color w:val="000000" w:themeColor="text1"/>
          <w:sz w:val="22"/>
        </w:rPr>
        <w:t>Análise</w:t>
      </w:r>
      <w:proofErr w:type="spellEnd"/>
      <w:r w:rsidR="00000000" w:rsidRPr="008B335E">
        <w:rPr>
          <w:rFonts w:cs="Arial"/>
          <w:b/>
          <w:color w:val="000000" w:themeColor="text1"/>
          <w:sz w:val="22"/>
        </w:rPr>
        <w:t xml:space="preserve"> </w:t>
      </w:r>
      <w:proofErr w:type="spellStart"/>
      <w:r w:rsidR="00000000" w:rsidRPr="008B335E">
        <w:rPr>
          <w:rFonts w:cs="Arial"/>
          <w:b/>
          <w:color w:val="000000" w:themeColor="text1"/>
          <w:sz w:val="22"/>
        </w:rPr>
        <w:t>crítica</w:t>
      </w:r>
      <w:proofErr w:type="spellEnd"/>
      <w:r w:rsidR="00000000" w:rsidRPr="008B335E">
        <w:rPr>
          <w:rFonts w:cs="Arial"/>
          <w:b/>
          <w:color w:val="000000" w:themeColor="text1"/>
          <w:sz w:val="22"/>
        </w:rPr>
        <w:t xml:space="preserve"> de </w:t>
      </w:r>
      <w:proofErr w:type="spellStart"/>
      <w:r w:rsidR="00000000" w:rsidRPr="008B335E">
        <w:rPr>
          <w:rFonts w:cs="Arial"/>
          <w:b/>
          <w:color w:val="000000" w:themeColor="text1"/>
          <w:sz w:val="22"/>
        </w:rPr>
        <w:t>integração</w:t>
      </w:r>
      <w:proofErr w:type="spellEnd"/>
    </w:p>
    <w:p w14:paraId="07D06EF9" w14:textId="77777777" w:rsidR="00CD07E0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>A consistência do contrato JSON é fundamental para a integração. Os nomes dos campos enviados pelo frontend devem coincidir com os aceitos pela função, e os nomes retornados precisam coincidir com os consumidos pelo dashboard. Divergências de nomenclatura podem fazer a interface interpretar uma resposta válida como erro.</w:t>
      </w:r>
    </w:p>
    <w:p w14:paraId="623DF00A" w14:textId="77777777" w:rsidR="00CD07E0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>A configuração de CORS é necessária porque o navegador restringe chamadas entre origens diferentes. O endpoint deve permitir a origem pública da SPA, além do método e dos headers utilizados. Durante o deploy, os logs devem ser consultados para diferenciar erros de código, permissões, rede e configuração.</w:t>
      </w:r>
    </w:p>
    <w:p w14:paraId="7D2EA890" w14:textId="77777777" w:rsidR="00CD07E0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>As permissões devem seguir o princípio do menor privilégio. Quando o teste acadêmico exigir invocação pública, essa configuração deve ser intencional, limitada ao necessário e revista após a demonstração. Chaves privadas e tokens não devem ser incluídos no código do frontend ou em repositórios públicos.</w:t>
      </w:r>
    </w:p>
    <w:p w14:paraId="0205A2F6" w14:textId="77777777" w:rsidR="00CD07E0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br w:type="page"/>
      </w:r>
    </w:p>
    <w:p w14:paraId="2D497A94" w14:textId="77777777" w:rsidR="00CD07E0" w:rsidRPr="008B335E" w:rsidRDefault="00000000">
      <w:pPr>
        <w:spacing w:before="200"/>
        <w:rPr>
          <w:rFonts w:cs="Arial"/>
          <w:color w:val="000000" w:themeColor="text1"/>
        </w:rPr>
      </w:pPr>
      <w:r w:rsidRPr="008B335E">
        <w:rPr>
          <w:rFonts w:cs="Arial"/>
          <w:b/>
          <w:color w:val="000000" w:themeColor="text1"/>
          <w:sz w:val="28"/>
        </w:rPr>
        <w:lastRenderedPageBreak/>
        <w:t>6. Resiliência e tratamento de falhas</w:t>
      </w:r>
    </w:p>
    <w:p w14:paraId="76F056FB" w14:textId="77777777" w:rsidR="00CD07E0" w:rsidRPr="008B335E" w:rsidRDefault="00000000">
      <w:pPr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</w:rPr>
        <w:t>A interface realiza as chamadas dos provedores de forma independente. Caso uma chamada falhe, o frontend apresenta o estado correspondente e utiliza o fallback local previsto para aquele módulo. Os resultados dos outros serviços continuam disponíveis, evitando que uma falha isolada interrompa toda a experiência.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056"/>
      </w:tblGrid>
      <w:tr w:rsidR="00CD07E0" w:rsidRPr="00025787" w14:paraId="58A8D8C8" w14:textId="77777777">
        <w:trPr>
          <w:jc w:val="center"/>
        </w:trPr>
        <w:tc>
          <w:tcPr>
            <w:tcW w:w="302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6324F"/>
          </w:tcPr>
          <w:p w14:paraId="7D45DC82" w14:textId="77777777" w:rsidR="00CD07E0" w:rsidRPr="00025787" w:rsidRDefault="00000000">
            <w:pPr>
              <w:spacing w:after="0"/>
              <w:rPr>
                <w:rFonts w:cs="Arial"/>
                <w:color w:val="FFFFFF" w:themeColor="background1"/>
              </w:rPr>
            </w:pPr>
            <w:r w:rsidRPr="00025787">
              <w:rPr>
                <w:rFonts w:cs="Arial"/>
                <w:b/>
                <w:color w:val="FFFFFF" w:themeColor="background1"/>
                <w:sz w:val="16"/>
              </w:rPr>
              <w:t>Cenário</w:t>
            </w:r>
          </w:p>
        </w:tc>
        <w:tc>
          <w:tcPr>
            <w:tcW w:w="705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6324F"/>
          </w:tcPr>
          <w:p w14:paraId="7C2954D8" w14:textId="77777777" w:rsidR="00CD07E0" w:rsidRPr="00025787" w:rsidRDefault="00000000">
            <w:pPr>
              <w:spacing w:after="0"/>
              <w:rPr>
                <w:rFonts w:cs="Arial"/>
                <w:color w:val="FFFFFF" w:themeColor="background1"/>
              </w:rPr>
            </w:pPr>
            <w:r w:rsidRPr="00025787">
              <w:rPr>
                <w:rFonts w:cs="Arial"/>
                <w:b/>
                <w:color w:val="FFFFFF" w:themeColor="background1"/>
                <w:sz w:val="16"/>
              </w:rPr>
              <w:t>Comportamento esperado</w:t>
            </w:r>
          </w:p>
        </w:tc>
      </w:tr>
      <w:tr w:rsidR="00CD07E0" w:rsidRPr="008B335E" w14:paraId="21411816" w14:textId="77777777">
        <w:trPr>
          <w:jc w:val="center"/>
        </w:trPr>
        <w:tc>
          <w:tcPr>
            <w:tcW w:w="302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6091434D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Todos os serviços respondem</w:t>
            </w:r>
          </w:p>
        </w:tc>
        <w:tc>
          <w:tcPr>
            <w:tcW w:w="7056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3FCFC839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O dashboard apresenta os três resultados, os estados de sucesso e as latências.</w:t>
            </w:r>
          </w:p>
        </w:tc>
      </w:tr>
      <w:tr w:rsidR="00CD07E0" w:rsidRPr="008B335E" w14:paraId="318C1990" w14:textId="77777777">
        <w:trPr>
          <w:jc w:val="center"/>
        </w:trPr>
        <w:tc>
          <w:tcPr>
            <w:tcW w:w="302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5945D49D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AWS indisponível</w:t>
            </w:r>
          </w:p>
        </w:tc>
        <w:tc>
          <w:tcPr>
            <w:tcW w:w="7056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66FA75F5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O card de projeção de investimento apresenta fallback/aviso; os módulos cambial e de inflação continuam operacionais.</w:t>
            </w:r>
          </w:p>
        </w:tc>
      </w:tr>
      <w:tr w:rsidR="00CD07E0" w:rsidRPr="008B335E" w14:paraId="649699B4" w14:textId="77777777">
        <w:trPr>
          <w:jc w:val="center"/>
        </w:trPr>
        <w:tc>
          <w:tcPr>
            <w:tcW w:w="302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66BD6FD1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Azure indisponível</w:t>
            </w:r>
          </w:p>
        </w:tc>
        <w:tc>
          <w:tcPr>
            <w:tcW w:w="7056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0C77A236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O card de conversão cambial apresenta fallback/aviso; os outros módulos continuam operacionais.</w:t>
            </w:r>
          </w:p>
        </w:tc>
      </w:tr>
      <w:tr w:rsidR="00CD07E0" w:rsidRPr="008B335E" w14:paraId="3B919640" w14:textId="77777777">
        <w:trPr>
          <w:jc w:val="center"/>
        </w:trPr>
        <w:tc>
          <w:tcPr>
            <w:tcW w:w="302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00936F0D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Google Cloud indisponível</w:t>
            </w:r>
          </w:p>
        </w:tc>
        <w:tc>
          <w:tcPr>
            <w:tcW w:w="7056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6F9FC"/>
          </w:tcPr>
          <w:p w14:paraId="33180557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O card de poder de compra apresenta fallback/aviso; os outros módulos continuam operacionais.</w:t>
            </w:r>
          </w:p>
        </w:tc>
      </w:tr>
      <w:tr w:rsidR="00CD07E0" w:rsidRPr="008B335E" w14:paraId="550C7E43" w14:textId="77777777">
        <w:trPr>
          <w:jc w:val="center"/>
        </w:trPr>
        <w:tc>
          <w:tcPr>
            <w:tcW w:w="3024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5B3DEAB4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Endpoint excede o timeout</w:t>
            </w:r>
          </w:p>
        </w:tc>
        <w:tc>
          <w:tcPr>
            <w:tcW w:w="7056" w:type="dxa"/>
            <w:tcBorders>
              <w:top w:val="single" w:sz="4" w:space="0" w:color="CBD8E3"/>
              <w:left w:val="single" w:sz="4" w:space="0" w:color="CBD8E3"/>
              <w:bottom w:val="single" w:sz="4" w:space="0" w:color="CBD8E3"/>
              <w:right w:val="single" w:sz="4" w:space="0" w:color="CBD8E3"/>
            </w:tcBorders>
            <w:shd w:val="clear" w:color="auto" w:fill="FFFFFF"/>
          </w:tcPr>
          <w:p w14:paraId="7161EEA1" w14:textId="77777777" w:rsidR="00CD07E0" w:rsidRPr="008B335E" w:rsidRDefault="00000000">
            <w:pPr>
              <w:spacing w:after="0"/>
              <w:rPr>
                <w:rFonts w:cs="Arial"/>
                <w:color w:val="000000" w:themeColor="text1"/>
              </w:rPr>
            </w:pPr>
            <w:r w:rsidRPr="008B335E">
              <w:rPr>
                <w:rFonts w:cs="Arial"/>
                <w:color w:val="000000" w:themeColor="text1"/>
                <w:sz w:val="16"/>
              </w:rPr>
              <w:t>A interface interrompe a espera daquele módulo, informa o estado e mantém os demais resultados.</w:t>
            </w:r>
          </w:p>
        </w:tc>
      </w:tr>
    </w:tbl>
    <w:p w14:paraId="5039B7E8" w14:textId="77777777" w:rsidR="00025787" w:rsidRDefault="00025787">
      <w:pPr>
        <w:spacing w:before="200"/>
        <w:rPr>
          <w:rFonts w:cs="Arial"/>
          <w:b/>
          <w:color w:val="000000" w:themeColor="text1"/>
          <w:sz w:val="28"/>
        </w:rPr>
      </w:pPr>
    </w:p>
    <w:p w14:paraId="5D5E925C" w14:textId="7DC6D72C" w:rsidR="00CD07E0" w:rsidRPr="008B335E" w:rsidRDefault="00000000">
      <w:pPr>
        <w:spacing w:before="200"/>
        <w:rPr>
          <w:rFonts w:cs="Arial"/>
          <w:color w:val="000000" w:themeColor="text1"/>
        </w:rPr>
      </w:pPr>
      <w:r w:rsidRPr="008B335E">
        <w:rPr>
          <w:rFonts w:cs="Arial"/>
          <w:b/>
          <w:color w:val="000000" w:themeColor="text1"/>
          <w:sz w:val="28"/>
        </w:rPr>
        <w:t>7. Segurança, observabilidade e custos</w:t>
      </w:r>
    </w:p>
    <w:p w14:paraId="1021BCD9" w14:textId="77777777" w:rsidR="00CD07E0" w:rsidRPr="008B335E" w:rsidRDefault="00000000">
      <w:pPr>
        <w:pStyle w:val="Commarcadores"/>
        <w:spacing w:after="60"/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  <w:sz w:val="18"/>
        </w:rPr>
        <w:t>Utilizar HTTPS nos endpoints públicos.</w:t>
      </w:r>
    </w:p>
    <w:p w14:paraId="79569A1C" w14:textId="77777777" w:rsidR="00CD07E0" w:rsidRPr="008B335E" w:rsidRDefault="00000000">
      <w:pPr>
        <w:pStyle w:val="Commarcadores"/>
        <w:spacing w:after="60"/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  <w:sz w:val="18"/>
        </w:rPr>
        <w:t>Validar os parâmetros de entrada e limitar valores fora do intervalo permitido.</w:t>
      </w:r>
    </w:p>
    <w:p w14:paraId="0A6316BE" w14:textId="77777777" w:rsidR="00CD07E0" w:rsidRPr="008B335E" w:rsidRDefault="00000000">
      <w:pPr>
        <w:pStyle w:val="Commarcadores"/>
        <w:spacing w:after="60"/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  <w:sz w:val="18"/>
        </w:rPr>
        <w:t>Não armazenar credenciais no frontend; utilizar mecanismos de configuração e segredos próprios dos provedores quando necessário.</w:t>
      </w:r>
    </w:p>
    <w:p w14:paraId="166C2029" w14:textId="77777777" w:rsidR="00CD07E0" w:rsidRPr="008B335E" w:rsidRDefault="00000000">
      <w:pPr>
        <w:pStyle w:val="Commarcadores"/>
        <w:spacing w:after="60"/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  <w:sz w:val="18"/>
        </w:rPr>
        <w:t>Registrar falhas, duração e códigos de resposta sem incluir dados sensíveis nos logs.</w:t>
      </w:r>
    </w:p>
    <w:p w14:paraId="4D1A9405" w14:textId="77777777" w:rsidR="00CD07E0" w:rsidRPr="008B335E" w:rsidRDefault="00000000">
      <w:pPr>
        <w:pStyle w:val="Commarcadores"/>
        <w:spacing w:after="60"/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  <w:sz w:val="18"/>
        </w:rPr>
        <w:t>Restringir permissões de execução e invocação ao mínimo necessário.</w:t>
      </w:r>
    </w:p>
    <w:p w14:paraId="0FAD5677" w14:textId="77777777" w:rsidR="00CD07E0" w:rsidRPr="008B335E" w:rsidRDefault="00000000">
      <w:pPr>
        <w:pStyle w:val="Commarcadores"/>
        <w:spacing w:after="60"/>
        <w:rPr>
          <w:rFonts w:cs="Arial"/>
          <w:color w:val="000000" w:themeColor="text1"/>
        </w:rPr>
      </w:pPr>
      <w:r w:rsidRPr="008B335E">
        <w:rPr>
          <w:rFonts w:cs="Arial"/>
          <w:color w:val="000000" w:themeColor="text1"/>
          <w:sz w:val="18"/>
        </w:rPr>
        <w:t>Monitorar consumo e desativar ou remover recursos de teste após a apresentação para evitar custos desnecessários.</w:t>
      </w:r>
    </w:p>
    <w:sectPr w:rsidR="00CD07E0" w:rsidRPr="008B335E" w:rsidSect="00034616">
      <w:headerReference w:type="default" r:id="rId12"/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DF2A1" w14:textId="77777777" w:rsidR="009A0A51" w:rsidRDefault="009A0A51">
      <w:pPr>
        <w:spacing w:after="0" w:line="240" w:lineRule="auto"/>
      </w:pPr>
      <w:r>
        <w:separator/>
      </w:r>
    </w:p>
  </w:endnote>
  <w:endnote w:type="continuationSeparator" w:id="0">
    <w:p w14:paraId="5D48B161" w14:textId="77777777" w:rsidR="009A0A51" w:rsidRDefault="009A0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98105" w14:textId="221963F3" w:rsidR="00CD07E0" w:rsidRDefault="00CD07E0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60661" w14:textId="77777777" w:rsidR="009A0A51" w:rsidRDefault="009A0A51">
      <w:pPr>
        <w:spacing w:after="0" w:line="240" w:lineRule="auto"/>
      </w:pPr>
      <w:r>
        <w:separator/>
      </w:r>
    </w:p>
  </w:footnote>
  <w:footnote w:type="continuationSeparator" w:id="0">
    <w:p w14:paraId="67D792AF" w14:textId="77777777" w:rsidR="009A0A51" w:rsidRDefault="009A0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092550"/>
      <w:docPartObj>
        <w:docPartGallery w:val="Page Numbers (Top of Page)"/>
        <w:docPartUnique/>
      </w:docPartObj>
    </w:sdtPr>
    <w:sdtContent>
      <w:p w14:paraId="7FDC394E" w14:textId="5EB507FB" w:rsidR="008B335E" w:rsidRDefault="008B335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3FE60E80" w14:textId="4B591D21" w:rsidR="00CD07E0" w:rsidRDefault="00CD07E0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420A47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830351">
    <w:abstractNumId w:val="8"/>
  </w:num>
  <w:num w:numId="2" w16cid:durableId="310138149">
    <w:abstractNumId w:val="6"/>
  </w:num>
  <w:num w:numId="3" w16cid:durableId="507868362">
    <w:abstractNumId w:val="5"/>
  </w:num>
  <w:num w:numId="4" w16cid:durableId="1660494889">
    <w:abstractNumId w:val="4"/>
  </w:num>
  <w:num w:numId="5" w16cid:durableId="1275408075">
    <w:abstractNumId w:val="7"/>
  </w:num>
  <w:num w:numId="6" w16cid:durableId="987974270">
    <w:abstractNumId w:val="3"/>
  </w:num>
  <w:num w:numId="7" w16cid:durableId="430200115">
    <w:abstractNumId w:val="2"/>
  </w:num>
  <w:num w:numId="8" w16cid:durableId="581069805">
    <w:abstractNumId w:val="1"/>
  </w:num>
  <w:num w:numId="9" w16cid:durableId="2086296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787"/>
    <w:rsid w:val="00034616"/>
    <w:rsid w:val="0006063C"/>
    <w:rsid w:val="0015074B"/>
    <w:rsid w:val="0029639D"/>
    <w:rsid w:val="00326F90"/>
    <w:rsid w:val="0071002C"/>
    <w:rsid w:val="00720E9C"/>
    <w:rsid w:val="008B335E"/>
    <w:rsid w:val="009A0A51"/>
    <w:rsid w:val="009C6F4B"/>
    <w:rsid w:val="00A92519"/>
    <w:rsid w:val="00AA1D8D"/>
    <w:rsid w:val="00B47730"/>
    <w:rsid w:val="00C21284"/>
    <w:rsid w:val="00CB0664"/>
    <w:rsid w:val="00CD07E0"/>
    <w:rsid w:val="00E965BB"/>
    <w:rsid w:val="00FC693F"/>
    <w:rsid w:val="00FD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41DD63"/>
  <w14:defaultImageDpi w14:val="300"/>
  <w15:docId w15:val="{EC6D3EC4-E4E3-412C-91CD-1E4C4DA79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color w:val="000000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B335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B33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.com/Pedro-Cavenaghi/Saasmulticloud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1466</Words>
  <Characters>7920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SANTOS OLIVEIRA</cp:lastModifiedBy>
  <cp:revision>4</cp:revision>
  <dcterms:created xsi:type="dcterms:W3CDTF">2013-12-23T23:15:00Z</dcterms:created>
  <dcterms:modified xsi:type="dcterms:W3CDTF">2026-10-27T00:08:00Z</dcterms:modified>
  <cp:category/>
</cp:coreProperties>
</file>