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A9B33" w14:textId="77777777" w:rsidR="00CD07E0" w:rsidRPr="008B335E" w:rsidRDefault="00CD07E0">
      <w:pPr>
        <w:spacing w:after="560"/>
        <w:rPr>
          <w:rFonts w:cs="Arial"/>
          <w:color w:val="000000" w:themeColor="text1"/>
        </w:rPr>
      </w:pPr>
    </w:p>
    <w:p w14:paraId="3C00E8B7" w14:textId="77777777" w:rsidR="00CD07E0" w:rsidRDefault="00000000">
      <w:pPr>
        <w:spacing w:after="40"/>
        <w:jc w:val="center"/>
        <w:rPr>
          <w:rFonts w:cs="Arial"/>
          <w:b/>
          <w:color w:val="000000" w:themeColor="text1"/>
          <w:sz w:val="56"/>
        </w:rPr>
      </w:pPr>
      <w:proofErr w:type="spellStart"/>
      <w:r w:rsidRPr="008B335E">
        <w:rPr>
          <w:rFonts w:cs="Arial"/>
          <w:b/>
          <w:color w:val="000000" w:themeColor="text1"/>
          <w:sz w:val="56"/>
        </w:rPr>
        <w:t>IHMInvest</w:t>
      </w:r>
      <w:proofErr w:type="spellEnd"/>
    </w:p>
    <w:p w14:paraId="62289E4E" w14:textId="77777777" w:rsidR="008B335E" w:rsidRDefault="008B335E">
      <w:pPr>
        <w:spacing w:after="40"/>
        <w:jc w:val="center"/>
        <w:rPr>
          <w:rFonts w:cs="Arial"/>
          <w:b/>
          <w:color w:val="000000" w:themeColor="text1"/>
          <w:sz w:val="56"/>
        </w:rPr>
      </w:pPr>
    </w:p>
    <w:p w14:paraId="36F27363" w14:textId="77777777" w:rsidR="008B335E" w:rsidRPr="008B335E" w:rsidRDefault="008B335E">
      <w:pPr>
        <w:spacing w:after="40"/>
        <w:jc w:val="center"/>
        <w:rPr>
          <w:rFonts w:cs="Arial"/>
          <w:color w:val="000000" w:themeColor="text1"/>
        </w:rPr>
      </w:pPr>
    </w:p>
    <w:p w14:paraId="0965501E" w14:textId="77777777" w:rsidR="008B335E" w:rsidRDefault="008B335E">
      <w:pPr>
        <w:spacing w:after="160"/>
        <w:jc w:val="center"/>
        <w:rPr>
          <w:rFonts w:cs="Arial"/>
          <w:b/>
          <w:color w:val="000000" w:themeColor="text1"/>
          <w:sz w:val="38"/>
        </w:rPr>
      </w:pPr>
    </w:p>
    <w:p w14:paraId="013545FA" w14:textId="77777777" w:rsidR="008B335E" w:rsidRPr="008B335E" w:rsidRDefault="008B335E">
      <w:pPr>
        <w:spacing w:after="160"/>
        <w:jc w:val="center"/>
        <w:rPr>
          <w:rFonts w:cs="Arial"/>
          <w:color w:val="000000" w:themeColor="text1"/>
        </w:rPr>
      </w:pPr>
    </w:p>
    <w:p w14:paraId="2FBC2B02" w14:textId="1A951073" w:rsidR="008B335E" w:rsidRPr="008B335E" w:rsidRDefault="00000000">
      <w:pPr>
        <w:spacing w:after="60"/>
        <w:jc w:val="center"/>
        <w:rPr>
          <w:rFonts w:cs="Arial"/>
          <w:color w:val="000000" w:themeColor="text1"/>
          <w:sz w:val="26"/>
        </w:rPr>
      </w:pPr>
      <w:proofErr w:type="spellStart"/>
      <w:r w:rsidRPr="008B335E">
        <w:rPr>
          <w:rFonts w:cs="Arial"/>
          <w:color w:val="000000" w:themeColor="text1"/>
          <w:sz w:val="26"/>
        </w:rPr>
        <w:t>Ecossistema</w:t>
      </w:r>
      <w:proofErr w:type="spellEnd"/>
      <w:r w:rsidRPr="008B335E">
        <w:rPr>
          <w:rFonts w:cs="Arial"/>
          <w:color w:val="000000" w:themeColor="text1"/>
          <w:sz w:val="26"/>
        </w:rPr>
        <w:t xml:space="preserve"> SaaS </w:t>
      </w:r>
      <w:proofErr w:type="spellStart"/>
      <w:r w:rsidRPr="008B335E">
        <w:rPr>
          <w:rFonts w:cs="Arial"/>
          <w:color w:val="000000" w:themeColor="text1"/>
          <w:sz w:val="26"/>
        </w:rPr>
        <w:t>Financeiro</w:t>
      </w:r>
      <w:proofErr w:type="spellEnd"/>
      <w:r w:rsidRPr="008B335E">
        <w:rPr>
          <w:rFonts w:cs="Arial"/>
          <w:color w:val="000000" w:themeColor="text1"/>
          <w:sz w:val="26"/>
        </w:rPr>
        <w:t xml:space="preserve"> </w:t>
      </w:r>
      <w:proofErr w:type="spellStart"/>
      <w:r w:rsidRPr="008B335E">
        <w:rPr>
          <w:rFonts w:cs="Arial"/>
          <w:color w:val="000000" w:themeColor="text1"/>
          <w:sz w:val="26"/>
        </w:rPr>
        <w:t>Multicloud</w:t>
      </w:r>
      <w:proofErr w:type="spellEnd"/>
    </w:p>
    <w:p w14:paraId="2847CFB6" w14:textId="77777777" w:rsidR="008B335E" w:rsidRPr="008B335E" w:rsidRDefault="008B335E">
      <w:pPr>
        <w:spacing w:after="60"/>
        <w:jc w:val="center"/>
        <w:rPr>
          <w:rFonts w:cs="Arial"/>
          <w:color w:val="000000" w:themeColor="text1"/>
        </w:rPr>
      </w:pPr>
    </w:p>
    <w:p w14:paraId="1A65DD2F" w14:textId="41587D26" w:rsidR="00CD07E0" w:rsidRPr="008B335E" w:rsidRDefault="00000000" w:rsidP="008B335E">
      <w:pPr>
        <w:spacing w:after="400"/>
        <w:jc w:val="center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AWS </w:t>
      </w:r>
      <w:proofErr w:type="gramStart"/>
      <w:r w:rsidRPr="008B335E">
        <w:rPr>
          <w:rFonts w:cs="Arial"/>
          <w:color w:val="000000" w:themeColor="text1"/>
        </w:rPr>
        <w:t>Lambda  |</w:t>
      </w:r>
      <w:proofErr w:type="gramEnd"/>
      <w:r w:rsidRPr="008B335E">
        <w:rPr>
          <w:rFonts w:cs="Arial"/>
          <w:color w:val="000000" w:themeColor="text1"/>
        </w:rPr>
        <w:t xml:space="preserve">  Microsoft Azure </w:t>
      </w:r>
      <w:proofErr w:type="gramStart"/>
      <w:r w:rsidRPr="008B335E">
        <w:rPr>
          <w:rFonts w:cs="Arial"/>
          <w:color w:val="000000" w:themeColor="text1"/>
        </w:rPr>
        <w:t>Functions  |</w:t>
      </w:r>
      <w:proofErr w:type="gramEnd"/>
      <w:r w:rsidRPr="008B335E">
        <w:rPr>
          <w:rFonts w:cs="Arial"/>
          <w:color w:val="000000" w:themeColor="text1"/>
        </w:rPr>
        <w:t xml:space="preserve">  Google Cloud Functions</w:t>
      </w:r>
    </w:p>
    <w:p w14:paraId="50E32359" w14:textId="77777777" w:rsidR="00CD07E0" w:rsidRDefault="00000000">
      <w:pPr>
        <w:spacing w:after="80"/>
        <w:jc w:val="center"/>
        <w:rPr>
          <w:rFonts w:cs="Arial"/>
          <w:b/>
          <w:color w:val="000000" w:themeColor="text1"/>
          <w:sz w:val="22"/>
        </w:rPr>
      </w:pPr>
      <w:r w:rsidRPr="008B335E">
        <w:rPr>
          <w:rFonts w:cs="Arial"/>
          <w:b/>
          <w:color w:val="000000" w:themeColor="text1"/>
          <w:sz w:val="22"/>
        </w:rPr>
        <w:t xml:space="preserve">Grupo A — Análise e </w:t>
      </w:r>
      <w:proofErr w:type="spellStart"/>
      <w:r w:rsidRPr="008B335E">
        <w:rPr>
          <w:rFonts w:cs="Arial"/>
          <w:b/>
          <w:color w:val="000000" w:themeColor="text1"/>
          <w:sz w:val="22"/>
        </w:rPr>
        <w:t>projeção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de </w:t>
      </w:r>
      <w:proofErr w:type="spellStart"/>
      <w:r w:rsidRPr="008B335E">
        <w:rPr>
          <w:rFonts w:cs="Arial"/>
          <w:b/>
          <w:color w:val="000000" w:themeColor="text1"/>
          <w:sz w:val="22"/>
        </w:rPr>
        <w:t>investimentos</w:t>
      </w:r>
      <w:proofErr w:type="spellEnd"/>
    </w:p>
    <w:p w14:paraId="707DB982" w14:textId="77777777" w:rsidR="008B335E" w:rsidRDefault="008B335E">
      <w:pPr>
        <w:spacing w:after="80"/>
        <w:jc w:val="center"/>
        <w:rPr>
          <w:rFonts w:cs="Arial"/>
          <w:b/>
          <w:color w:val="000000" w:themeColor="text1"/>
          <w:sz w:val="22"/>
        </w:rPr>
      </w:pPr>
    </w:p>
    <w:p w14:paraId="5D52259F" w14:textId="77777777" w:rsidR="008B335E" w:rsidRDefault="008B335E">
      <w:pPr>
        <w:spacing w:after="80"/>
        <w:jc w:val="center"/>
        <w:rPr>
          <w:rFonts w:cs="Arial"/>
          <w:b/>
          <w:color w:val="000000" w:themeColor="text1"/>
          <w:sz w:val="22"/>
        </w:rPr>
      </w:pPr>
    </w:p>
    <w:p w14:paraId="17586ED7" w14:textId="77777777" w:rsidR="008B335E" w:rsidRPr="008B335E" w:rsidRDefault="008B335E">
      <w:pPr>
        <w:spacing w:after="80"/>
        <w:jc w:val="center"/>
        <w:rPr>
          <w:rFonts w:cs="Arial"/>
          <w:b/>
          <w:color w:val="000000" w:themeColor="text1"/>
          <w:sz w:val="22"/>
        </w:rPr>
      </w:pPr>
    </w:p>
    <w:p w14:paraId="7D29D102" w14:textId="77777777" w:rsidR="008B335E" w:rsidRP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34CFEDEA" w14:textId="2E4A988C" w:rsidR="00CD07E0" w:rsidRDefault="00000000">
      <w:pPr>
        <w:spacing w:after="80"/>
        <w:jc w:val="center"/>
        <w:rPr>
          <w:rFonts w:cs="Arial"/>
          <w:color w:val="000000" w:themeColor="text1"/>
          <w:sz w:val="18"/>
        </w:rPr>
      </w:pPr>
      <w:proofErr w:type="spellStart"/>
      <w:r w:rsidRPr="008B335E">
        <w:rPr>
          <w:rFonts w:cs="Arial"/>
          <w:color w:val="000000" w:themeColor="text1"/>
          <w:sz w:val="18"/>
        </w:rPr>
        <w:t>Repositório</w:t>
      </w:r>
      <w:proofErr w:type="spellEnd"/>
      <w:r w:rsidRPr="008B335E">
        <w:rPr>
          <w:rFonts w:cs="Arial"/>
          <w:color w:val="000000" w:themeColor="text1"/>
          <w:sz w:val="18"/>
        </w:rPr>
        <w:t xml:space="preserve">: </w:t>
      </w:r>
      <w:hyperlink r:id="rId8" w:history="1">
        <w:r w:rsidRPr="008B335E">
          <w:rPr>
            <w:rStyle w:val="Hyperlink"/>
            <w:rFonts w:cs="Arial"/>
            <w:sz w:val="18"/>
          </w:rPr>
          <w:t>github.com/Pedro-Cavenaghi/</w:t>
        </w:r>
        <w:proofErr w:type="spellStart"/>
        <w:r w:rsidRPr="008B335E">
          <w:rPr>
            <w:rStyle w:val="Hyperlink"/>
            <w:rFonts w:cs="Arial"/>
            <w:sz w:val="18"/>
          </w:rPr>
          <w:t>Saasmulticloud</w:t>
        </w:r>
        <w:proofErr w:type="spellEnd"/>
      </w:hyperlink>
    </w:p>
    <w:p w14:paraId="705DE166" w14:textId="77777777" w:rsidR="008B335E" w:rsidRDefault="008B335E">
      <w:pPr>
        <w:spacing w:after="80"/>
        <w:jc w:val="center"/>
        <w:rPr>
          <w:rFonts w:cs="Arial"/>
          <w:color w:val="000000" w:themeColor="text1"/>
          <w:sz w:val="18"/>
        </w:rPr>
      </w:pPr>
    </w:p>
    <w:p w14:paraId="73EB5274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56F4CC0A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1C792683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681A9A89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45D42F32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362CBC4D" w14:textId="009DA39A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Felipe Eduardo Franco</w:t>
      </w:r>
    </w:p>
    <w:p w14:paraId="53300A08" w14:textId="3D8C2BE5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João Pedro Baradelli Pavan</w:t>
      </w:r>
    </w:p>
    <w:p w14:paraId="74FDB137" w14:textId="5F6DC5EE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 xml:space="preserve">João Luís </w:t>
      </w:r>
      <w:proofErr w:type="gramStart"/>
      <w:r w:rsidRPr="008B335E">
        <w:rPr>
          <w:rFonts w:eastAsia="Arial Black" w:cs="Arial"/>
          <w:b/>
          <w:bCs/>
          <w:sz w:val="24"/>
          <w:szCs w:val="24"/>
        </w:rPr>
        <w:t>Da</w:t>
      </w:r>
      <w:proofErr w:type="gramEnd"/>
      <w:r w:rsidRPr="008B335E">
        <w:rPr>
          <w:rFonts w:eastAsia="Arial Black" w:cs="Arial"/>
          <w:b/>
          <w:bCs/>
          <w:sz w:val="24"/>
          <w:szCs w:val="24"/>
        </w:rPr>
        <w:t xml:space="preserve"> Silva</w:t>
      </w:r>
    </w:p>
    <w:p w14:paraId="438482CA" w14:textId="2488FEC6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Pedro Henrique Cavenaghi Dos Santos</w:t>
      </w:r>
    </w:p>
    <w:p w14:paraId="4D9A6A4E" w14:textId="19B02CF2" w:rsidR="008B335E" w:rsidRPr="008B335E" w:rsidRDefault="008B335E" w:rsidP="008B335E">
      <w:pPr>
        <w:jc w:val="center"/>
        <w:rPr>
          <w:rFonts w:eastAsia="Arial Black" w:cs="Arial"/>
          <w:b/>
          <w:bCs/>
          <w:sz w:val="24"/>
          <w:szCs w:val="24"/>
        </w:rPr>
      </w:pPr>
      <w:r w:rsidRPr="008B335E">
        <w:rPr>
          <w:rFonts w:eastAsia="Arial Black" w:cs="Arial"/>
          <w:b/>
          <w:bCs/>
          <w:sz w:val="24"/>
          <w:szCs w:val="24"/>
        </w:rPr>
        <w:t>Samuel Santos Oliveira</w:t>
      </w:r>
    </w:p>
    <w:p w14:paraId="72E6109D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62F47B0C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148BB7A6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5B292F12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048A377C" w14:textId="77777777" w:rsid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3D0C4BD6" w14:textId="77777777" w:rsidR="008B335E" w:rsidRPr="008B335E" w:rsidRDefault="008B335E">
      <w:pPr>
        <w:spacing w:after="80"/>
        <w:jc w:val="center"/>
        <w:rPr>
          <w:rFonts w:cs="Arial"/>
          <w:color w:val="000000" w:themeColor="text1"/>
        </w:rPr>
      </w:pPr>
    </w:p>
    <w:p w14:paraId="7B1640B9" w14:textId="77777777" w:rsidR="008B335E" w:rsidRPr="008B335E" w:rsidRDefault="008B335E">
      <w:pPr>
        <w:jc w:val="center"/>
        <w:rPr>
          <w:rFonts w:cs="Arial"/>
          <w:color w:val="000000" w:themeColor="text1"/>
          <w:sz w:val="18"/>
        </w:rPr>
      </w:pPr>
    </w:p>
    <w:p w14:paraId="27E70905" w14:textId="16B903CD" w:rsidR="00CD07E0" w:rsidRPr="008B335E" w:rsidRDefault="00000000">
      <w:pPr>
        <w:jc w:val="center"/>
        <w:rPr>
          <w:rFonts w:cs="Arial"/>
          <w:b/>
          <w:bCs/>
          <w:color w:val="000000" w:themeColor="text1"/>
          <w:sz w:val="22"/>
          <w:szCs w:val="24"/>
        </w:rPr>
      </w:pPr>
      <w:r w:rsidRPr="008B335E">
        <w:rPr>
          <w:rFonts w:cs="Arial"/>
          <w:b/>
          <w:bCs/>
          <w:color w:val="000000" w:themeColor="text1"/>
          <w:szCs w:val="24"/>
        </w:rPr>
        <w:t xml:space="preserve">26 de </w:t>
      </w:r>
      <w:proofErr w:type="spellStart"/>
      <w:r w:rsidRPr="008B335E">
        <w:rPr>
          <w:rFonts w:cs="Arial"/>
          <w:b/>
          <w:bCs/>
          <w:color w:val="000000" w:themeColor="text1"/>
          <w:szCs w:val="24"/>
        </w:rPr>
        <w:t>outubro</w:t>
      </w:r>
      <w:proofErr w:type="spellEnd"/>
      <w:r w:rsidRPr="008B335E">
        <w:rPr>
          <w:rFonts w:cs="Arial"/>
          <w:b/>
          <w:bCs/>
          <w:color w:val="000000" w:themeColor="text1"/>
          <w:szCs w:val="24"/>
        </w:rPr>
        <w:t xml:space="preserve"> de 2026</w:t>
      </w:r>
    </w:p>
    <w:p w14:paraId="5CD78318" w14:textId="45EA52F9" w:rsidR="00CD07E0" w:rsidRPr="008B335E" w:rsidRDefault="00000000" w:rsidP="00025787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br w:type="page"/>
      </w:r>
      <w:r w:rsidR="00E965BB">
        <w:rPr>
          <w:rFonts w:cs="Arial"/>
          <w:b/>
          <w:color w:val="000000" w:themeColor="text1"/>
          <w:sz w:val="28"/>
        </w:rPr>
        <w:lastRenderedPageBreak/>
        <w:t>1.</w:t>
      </w:r>
      <w:r w:rsidRPr="008B335E">
        <w:rPr>
          <w:rFonts w:cs="Arial"/>
          <w:b/>
          <w:color w:val="000000" w:themeColor="text1"/>
          <w:sz w:val="28"/>
        </w:rPr>
        <w:t xml:space="preserve"> Arquitetura da solução</w:t>
      </w:r>
    </w:p>
    <w:p w14:paraId="52CD10E6" w14:textId="77777777" w:rsidR="00CD07E0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O frontend é responsável por receber os dados, validar os campos, disparar as requisições, medir a latência e consolidar as respostas. Cada provedor executa uma responsabilidade específica. O dashboard mantém os módulos independentes para que a falha de um serviço não impeça </w:t>
      </w:r>
      <w:proofErr w:type="gramStart"/>
      <w:r w:rsidRPr="008B335E">
        <w:rPr>
          <w:rFonts w:cs="Arial"/>
          <w:color w:val="000000" w:themeColor="text1"/>
        </w:rPr>
        <w:t>a</w:t>
      </w:r>
      <w:proofErr w:type="gramEnd"/>
      <w:r w:rsidRPr="008B335E">
        <w:rPr>
          <w:rFonts w:cs="Arial"/>
          <w:color w:val="000000" w:themeColor="text1"/>
        </w:rPr>
        <w:t xml:space="preserve"> apresentação dos </w:t>
      </w:r>
      <w:proofErr w:type="spellStart"/>
      <w:r w:rsidRPr="008B335E">
        <w:rPr>
          <w:rFonts w:cs="Arial"/>
          <w:color w:val="000000" w:themeColor="text1"/>
        </w:rPr>
        <w:t>resultados</w:t>
      </w:r>
      <w:proofErr w:type="spellEnd"/>
      <w:r w:rsidRPr="008B335E">
        <w:rPr>
          <w:rFonts w:cs="Arial"/>
          <w:color w:val="000000" w:themeColor="text1"/>
        </w:rPr>
        <w:t xml:space="preserve"> dos </w:t>
      </w:r>
      <w:proofErr w:type="spellStart"/>
      <w:r w:rsidRPr="008B335E">
        <w:rPr>
          <w:rFonts w:cs="Arial"/>
          <w:color w:val="000000" w:themeColor="text1"/>
        </w:rPr>
        <w:t>demais</w:t>
      </w:r>
      <w:proofErr w:type="spellEnd"/>
      <w:r w:rsidRPr="008B335E">
        <w:rPr>
          <w:rFonts w:cs="Arial"/>
          <w:color w:val="000000" w:themeColor="text1"/>
        </w:rPr>
        <w:t>.</w:t>
      </w:r>
    </w:p>
    <w:p w14:paraId="73FF9EAD" w14:textId="77777777" w:rsidR="00025787" w:rsidRPr="008B335E" w:rsidRDefault="00025787">
      <w:pPr>
        <w:rPr>
          <w:rFonts w:cs="Arial"/>
          <w:color w:val="000000" w:themeColor="text1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7BB9D743" w14:textId="77777777">
        <w:trPr>
          <w:jc w:val="center"/>
        </w:trPr>
        <w:tc>
          <w:tcPr>
            <w:tcW w:w="10224" w:type="dxa"/>
            <w:tcBorders>
              <w:top w:val="single" w:sz="10" w:space="0" w:color="1769AA"/>
              <w:left w:val="single" w:sz="10" w:space="0" w:color="1769AA"/>
              <w:bottom w:val="single" w:sz="10" w:space="0" w:color="1769AA"/>
              <w:right w:val="single" w:sz="10" w:space="0" w:color="1769AA"/>
            </w:tcBorders>
            <w:shd w:val="clear" w:color="auto" w:fill="EEF5FA"/>
            <w:vAlign w:val="center"/>
          </w:tcPr>
          <w:p w14:paraId="200E37F3" w14:textId="77777777" w:rsidR="00CD07E0" w:rsidRPr="008B335E" w:rsidRDefault="00000000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</w:rPr>
              <w:t>1 — USUÁRIO</w:t>
            </w:r>
          </w:p>
          <w:p w14:paraId="5C852A6F" w14:textId="77777777" w:rsidR="00CD07E0" w:rsidRPr="008B335E" w:rsidRDefault="00000000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8"/>
              </w:rPr>
              <w:t>Acessa a IHMInvest pelo navegador e informa valor inicial, aporte mensal, taxa de juros anual, prazo em meses e inflação estimada.</w:t>
            </w:r>
          </w:p>
        </w:tc>
      </w:tr>
    </w:tbl>
    <w:p w14:paraId="2384179C" w14:textId="77777777" w:rsidR="00CD07E0" w:rsidRPr="008B335E" w:rsidRDefault="00000000">
      <w:pPr>
        <w:spacing w:after="0"/>
        <w:jc w:val="center"/>
        <w:rPr>
          <w:rFonts w:cs="Arial"/>
          <w:color w:val="000000" w:themeColor="text1"/>
        </w:rPr>
      </w:pPr>
      <w:r w:rsidRPr="008B335E">
        <w:rPr>
          <w:rFonts w:cs="Arial"/>
          <w:b/>
          <w:color w:val="000000" w:themeColor="text1"/>
          <w:sz w:val="22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437BB37E" w14:textId="77777777">
        <w:trPr>
          <w:jc w:val="center"/>
        </w:trPr>
        <w:tc>
          <w:tcPr>
            <w:tcW w:w="10224" w:type="dxa"/>
            <w:tcBorders>
              <w:top w:val="single" w:sz="10" w:space="0" w:color="1769AA"/>
              <w:left w:val="single" w:sz="10" w:space="0" w:color="1769AA"/>
              <w:bottom w:val="single" w:sz="10" w:space="0" w:color="1769AA"/>
              <w:right w:val="single" w:sz="10" w:space="0" w:color="1769AA"/>
            </w:tcBorders>
            <w:shd w:val="clear" w:color="auto" w:fill="EEF5FA"/>
            <w:vAlign w:val="center"/>
          </w:tcPr>
          <w:p w14:paraId="1D8A6F4D" w14:textId="77777777" w:rsidR="00CD07E0" w:rsidRPr="008B335E" w:rsidRDefault="00000000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</w:rPr>
              <w:t>2 — FRONTEND SPA / IHMInvest</w:t>
            </w:r>
          </w:p>
          <w:p w14:paraId="62DC9637" w14:textId="77777777" w:rsidR="00CD07E0" w:rsidRPr="008B335E" w:rsidRDefault="00000000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8"/>
              </w:rPr>
              <w:t>Valida os dados e envia requisições POST com JSON para as três funções. Exibe os estados, os resultados e a latência de cada provedor.</w:t>
            </w:r>
          </w:p>
        </w:tc>
      </w:tr>
    </w:tbl>
    <w:p w14:paraId="7BA1B7BF" w14:textId="77777777" w:rsidR="00CD07E0" w:rsidRPr="008B335E" w:rsidRDefault="00000000">
      <w:pPr>
        <w:spacing w:after="0"/>
        <w:jc w:val="center"/>
        <w:rPr>
          <w:rFonts w:cs="Arial"/>
          <w:color w:val="000000" w:themeColor="text1"/>
        </w:rPr>
      </w:pPr>
      <w:r w:rsidRPr="008B335E">
        <w:rPr>
          <w:rFonts w:cs="Arial"/>
          <w:b/>
          <w:color w:val="000000" w:themeColor="text1"/>
          <w:sz w:val="22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CD07E0" w:rsidRPr="008B335E" w14:paraId="4A36A023" w14:textId="77777777">
        <w:trPr>
          <w:jc w:val="center"/>
        </w:trPr>
        <w:tc>
          <w:tcPr>
            <w:tcW w:w="3408" w:type="dxa"/>
            <w:tcBorders>
              <w:top w:val="single" w:sz="8" w:space="0" w:color="1769AA"/>
              <w:left w:val="single" w:sz="8" w:space="0" w:color="1769AA"/>
              <w:bottom w:val="single" w:sz="8" w:space="0" w:color="1769AA"/>
              <w:right w:val="single" w:sz="8" w:space="0" w:color="1769AA"/>
            </w:tcBorders>
            <w:shd w:val="clear" w:color="auto" w:fill="EEF5FA"/>
          </w:tcPr>
          <w:p w14:paraId="06130577" w14:textId="77777777" w:rsidR="00CD07E0" w:rsidRPr="008B335E" w:rsidRDefault="00000000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8"/>
              </w:rPr>
              <w:t>3A — AWS LAMBDA</w:t>
            </w:r>
          </w:p>
          <w:p w14:paraId="22C54913" w14:textId="77777777" w:rsidR="00CD07E0" w:rsidRPr="008B335E" w:rsidRDefault="00000000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7"/>
              </w:rPr>
              <w:t>Cálculo do investimento</w:t>
            </w:r>
          </w:p>
          <w:p w14:paraId="05912324" w14:textId="77777777" w:rsidR="00CD07E0" w:rsidRPr="008B335E" w:rsidRDefault="00000000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 montante projetado, total investido e rendimento.</w:t>
            </w:r>
          </w:p>
        </w:tc>
        <w:tc>
          <w:tcPr>
            <w:tcW w:w="3408" w:type="dxa"/>
            <w:tcBorders>
              <w:top w:val="single" w:sz="8" w:space="0" w:color="1769AA"/>
              <w:left w:val="single" w:sz="8" w:space="0" w:color="1769AA"/>
              <w:bottom w:val="single" w:sz="8" w:space="0" w:color="1769AA"/>
              <w:right w:val="single" w:sz="8" w:space="0" w:color="1769AA"/>
            </w:tcBorders>
            <w:shd w:val="clear" w:color="auto" w:fill="EEF5FA"/>
          </w:tcPr>
          <w:p w14:paraId="2BFDC943" w14:textId="77777777" w:rsidR="00CD07E0" w:rsidRPr="008B335E" w:rsidRDefault="00000000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8"/>
              </w:rPr>
              <w:t>3B — AZURE FUNCTIONS</w:t>
            </w:r>
          </w:p>
          <w:p w14:paraId="421ED71F" w14:textId="77777777" w:rsidR="00CD07E0" w:rsidRPr="008B335E" w:rsidRDefault="00000000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7"/>
              </w:rPr>
              <w:t>Conversão cambial</w:t>
            </w:r>
          </w:p>
          <w:p w14:paraId="342F9A8D" w14:textId="77777777" w:rsidR="00CD07E0" w:rsidRPr="008B335E" w:rsidRDefault="00000000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Converte o montante em reais para USD e EUR.</w:t>
            </w:r>
          </w:p>
        </w:tc>
        <w:tc>
          <w:tcPr>
            <w:tcW w:w="3408" w:type="dxa"/>
            <w:tcBorders>
              <w:top w:val="single" w:sz="8" w:space="0" w:color="1769AA"/>
              <w:left w:val="single" w:sz="8" w:space="0" w:color="1769AA"/>
              <w:bottom w:val="single" w:sz="8" w:space="0" w:color="1769AA"/>
              <w:right w:val="single" w:sz="8" w:space="0" w:color="1769AA"/>
            </w:tcBorders>
            <w:shd w:val="clear" w:color="auto" w:fill="EEF5FA"/>
          </w:tcPr>
          <w:p w14:paraId="2148E858" w14:textId="77777777" w:rsidR="00CD07E0" w:rsidRPr="008B335E" w:rsidRDefault="00000000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8"/>
              </w:rPr>
              <w:t>3C — GOOGLE CLOUD</w:t>
            </w:r>
          </w:p>
          <w:p w14:paraId="050638A3" w14:textId="77777777" w:rsidR="00CD07E0" w:rsidRPr="008B335E" w:rsidRDefault="00000000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  <w:sz w:val="17"/>
              </w:rPr>
              <w:t>Poder de compra</w:t>
            </w:r>
          </w:p>
          <w:p w14:paraId="5AB76F53" w14:textId="77777777" w:rsidR="00CD07E0" w:rsidRPr="008B335E" w:rsidRDefault="00000000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Calcula o valor real estimado após o efeito da inflação.</w:t>
            </w:r>
          </w:p>
        </w:tc>
      </w:tr>
    </w:tbl>
    <w:p w14:paraId="2CAA4884" w14:textId="77777777" w:rsidR="00CD07E0" w:rsidRPr="008B335E" w:rsidRDefault="00000000">
      <w:pPr>
        <w:spacing w:after="0"/>
        <w:jc w:val="center"/>
        <w:rPr>
          <w:rFonts w:cs="Arial"/>
          <w:color w:val="000000" w:themeColor="text1"/>
        </w:rPr>
      </w:pPr>
      <w:r w:rsidRPr="008B335E">
        <w:rPr>
          <w:rFonts w:cs="Arial"/>
          <w:b/>
          <w:color w:val="000000" w:themeColor="text1"/>
          <w:sz w:val="22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35380190" w14:textId="77777777">
        <w:trPr>
          <w:jc w:val="center"/>
        </w:trPr>
        <w:tc>
          <w:tcPr>
            <w:tcW w:w="10224" w:type="dxa"/>
            <w:tcBorders>
              <w:top w:val="single" w:sz="10" w:space="0" w:color="1769AA"/>
              <w:left w:val="single" w:sz="10" w:space="0" w:color="1769AA"/>
              <w:bottom w:val="single" w:sz="10" w:space="0" w:color="1769AA"/>
              <w:right w:val="single" w:sz="10" w:space="0" w:color="1769AA"/>
            </w:tcBorders>
            <w:shd w:val="clear" w:color="auto" w:fill="EAF6F1"/>
            <w:vAlign w:val="center"/>
          </w:tcPr>
          <w:p w14:paraId="1BACB5B7" w14:textId="77777777" w:rsidR="00CD07E0" w:rsidRPr="008B335E" w:rsidRDefault="00000000">
            <w:pPr>
              <w:spacing w:after="6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b/>
                <w:color w:val="000000" w:themeColor="text1"/>
              </w:rPr>
              <w:t>4 — DASHBOARD CONSOLIDADO</w:t>
            </w:r>
          </w:p>
          <w:p w14:paraId="4BC3E514" w14:textId="77777777" w:rsidR="00CD07E0" w:rsidRPr="008B335E" w:rsidRDefault="00000000">
            <w:pPr>
              <w:spacing w:after="0"/>
              <w:jc w:val="center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8"/>
              </w:rPr>
              <w:t>Apresenta os resultados financeiros, identifica o provedor de cada módulo e informa o estado e a latência da requisição. Quando um endpoint falha ou excede o tempo limite, o módulo apresenta fallback sem bloquear os demais.</w:t>
            </w:r>
          </w:p>
        </w:tc>
      </w:tr>
    </w:tbl>
    <w:p w14:paraId="40A0CE39" w14:textId="1E99D566" w:rsidR="00CD07E0" w:rsidRDefault="00CD07E0">
      <w:pPr>
        <w:spacing w:after="0"/>
        <w:jc w:val="center"/>
        <w:rPr>
          <w:rFonts w:cs="Arial"/>
          <w:b/>
          <w:color w:val="000000" w:themeColor="text1"/>
          <w:sz w:val="22"/>
        </w:rPr>
      </w:pPr>
    </w:p>
    <w:p w14:paraId="22383F80" w14:textId="77777777" w:rsidR="008B335E" w:rsidRPr="008B335E" w:rsidRDefault="008B335E">
      <w:pPr>
        <w:spacing w:after="0"/>
        <w:jc w:val="center"/>
        <w:rPr>
          <w:rFonts w:cs="Arial"/>
          <w:color w:val="000000" w:themeColor="text1"/>
        </w:rPr>
      </w:pPr>
    </w:p>
    <w:p w14:paraId="1A91DF86" w14:textId="6B22F5DC" w:rsidR="00CD07E0" w:rsidRPr="008B335E" w:rsidRDefault="00025787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2</w:t>
      </w:r>
      <w:r w:rsidR="00000000" w:rsidRPr="008B335E">
        <w:rPr>
          <w:rFonts w:cs="Arial"/>
          <w:b/>
          <w:color w:val="000000" w:themeColor="text1"/>
          <w:sz w:val="28"/>
        </w:rPr>
        <w:t>. Especificação dos endpoints</w:t>
      </w:r>
    </w:p>
    <w:p w14:paraId="6938CB61" w14:textId="77777777" w:rsidR="00CD07E0" w:rsidRDefault="00000000" w:rsidP="00025787">
      <w:pPr>
        <w:jc w:val="both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 xml:space="preserve">As três funções expõem endpoints HTTP do método POST e recebem dados JSON. As respostas de sucesso usam HTTP 200; entradas inválidas devem retornar HTTP 400 e falhas internas, HTTP 500. Os exemplos abaixo definem os </w:t>
      </w:r>
      <w:proofErr w:type="spellStart"/>
      <w:r w:rsidRPr="008B335E">
        <w:rPr>
          <w:rFonts w:cs="Arial"/>
          <w:color w:val="000000" w:themeColor="text1"/>
        </w:rPr>
        <w:t>contratos</w:t>
      </w:r>
      <w:proofErr w:type="spellEnd"/>
      <w:r w:rsidRPr="008B335E">
        <w:rPr>
          <w:rFonts w:cs="Arial"/>
          <w:color w:val="000000" w:themeColor="text1"/>
        </w:rPr>
        <w:t xml:space="preserve"> </w:t>
      </w:r>
      <w:proofErr w:type="spellStart"/>
      <w:r w:rsidRPr="008B335E">
        <w:rPr>
          <w:rFonts w:cs="Arial"/>
          <w:color w:val="000000" w:themeColor="text1"/>
        </w:rPr>
        <w:t>utilizados</w:t>
      </w:r>
      <w:proofErr w:type="spellEnd"/>
      <w:r w:rsidRPr="008B335E">
        <w:rPr>
          <w:rFonts w:cs="Arial"/>
          <w:color w:val="000000" w:themeColor="text1"/>
        </w:rPr>
        <w:t xml:space="preserve"> pela </w:t>
      </w:r>
      <w:proofErr w:type="spellStart"/>
      <w:r w:rsidRPr="008B335E">
        <w:rPr>
          <w:rFonts w:cs="Arial"/>
          <w:color w:val="000000" w:themeColor="text1"/>
        </w:rPr>
        <w:t>aplicação</w:t>
      </w:r>
      <w:proofErr w:type="spellEnd"/>
      <w:r w:rsidRPr="008B335E">
        <w:rPr>
          <w:rFonts w:cs="Arial"/>
          <w:color w:val="000000" w:themeColor="text1"/>
        </w:rPr>
        <w:t>.</w:t>
      </w:r>
    </w:p>
    <w:p w14:paraId="42DF2ED1" w14:textId="193BAB21" w:rsidR="00CD07E0" w:rsidRPr="008B335E" w:rsidRDefault="00025787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="00000000" w:rsidRPr="008B335E">
        <w:rPr>
          <w:rFonts w:cs="Arial"/>
          <w:b/>
          <w:color w:val="000000" w:themeColor="text1"/>
          <w:sz w:val="22"/>
        </w:rPr>
        <w:t>.1 AWS Lambda — cálculo de investimento</w:t>
      </w:r>
    </w:p>
    <w:p w14:paraId="0713D4F5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Método: POST. Rota lógica: /calculate-investment. O endpoint público é definido na publicação da função e configurado no frontend.</w:t>
      </w:r>
    </w:p>
    <w:p w14:paraId="1EDD63FE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Request — exemplo de entrada: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128431C2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2E51C876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"initial": 10000,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"monthly": 500,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"annualRate": 0.10,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"months": 60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74759F9D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Response — exemplo de saída: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482AFA0C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5F793674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"balance": 50000.00,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"invested": 40000.00,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"profit": 10000.00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0308337C" w14:textId="77777777" w:rsidR="00025787" w:rsidRDefault="00025787">
      <w:pPr>
        <w:spacing w:before="120" w:after="60"/>
        <w:rPr>
          <w:rFonts w:cs="Arial"/>
          <w:color w:val="000000" w:themeColor="text1"/>
        </w:rPr>
      </w:pPr>
    </w:p>
    <w:p w14:paraId="09660B28" w14:textId="01C77347" w:rsidR="00CD07E0" w:rsidRPr="008B335E" w:rsidRDefault="00025787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="00000000" w:rsidRPr="008B335E">
        <w:rPr>
          <w:rFonts w:cs="Arial"/>
          <w:b/>
          <w:color w:val="000000" w:themeColor="text1"/>
          <w:sz w:val="22"/>
        </w:rPr>
        <w:t>.2 Microsoft Azure Functions — conversão cambial</w:t>
      </w:r>
    </w:p>
    <w:p w14:paraId="2AC6AC4A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Método: POST. Rota lógica: /api/conversorInternacional. O frontend do repositório contém o seguinte endereço configurado: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13ADF256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22CC538C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https://conversorinternacional-ckfhcba3axdjc0cw.northcentralus-01.azurewebsites.net/api/conversorInternacional</w:t>
            </w:r>
          </w:p>
        </w:tc>
      </w:tr>
    </w:tbl>
    <w:p w14:paraId="133683DE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lastRenderedPageBreak/>
        <w:t>Request — exemplo de entrada: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617CD4C0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2D6D9F16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"valorReais": 50000.00,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"cotacaoDolar": 5.50,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"cotacaoEuro": 6.00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0CFAA7B7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Response — contrato esperado pelo frontend: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432F396B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0700C26B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"valorDolar": 9090.91,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"valorEuro": 8333.33,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"cotacaoDolar": 5.50,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"cotacaoEuro": 6.00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145F4F37" w14:textId="77777777" w:rsidR="00025787" w:rsidRDefault="00025787">
      <w:pPr>
        <w:spacing w:before="120" w:after="60"/>
        <w:rPr>
          <w:rFonts w:cs="Arial"/>
          <w:color w:val="000000" w:themeColor="text1"/>
        </w:rPr>
      </w:pPr>
    </w:p>
    <w:p w14:paraId="63B3E345" w14:textId="59F985E3" w:rsidR="00CD07E0" w:rsidRPr="008B335E" w:rsidRDefault="00025787">
      <w:pPr>
        <w:spacing w:before="120" w:after="6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="00000000" w:rsidRPr="008B335E">
        <w:rPr>
          <w:rFonts w:cs="Arial"/>
          <w:b/>
          <w:color w:val="000000" w:themeColor="text1"/>
          <w:sz w:val="22"/>
        </w:rPr>
        <w:t>.3 Google Cloud Functions — projeção após inflação</w:t>
      </w:r>
    </w:p>
    <w:p w14:paraId="0722ABA8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Método: POST. Rota lógica: /project-inflation. A URL pública é obtida após a publicação da função.</w:t>
      </w:r>
    </w:p>
    <w:p w14:paraId="581FFA7C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Request — exemplo de entrada: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76276D44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5DD95890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"balance": 50000.00,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"inflation": 0.045,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"months": 60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6197CB8D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Response — exemplo de saída: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D07E0" w:rsidRPr="008B335E" w14:paraId="2C3A557F" w14:textId="77777777">
        <w:trPr>
          <w:jc w:val="center"/>
        </w:trPr>
        <w:tc>
          <w:tcPr>
            <w:tcW w:w="10224" w:type="dxa"/>
            <w:tcBorders>
              <w:top w:val="single" w:sz="5" w:space="0" w:color="CBD8E3"/>
              <w:left w:val="single" w:sz="5" w:space="0" w:color="CBD8E3"/>
              <w:bottom w:val="single" w:sz="5" w:space="0" w:color="CBD8E3"/>
              <w:right w:val="single" w:sz="5" w:space="0" w:color="CBD8E3"/>
            </w:tcBorders>
            <w:shd w:val="clear" w:color="auto" w:fill="F6F9FC"/>
          </w:tcPr>
          <w:p w14:paraId="1768D830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7"/>
              </w:rPr>
              <w:t>{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 xml:space="preserve">  "real": 40000.00</w:t>
            </w:r>
            <w:r w:rsidRPr="008B335E">
              <w:rPr>
                <w:rFonts w:cs="Arial"/>
                <w:color w:val="000000" w:themeColor="text1"/>
                <w:sz w:val="17"/>
              </w:rPr>
              <w:br/>
              <w:t>}</w:t>
            </w:r>
          </w:p>
        </w:tc>
      </w:tr>
    </w:tbl>
    <w:p w14:paraId="60E77F1E" w14:textId="77777777" w:rsidR="00025787" w:rsidRDefault="00025787" w:rsidP="00025787">
      <w:pPr>
        <w:rPr>
          <w:rFonts w:cs="Arial"/>
          <w:color w:val="000000" w:themeColor="text1"/>
        </w:rPr>
      </w:pPr>
    </w:p>
    <w:p w14:paraId="1242D81A" w14:textId="0BDF1EF4" w:rsidR="00CD07E0" w:rsidRPr="008B335E" w:rsidRDefault="00025787" w:rsidP="00025787">
      <w:p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2"/>
        </w:rPr>
        <w:t>2</w:t>
      </w:r>
      <w:r w:rsidR="00000000" w:rsidRPr="008B335E">
        <w:rPr>
          <w:rFonts w:cs="Arial"/>
          <w:b/>
          <w:color w:val="000000" w:themeColor="text1"/>
          <w:sz w:val="22"/>
        </w:rPr>
        <w:t xml:space="preserve">.4 </w:t>
      </w:r>
      <w:proofErr w:type="spellStart"/>
      <w:r w:rsidR="00000000" w:rsidRPr="008B335E">
        <w:rPr>
          <w:rFonts w:cs="Arial"/>
          <w:b/>
          <w:color w:val="000000" w:themeColor="text1"/>
          <w:sz w:val="22"/>
        </w:rPr>
        <w:t>Tratamento</w:t>
      </w:r>
      <w:proofErr w:type="spellEnd"/>
      <w:r w:rsidR="00000000" w:rsidRPr="008B335E">
        <w:rPr>
          <w:rFonts w:cs="Arial"/>
          <w:b/>
          <w:color w:val="000000" w:themeColor="text1"/>
          <w:sz w:val="22"/>
        </w:rPr>
        <w:t xml:space="preserve"> </w:t>
      </w:r>
      <w:proofErr w:type="spellStart"/>
      <w:r w:rsidR="00000000" w:rsidRPr="008B335E">
        <w:rPr>
          <w:rFonts w:cs="Arial"/>
          <w:b/>
          <w:color w:val="000000" w:themeColor="text1"/>
          <w:sz w:val="22"/>
        </w:rPr>
        <w:t>comum</w:t>
      </w:r>
      <w:proofErr w:type="spellEnd"/>
      <w:r w:rsidR="00000000" w:rsidRPr="008B335E">
        <w:rPr>
          <w:rFonts w:cs="Arial"/>
          <w:b/>
          <w:color w:val="000000" w:themeColor="text1"/>
          <w:sz w:val="22"/>
        </w:rPr>
        <w:t xml:space="preserve"> das APIs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304"/>
        <w:gridCol w:w="5040"/>
      </w:tblGrid>
      <w:tr w:rsidR="00CD07E0" w:rsidRPr="008B335E" w14:paraId="65562336" w14:textId="77777777">
        <w:trPr>
          <w:jc w:val="center"/>
        </w:trPr>
        <w:tc>
          <w:tcPr>
            <w:tcW w:w="2592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29690635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Situação</w:t>
            </w:r>
          </w:p>
        </w:tc>
        <w:tc>
          <w:tcPr>
            <w:tcW w:w="230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3D1FF1E6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Código HTTP</w:t>
            </w:r>
          </w:p>
        </w:tc>
        <w:tc>
          <w:tcPr>
            <w:tcW w:w="50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0D8FEBCF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Formato/conduta</w:t>
            </w:r>
          </w:p>
        </w:tc>
      </w:tr>
      <w:tr w:rsidR="00CD07E0" w:rsidRPr="008B335E" w14:paraId="0005CCC4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491C59B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Requisição válida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7568FDE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200 OK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2EDA1935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Retornar JSON com os campos numéricos documentados.</w:t>
            </w:r>
          </w:p>
        </w:tc>
      </w:tr>
      <w:tr w:rsidR="00CD07E0" w:rsidRPr="008B335E" w14:paraId="2544A52B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98D2BC1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Parâmetros ausentes ou inválidos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7D47FEE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400 Bad Request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E3C959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Retornar JSON com mensagem clara de validação.</w:t>
            </w:r>
          </w:p>
        </w:tc>
      </w:tr>
      <w:tr w:rsidR="00CD07E0" w:rsidRPr="008B335E" w14:paraId="020855C8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5812349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Erro inesperado no serviço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63377FE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500 Internal Server Error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F8F2843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Retornar mensagem genérica, sem expor stack trace, tokens ou dados sensíveis.</w:t>
            </w:r>
          </w:p>
        </w:tc>
      </w:tr>
      <w:tr w:rsidR="00CD07E0" w:rsidRPr="008B335E" w14:paraId="5F120F38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14CF790E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Requisição de navegador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663C5AF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CORS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CA3B2DF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Permitir a origem da hospedagem, método POST e headers necessários; tratar OPTIONS quando aplicável.</w:t>
            </w:r>
          </w:p>
        </w:tc>
      </w:tr>
      <w:tr w:rsidR="00CD07E0" w:rsidRPr="008B335E" w14:paraId="6009C448" w14:textId="77777777">
        <w:trPr>
          <w:jc w:val="center"/>
        </w:trPr>
        <w:tc>
          <w:tcPr>
            <w:tcW w:w="2592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2DEBB13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Tempo limite</w:t>
            </w:r>
          </w:p>
        </w:tc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45BB98A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Timeout do frontend</w:t>
            </w:r>
          </w:p>
        </w:tc>
        <w:tc>
          <w:tcPr>
            <w:tcW w:w="504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48DCF758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Interromper a espera do módulo e mostrar erro/fallback, mantendo os demais resultados.</w:t>
            </w:r>
          </w:p>
        </w:tc>
      </w:tr>
    </w:tbl>
    <w:p w14:paraId="71BBEBC6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O frontend utiliza a API de temporização do navegador para medir a latência total observada. Essa medida inclui rede, processamento no provedor e transferência da resposta, portanto não equivale somente ao tempo de execução interno da função.</w:t>
      </w:r>
    </w:p>
    <w:p w14:paraId="475BA1AC" w14:textId="77777777" w:rsidR="00025787" w:rsidRDefault="00025787">
      <w:pPr>
        <w:spacing w:before="200"/>
        <w:rPr>
          <w:rFonts w:cs="Arial"/>
          <w:b/>
          <w:color w:val="000000" w:themeColor="text1"/>
          <w:sz w:val="28"/>
        </w:rPr>
      </w:pPr>
    </w:p>
    <w:p w14:paraId="5151012A" w14:textId="39E20CE1" w:rsidR="00CD07E0" w:rsidRPr="008B335E" w:rsidRDefault="00025787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3</w:t>
      </w:r>
      <w:r w:rsidR="00000000" w:rsidRPr="008B335E">
        <w:rPr>
          <w:rFonts w:cs="Arial"/>
          <w:b/>
          <w:color w:val="000000" w:themeColor="text1"/>
          <w:sz w:val="28"/>
        </w:rPr>
        <w:t>. Análise de métricas e desempenho</w:t>
      </w:r>
    </w:p>
    <w:p w14:paraId="2BA69A60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latência é avaliada em dois cenários. Cold Start corresponde à primeira chamada após um período de inatividade, quando o provedor pode precisar inicializar o ambiente de execução. Warm Start corresponde às chamadas subsequentes quando o ambiente já está disponível. O comportamento real varia conforme região, runtime, configuração, carga e políticas de reutilização do provedor.</w:t>
      </w:r>
    </w:p>
    <w:p w14:paraId="317D20DA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interface registra a latência observada pelo navegador em milissegundos. A tabela abaixo apresenta o formato de comparação e deve ser preenchida com os resultados obtidos durante os testes de integração.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376"/>
        <w:gridCol w:w="2448"/>
        <w:gridCol w:w="2808"/>
      </w:tblGrid>
      <w:tr w:rsidR="00CD07E0" w:rsidRPr="008B335E" w14:paraId="020A3EBC" w14:textId="77777777">
        <w:trPr>
          <w:jc w:val="center"/>
        </w:trPr>
        <w:tc>
          <w:tcPr>
            <w:tcW w:w="230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28622C14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Provedor</w:t>
            </w:r>
          </w:p>
        </w:tc>
        <w:tc>
          <w:tcPr>
            <w:tcW w:w="2376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5941CFC9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Cold Start (ms)</w:t>
            </w:r>
          </w:p>
        </w:tc>
        <w:tc>
          <w:tcPr>
            <w:tcW w:w="244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4CCD27AA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Warm Start (ms)</w:t>
            </w:r>
          </w:p>
        </w:tc>
        <w:tc>
          <w:tcPr>
            <w:tcW w:w="280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75776FD5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Critério de análise</w:t>
            </w:r>
          </w:p>
        </w:tc>
      </w:tr>
      <w:tr w:rsidR="00CD07E0" w:rsidRPr="008B335E" w14:paraId="7AF76A4D" w14:textId="77777777">
        <w:trPr>
          <w:jc w:val="center"/>
        </w:trPr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E156B9E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AWS Lambda</w:t>
            </w:r>
          </w:p>
        </w:tc>
        <w:tc>
          <w:tcPr>
            <w:tcW w:w="237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6CE6483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Registrar a medição real</w:t>
            </w:r>
          </w:p>
        </w:tc>
        <w:tc>
          <w:tcPr>
            <w:tcW w:w="244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6F2FDCF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Registrar a medição real</w:t>
            </w:r>
          </w:p>
        </w:tc>
        <w:tc>
          <w:tcPr>
            <w:tcW w:w="280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12FFD0BC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Comparar primeira chamada e chamadas subsequentes.</w:t>
            </w:r>
          </w:p>
        </w:tc>
      </w:tr>
      <w:tr w:rsidR="00CD07E0" w:rsidRPr="008B335E" w14:paraId="08F2DF8F" w14:textId="77777777">
        <w:trPr>
          <w:jc w:val="center"/>
        </w:trPr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00B5FA0C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lastRenderedPageBreak/>
              <w:t>Azure Functions</w:t>
            </w:r>
          </w:p>
        </w:tc>
        <w:tc>
          <w:tcPr>
            <w:tcW w:w="237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0464B64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Registrar a medição real</w:t>
            </w:r>
          </w:p>
        </w:tc>
        <w:tc>
          <w:tcPr>
            <w:tcW w:w="244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03C71B8B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Registrar a medição real</w:t>
            </w:r>
          </w:p>
        </w:tc>
        <w:tc>
          <w:tcPr>
            <w:tcW w:w="280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087844C5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Verificar o comportamento após inatividade e em sequência.</w:t>
            </w:r>
          </w:p>
        </w:tc>
      </w:tr>
      <w:tr w:rsidR="00CD07E0" w:rsidRPr="008B335E" w14:paraId="0CE87108" w14:textId="77777777">
        <w:trPr>
          <w:jc w:val="center"/>
        </w:trPr>
        <w:tc>
          <w:tcPr>
            <w:tcW w:w="230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87727F2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Google Cloud Functions</w:t>
            </w:r>
          </w:p>
        </w:tc>
        <w:tc>
          <w:tcPr>
            <w:tcW w:w="237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E445531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Registrar a medição real</w:t>
            </w:r>
          </w:p>
        </w:tc>
        <w:tc>
          <w:tcPr>
            <w:tcW w:w="244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E851051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Registrar a medição real</w:t>
            </w:r>
          </w:p>
        </w:tc>
        <w:tc>
          <w:tcPr>
            <w:tcW w:w="280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1CFD343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Comparar primeira chamada e chamadas subsequentes.</w:t>
            </w:r>
          </w:p>
        </w:tc>
      </w:tr>
    </w:tbl>
    <w:p w14:paraId="24D79D03" w14:textId="77777777" w:rsidR="00025787" w:rsidRDefault="00025787">
      <w:pPr>
        <w:spacing w:before="200"/>
        <w:rPr>
          <w:rFonts w:cs="Arial"/>
          <w:b/>
          <w:color w:val="000000" w:themeColor="text1"/>
          <w:sz w:val="28"/>
        </w:rPr>
      </w:pPr>
    </w:p>
    <w:p w14:paraId="50ABCCC0" w14:textId="2F13C775" w:rsidR="00CD07E0" w:rsidRPr="008B335E" w:rsidRDefault="00025787">
      <w:pPr>
        <w:spacing w:before="200"/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  <w:sz w:val="28"/>
        </w:rPr>
        <w:t>4</w:t>
      </w:r>
      <w:r w:rsidR="00000000" w:rsidRPr="008B335E">
        <w:rPr>
          <w:rFonts w:cs="Arial"/>
          <w:b/>
          <w:color w:val="000000" w:themeColor="text1"/>
          <w:sz w:val="28"/>
        </w:rPr>
        <w:t>. Relato técnico comparativo dos provedores</w:t>
      </w:r>
    </w:p>
    <w:p w14:paraId="69DACB2C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implementação multicloud exige configurar permissões, publicação HTTP, CORS, logs e monitoramento em cada provedor. Embora os conceitos sejam semelhantes, cada console organiza essas opções de maneira diferente. A tabela resume os pontos técnicos a validar em cada ambiente.</w:t>
      </w:r>
    </w:p>
    <w:tbl>
      <w:tblPr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3024"/>
        <w:gridCol w:w="3024"/>
        <w:gridCol w:w="2358"/>
      </w:tblGrid>
      <w:tr w:rsidR="00CD07E0" w:rsidRPr="00025787" w14:paraId="2956E057" w14:textId="77777777" w:rsidTr="00025787">
        <w:trPr>
          <w:jc w:val="center"/>
        </w:trPr>
        <w:tc>
          <w:tcPr>
            <w:tcW w:w="180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09B146A2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proofErr w:type="spellStart"/>
            <w:r w:rsidRPr="00025787">
              <w:rPr>
                <w:rFonts w:cs="Arial"/>
                <w:b/>
                <w:color w:val="FFFFFF" w:themeColor="background1"/>
                <w:sz w:val="16"/>
              </w:rPr>
              <w:t>Aspecto</w:t>
            </w:r>
            <w:proofErr w:type="spellEnd"/>
          </w:p>
        </w:tc>
        <w:tc>
          <w:tcPr>
            <w:tcW w:w="302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70EF5AB0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AWS Lambda</w:t>
            </w:r>
          </w:p>
        </w:tc>
        <w:tc>
          <w:tcPr>
            <w:tcW w:w="302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297707BA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Microsoft Azure Functions</w:t>
            </w:r>
          </w:p>
        </w:tc>
        <w:tc>
          <w:tcPr>
            <w:tcW w:w="2358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567032BA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Google Cloud Functions</w:t>
            </w:r>
          </w:p>
        </w:tc>
      </w:tr>
      <w:tr w:rsidR="00CD07E0" w:rsidRPr="008B335E" w14:paraId="13CAEFEA" w14:textId="77777777" w:rsidTr="00025787">
        <w:trPr>
          <w:jc w:val="center"/>
        </w:trPr>
        <w:tc>
          <w:tcPr>
            <w:tcW w:w="180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4E92A1F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IAM / permissões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001A9C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Definir papel de execução e permissões mínimas; configurar acesso HTTP por Function URL ou API Gateway.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ADBDC56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Definir identidade e autenticação da Function App; configurar acesso HTTP conforme a necessidade da aplicação.</w:t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FA0B84B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Definir identidade de execução e permissão de invocação HTTP; avaliar explicitamente a exposição pública.</w:t>
            </w:r>
          </w:p>
        </w:tc>
      </w:tr>
      <w:tr w:rsidR="00CD07E0" w:rsidRPr="008B335E" w14:paraId="6B28547D" w14:textId="77777777" w:rsidTr="00025787">
        <w:trPr>
          <w:jc w:val="center"/>
        </w:trPr>
        <w:tc>
          <w:tcPr>
            <w:tcW w:w="180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B628F3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CORS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F1E0FF2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Configurar no recurso HTTP de entrada; permitir origem do frontend, POST e headers necessários.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7F568942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Configurar CORS na Function App e validar preflight do navegador.</w:t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5DC9AB8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Configurar headers CORS na função HTTP e validar requisições OPTIONS.</w:t>
            </w:r>
          </w:p>
        </w:tc>
      </w:tr>
      <w:tr w:rsidR="00CD07E0" w:rsidRPr="008B335E" w14:paraId="117B3639" w14:textId="77777777" w:rsidTr="00025787">
        <w:trPr>
          <w:jc w:val="center"/>
        </w:trPr>
        <w:tc>
          <w:tcPr>
            <w:tcW w:w="180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53E42D7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Logs / monitoramento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4096D64C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CloudWatch Logs e métricas de duração, invocações e erros.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5A7F12E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Application Insights e monitoramento da Function App para duração e exceções.</w:t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46DC6E2B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Cloud Logging e métricas de execução, duração e erros.</w:t>
            </w:r>
          </w:p>
        </w:tc>
      </w:tr>
      <w:tr w:rsidR="00CD07E0" w:rsidRPr="008B335E" w14:paraId="18D30349" w14:textId="77777777" w:rsidTr="00025787">
        <w:trPr>
          <w:jc w:val="center"/>
        </w:trPr>
        <w:tc>
          <w:tcPr>
            <w:tcW w:w="180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EDBF0F0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Deploy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16B704E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Selecionar runtime e handler, configurar variáveis e publicar a função; depois validar o endpoint.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0644B47E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Publicar a Function App, validar runtime e rota HTTP e confirmar as configurações de CORS.</w:t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14CD08B0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Publicar função HTTP, selecionar runtime/região e definir política de invocação.</w:t>
            </w:r>
          </w:p>
        </w:tc>
      </w:tr>
      <w:tr w:rsidR="00CD07E0" w:rsidRPr="008B335E" w14:paraId="23DDB2F8" w14:textId="77777777" w:rsidTr="00025787">
        <w:trPr>
          <w:jc w:val="center"/>
        </w:trPr>
        <w:tc>
          <w:tcPr>
            <w:tcW w:w="1800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231B599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Validação funcional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810A39E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Testar payload, resposta JSON, códigos HTTP e acesso do frontend.</w:t>
            </w:r>
          </w:p>
        </w:tc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161DA1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Confirmar que a resposta usa os campos esperados pela interface e testar a URL publicada.</w:t>
            </w:r>
          </w:p>
        </w:tc>
        <w:tc>
          <w:tcPr>
            <w:tcW w:w="2358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11F94BC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5"/>
              </w:rPr>
              <w:t>Testar endpoint, JSON, CORS, permissões e comportamento em caso de falha.</w:t>
            </w:r>
          </w:p>
        </w:tc>
      </w:tr>
    </w:tbl>
    <w:p w14:paraId="30967C6A" w14:textId="77777777" w:rsidR="00025787" w:rsidRDefault="00025787">
      <w:pPr>
        <w:spacing w:before="120" w:after="60"/>
        <w:rPr>
          <w:rFonts w:cs="Arial"/>
          <w:b/>
          <w:color w:val="000000" w:themeColor="text1"/>
          <w:sz w:val="22"/>
        </w:rPr>
      </w:pPr>
    </w:p>
    <w:p w14:paraId="0B27901D" w14:textId="5151221C" w:rsidR="00CD07E0" w:rsidRPr="008B335E" w:rsidRDefault="00000000">
      <w:pPr>
        <w:spacing w:before="120" w:after="60"/>
        <w:rPr>
          <w:rFonts w:cs="Arial"/>
          <w:color w:val="000000" w:themeColor="text1"/>
        </w:rPr>
      </w:pPr>
      <w:r w:rsidRPr="008B335E">
        <w:rPr>
          <w:rFonts w:cs="Arial"/>
          <w:b/>
          <w:color w:val="000000" w:themeColor="text1"/>
          <w:sz w:val="22"/>
        </w:rPr>
        <w:t xml:space="preserve">5.1 </w:t>
      </w:r>
      <w:proofErr w:type="spellStart"/>
      <w:r w:rsidRPr="008B335E">
        <w:rPr>
          <w:rFonts w:cs="Arial"/>
          <w:b/>
          <w:color w:val="000000" w:themeColor="text1"/>
          <w:sz w:val="22"/>
        </w:rPr>
        <w:t>Análise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</w:t>
      </w:r>
      <w:proofErr w:type="spellStart"/>
      <w:r w:rsidRPr="008B335E">
        <w:rPr>
          <w:rFonts w:cs="Arial"/>
          <w:b/>
          <w:color w:val="000000" w:themeColor="text1"/>
          <w:sz w:val="22"/>
        </w:rPr>
        <w:t>crítica</w:t>
      </w:r>
      <w:proofErr w:type="spellEnd"/>
      <w:r w:rsidRPr="008B335E">
        <w:rPr>
          <w:rFonts w:cs="Arial"/>
          <w:b/>
          <w:color w:val="000000" w:themeColor="text1"/>
          <w:sz w:val="22"/>
        </w:rPr>
        <w:t xml:space="preserve"> de </w:t>
      </w:r>
      <w:proofErr w:type="spellStart"/>
      <w:r w:rsidRPr="008B335E">
        <w:rPr>
          <w:rFonts w:cs="Arial"/>
          <w:b/>
          <w:color w:val="000000" w:themeColor="text1"/>
          <w:sz w:val="22"/>
        </w:rPr>
        <w:t>integração</w:t>
      </w:r>
      <w:proofErr w:type="spellEnd"/>
    </w:p>
    <w:p w14:paraId="07D06EF9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consistência do contrato JSON é fundamental para a integração. Os nomes dos campos enviados pelo frontend devem coincidir com os aceitos pela função, e os nomes retornados precisam coincidir com os consumidos pelo dashboard. Divergências de nomenclatura podem fazer a interface interpretar uma resposta válida como erro.</w:t>
      </w:r>
    </w:p>
    <w:p w14:paraId="623DF00A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configuração de CORS é necessária porque o navegador restringe chamadas entre origens diferentes. O endpoint deve permitir a origem pública da SPA, além do método e dos headers utilizados. Durante o deploy, os logs devem ser consultados para diferenciar erros de código, permissões, rede e configuração.</w:t>
      </w:r>
    </w:p>
    <w:p w14:paraId="7D2EA890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As permissões devem seguir o princípio do menor privilégio. Quando o teste acadêmico exigir invocação pública, essa configuração deve ser intencional, limitada ao necessário e revista após a demonstração. Chaves privadas e tokens não devem ser incluídos no código do frontend ou em repositórios públicos.</w:t>
      </w:r>
    </w:p>
    <w:p w14:paraId="0205A2F6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br w:type="page"/>
      </w:r>
    </w:p>
    <w:p w14:paraId="2D497A94" w14:textId="77777777" w:rsidR="00CD07E0" w:rsidRPr="008B335E" w:rsidRDefault="00000000">
      <w:pPr>
        <w:spacing w:before="200"/>
        <w:rPr>
          <w:rFonts w:cs="Arial"/>
          <w:color w:val="000000" w:themeColor="text1"/>
        </w:rPr>
      </w:pPr>
      <w:r w:rsidRPr="008B335E">
        <w:rPr>
          <w:rFonts w:cs="Arial"/>
          <w:b/>
          <w:color w:val="000000" w:themeColor="text1"/>
          <w:sz w:val="28"/>
        </w:rPr>
        <w:lastRenderedPageBreak/>
        <w:t>6. Resiliência e tratamento de falhas</w:t>
      </w:r>
    </w:p>
    <w:p w14:paraId="76F056FB" w14:textId="77777777" w:rsidR="00CD07E0" w:rsidRPr="008B335E" w:rsidRDefault="00000000">
      <w:pPr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</w:rPr>
        <w:t>A interface realiza as chamadas dos provedores de forma independente. Caso uma chamada falhe, o frontend apresenta o estado correspondente e utiliza o fallback local previsto para aquele módulo. Os resultados dos outros serviços continuam disponíveis, evitando que uma falha isolada interrompa toda a experiência.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7056"/>
      </w:tblGrid>
      <w:tr w:rsidR="00CD07E0" w:rsidRPr="00025787" w14:paraId="58A8D8C8" w14:textId="77777777">
        <w:trPr>
          <w:jc w:val="center"/>
        </w:trPr>
        <w:tc>
          <w:tcPr>
            <w:tcW w:w="3024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7D45DC82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Cenário</w:t>
            </w:r>
          </w:p>
        </w:tc>
        <w:tc>
          <w:tcPr>
            <w:tcW w:w="7056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16324F"/>
          </w:tcPr>
          <w:p w14:paraId="7C2954D8" w14:textId="77777777" w:rsidR="00CD07E0" w:rsidRPr="00025787" w:rsidRDefault="00000000">
            <w:pPr>
              <w:spacing w:after="0"/>
              <w:rPr>
                <w:rFonts w:cs="Arial"/>
                <w:color w:val="FFFFFF" w:themeColor="background1"/>
              </w:rPr>
            </w:pPr>
            <w:r w:rsidRPr="00025787">
              <w:rPr>
                <w:rFonts w:cs="Arial"/>
                <w:b/>
                <w:color w:val="FFFFFF" w:themeColor="background1"/>
                <w:sz w:val="16"/>
              </w:rPr>
              <w:t>Comportamento esperado</w:t>
            </w:r>
          </w:p>
        </w:tc>
      </w:tr>
      <w:tr w:rsidR="00CD07E0" w:rsidRPr="008B335E" w14:paraId="21411816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091434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Todos os serviços respondem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3FCFC839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dashboard apresenta os três resultados, os estados de sucesso e as latências.</w:t>
            </w:r>
          </w:p>
        </w:tc>
      </w:tr>
      <w:tr w:rsidR="00CD07E0" w:rsidRPr="008B335E" w14:paraId="318C1990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5945D49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AWS indisponível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66FA75F5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card de projeção de investimento apresenta fallback/aviso; os módulos cambial e de inflação continuam operacionais.</w:t>
            </w:r>
          </w:p>
        </w:tc>
      </w:tr>
      <w:tr w:rsidR="00CD07E0" w:rsidRPr="008B335E" w14:paraId="649699B4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66BD6FD1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Azure indisponível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0C77A236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card de conversão cambial apresenta fallback/aviso; os outros módulos continuam operacionais.</w:t>
            </w:r>
          </w:p>
        </w:tc>
      </w:tr>
      <w:tr w:rsidR="00CD07E0" w:rsidRPr="008B335E" w14:paraId="3B919640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00936F0D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Google Cloud indisponível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6F9FC"/>
          </w:tcPr>
          <w:p w14:paraId="33180557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O card de poder de compra apresenta fallback/aviso; os outros módulos continuam operacionais.</w:t>
            </w:r>
          </w:p>
        </w:tc>
      </w:tr>
      <w:tr w:rsidR="00CD07E0" w:rsidRPr="008B335E" w14:paraId="550C7E43" w14:textId="77777777">
        <w:trPr>
          <w:jc w:val="center"/>
        </w:trPr>
        <w:tc>
          <w:tcPr>
            <w:tcW w:w="3024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5B3DEAB4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Endpoint excede o timeout</w:t>
            </w:r>
          </w:p>
        </w:tc>
        <w:tc>
          <w:tcPr>
            <w:tcW w:w="7056" w:type="dxa"/>
            <w:tcBorders>
              <w:top w:val="single" w:sz="4" w:space="0" w:color="CBD8E3"/>
              <w:left w:val="single" w:sz="4" w:space="0" w:color="CBD8E3"/>
              <w:bottom w:val="single" w:sz="4" w:space="0" w:color="CBD8E3"/>
              <w:right w:val="single" w:sz="4" w:space="0" w:color="CBD8E3"/>
            </w:tcBorders>
            <w:shd w:val="clear" w:color="auto" w:fill="FFFFFF"/>
          </w:tcPr>
          <w:p w14:paraId="7161EEA1" w14:textId="77777777" w:rsidR="00CD07E0" w:rsidRPr="008B335E" w:rsidRDefault="00000000">
            <w:pPr>
              <w:spacing w:after="0"/>
              <w:rPr>
                <w:rFonts w:cs="Arial"/>
                <w:color w:val="000000" w:themeColor="text1"/>
              </w:rPr>
            </w:pPr>
            <w:r w:rsidRPr="008B335E">
              <w:rPr>
                <w:rFonts w:cs="Arial"/>
                <w:color w:val="000000" w:themeColor="text1"/>
                <w:sz w:val="16"/>
              </w:rPr>
              <w:t>A interface interrompe a espera daquele módulo, informa o estado e mantém os demais resultados.</w:t>
            </w:r>
          </w:p>
        </w:tc>
      </w:tr>
    </w:tbl>
    <w:p w14:paraId="5039B7E8" w14:textId="77777777" w:rsidR="00025787" w:rsidRDefault="00025787">
      <w:pPr>
        <w:spacing w:before="200"/>
        <w:rPr>
          <w:rFonts w:cs="Arial"/>
          <w:b/>
          <w:color w:val="000000" w:themeColor="text1"/>
          <w:sz w:val="28"/>
        </w:rPr>
      </w:pPr>
    </w:p>
    <w:p w14:paraId="5D5E925C" w14:textId="7DC6D72C" w:rsidR="00CD07E0" w:rsidRPr="008B335E" w:rsidRDefault="00000000">
      <w:pPr>
        <w:spacing w:before="200"/>
        <w:rPr>
          <w:rFonts w:cs="Arial"/>
          <w:color w:val="000000" w:themeColor="text1"/>
        </w:rPr>
      </w:pPr>
      <w:r w:rsidRPr="008B335E">
        <w:rPr>
          <w:rFonts w:cs="Arial"/>
          <w:b/>
          <w:color w:val="000000" w:themeColor="text1"/>
          <w:sz w:val="28"/>
        </w:rPr>
        <w:t>7. Segurança, observabilidade e custos</w:t>
      </w:r>
    </w:p>
    <w:p w14:paraId="1021BCD9" w14:textId="77777777" w:rsidR="00CD07E0" w:rsidRPr="008B335E" w:rsidRDefault="00000000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Utilizar HTTPS nos endpoints públicos.</w:t>
      </w:r>
    </w:p>
    <w:p w14:paraId="79569A1C" w14:textId="77777777" w:rsidR="00CD07E0" w:rsidRPr="008B335E" w:rsidRDefault="00000000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Validar os parâmetros de entrada e limitar valores fora do intervalo permitido.</w:t>
      </w:r>
    </w:p>
    <w:p w14:paraId="0A6316BE" w14:textId="77777777" w:rsidR="00CD07E0" w:rsidRPr="008B335E" w:rsidRDefault="00000000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Não armazenar credenciais no frontend; utilizar mecanismos de configuração e segredos próprios dos provedores quando necessário.</w:t>
      </w:r>
    </w:p>
    <w:p w14:paraId="166C2029" w14:textId="77777777" w:rsidR="00CD07E0" w:rsidRPr="008B335E" w:rsidRDefault="00000000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Registrar falhas, duração e códigos de resposta sem incluir dados sensíveis nos logs.</w:t>
      </w:r>
    </w:p>
    <w:p w14:paraId="4D1A9405" w14:textId="77777777" w:rsidR="00CD07E0" w:rsidRPr="008B335E" w:rsidRDefault="00000000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Restringir permissões de execução e invocação ao mínimo necessário.</w:t>
      </w:r>
    </w:p>
    <w:p w14:paraId="0FAD5677" w14:textId="77777777" w:rsidR="00CD07E0" w:rsidRPr="008B335E" w:rsidRDefault="00000000">
      <w:pPr>
        <w:pStyle w:val="Commarcadores"/>
        <w:spacing w:after="60"/>
        <w:rPr>
          <w:rFonts w:cs="Arial"/>
          <w:color w:val="000000" w:themeColor="text1"/>
        </w:rPr>
      </w:pPr>
      <w:r w:rsidRPr="008B335E">
        <w:rPr>
          <w:rFonts w:cs="Arial"/>
          <w:color w:val="000000" w:themeColor="text1"/>
          <w:sz w:val="18"/>
        </w:rPr>
        <w:t>Monitorar consumo e desativar ou remover recursos de teste após a apresentação para evitar custos desnecessários.</w:t>
      </w:r>
    </w:p>
    <w:sectPr w:rsidR="00CD07E0" w:rsidRPr="008B335E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08335" w14:textId="77777777" w:rsidR="00FD0212" w:rsidRDefault="00FD0212">
      <w:pPr>
        <w:spacing w:after="0" w:line="240" w:lineRule="auto"/>
      </w:pPr>
      <w:r>
        <w:separator/>
      </w:r>
    </w:p>
  </w:endnote>
  <w:endnote w:type="continuationSeparator" w:id="0">
    <w:p w14:paraId="32F32265" w14:textId="77777777" w:rsidR="00FD0212" w:rsidRDefault="00FD02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98105" w14:textId="221963F3" w:rsidR="00CD07E0" w:rsidRDefault="00CD07E0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57258" w14:textId="77777777" w:rsidR="00FD0212" w:rsidRDefault="00FD0212">
      <w:pPr>
        <w:spacing w:after="0" w:line="240" w:lineRule="auto"/>
      </w:pPr>
      <w:r>
        <w:separator/>
      </w:r>
    </w:p>
  </w:footnote>
  <w:footnote w:type="continuationSeparator" w:id="0">
    <w:p w14:paraId="683E3D9C" w14:textId="77777777" w:rsidR="00FD0212" w:rsidRDefault="00FD02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3092550"/>
      <w:docPartObj>
        <w:docPartGallery w:val="Page Numbers (Top of Page)"/>
        <w:docPartUnique/>
      </w:docPartObj>
    </w:sdtPr>
    <w:sdtContent>
      <w:p w14:paraId="7FDC394E" w14:textId="5EB507FB" w:rsidR="008B335E" w:rsidRDefault="008B335E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FE60E80" w14:textId="4B591D21" w:rsidR="00CD07E0" w:rsidRDefault="00CD07E0">
    <w:pPr>
      <w:pStyle w:val="Cabealh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420A478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7830351">
    <w:abstractNumId w:val="8"/>
  </w:num>
  <w:num w:numId="2" w16cid:durableId="310138149">
    <w:abstractNumId w:val="6"/>
  </w:num>
  <w:num w:numId="3" w16cid:durableId="507868362">
    <w:abstractNumId w:val="5"/>
  </w:num>
  <w:num w:numId="4" w16cid:durableId="1660494889">
    <w:abstractNumId w:val="4"/>
  </w:num>
  <w:num w:numId="5" w16cid:durableId="1275408075">
    <w:abstractNumId w:val="7"/>
  </w:num>
  <w:num w:numId="6" w16cid:durableId="987974270">
    <w:abstractNumId w:val="3"/>
  </w:num>
  <w:num w:numId="7" w16cid:durableId="430200115">
    <w:abstractNumId w:val="2"/>
  </w:num>
  <w:num w:numId="8" w16cid:durableId="581069805">
    <w:abstractNumId w:val="1"/>
  </w:num>
  <w:num w:numId="9" w16cid:durableId="2086296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787"/>
    <w:rsid w:val="00034616"/>
    <w:rsid w:val="0006063C"/>
    <w:rsid w:val="0015074B"/>
    <w:rsid w:val="0029639D"/>
    <w:rsid w:val="00326F90"/>
    <w:rsid w:val="00720E9C"/>
    <w:rsid w:val="008B335E"/>
    <w:rsid w:val="00A92519"/>
    <w:rsid w:val="00AA1D8D"/>
    <w:rsid w:val="00B47730"/>
    <w:rsid w:val="00CB0664"/>
    <w:rsid w:val="00CD07E0"/>
    <w:rsid w:val="00E965BB"/>
    <w:rsid w:val="00FC693F"/>
    <w:rsid w:val="00FD0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41DD63"/>
  <w14:defaultImageDpi w14:val="300"/>
  <w15:docId w15:val="{EC6D3EC4-E4E3-412C-91CD-1E4C4DA79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eastAsia="Arial" w:hAnsi="Arial"/>
      <w:color w:val="000000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B335E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B33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github.com/Pedro-Cavenaghi/Saasmulticlou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1451</Words>
  <Characters>7839</Characters>
  <Application>Microsoft Office Word</Application>
  <DocSecurity>0</DocSecurity>
  <Lines>65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9272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 SANTOS OLIVEIRA</cp:lastModifiedBy>
  <cp:revision>3</cp:revision>
  <dcterms:created xsi:type="dcterms:W3CDTF">2013-12-23T23:15:00Z</dcterms:created>
  <dcterms:modified xsi:type="dcterms:W3CDTF">2026-10-26T22:48:00Z</dcterms:modified>
  <cp:category/>
</cp:coreProperties>
</file>