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D0B9" w14:textId="289A8484" w:rsidR="00F74AA1" w:rsidRPr="00851F20" w:rsidRDefault="00F43E5F">
      <w:pPr>
        <w:rPr>
          <w:b/>
          <w:bCs/>
          <w:lang w:val="es-ES_tradnl"/>
        </w:rPr>
      </w:pPr>
      <w:r w:rsidRPr="00851F20">
        <w:rPr>
          <w:b/>
          <w:bCs/>
          <w:lang w:val="es-ES_tradnl"/>
        </w:rPr>
        <w:t xml:space="preserve">Perfiles genéticos: </w:t>
      </w:r>
    </w:p>
    <w:p w14:paraId="3C2D7B63" w14:textId="74FEBFCD" w:rsidR="00F43E5F" w:rsidRDefault="00F43E5F">
      <w:pPr>
        <w:rPr>
          <w:lang w:val="es-ES_tradnl"/>
        </w:rPr>
      </w:pPr>
      <w:r w:rsidRPr="00F43E5F">
        <w:rPr>
          <w:lang w:val="es-ES_tradnl"/>
        </w:rPr>
        <w:t xml:space="preserve">En Maggie se han encontrado alteraciones en los siguientes genes: </w:t>
      </w:r>
      <w:r w:rsidR="00062989">
        <w:rPr>
          <w:lang w:val="es-ES_tradnl"/>
        </w:rPr>
        <w:t xml:space="preserve">MED12, </w:t>
      </w:r>
      <w:r w:rsidRPr="00F43E5F">
        <w:rPr>
          <w:lang w:val="es-ES_tradnl"/>
        </w:rPr>
        <w:t>LEPR y TP53, siendo el gen LEPR el que presenta mayor impacto en problemas de salud relacionados con la obesidad. De este gen receptor de leptina se identificó una deleción en heterocigoto del cromosoma 1. Esta deleción deriva en un cambio en la pauta de lectura generando una proteína truncada con una diferencia de casi 300 aminoácidos de diferencia respecto a la original. Debido a esta pérdida, se eliminan dominios necesarios para activar vías de señalización que evitan que se procese adecuadamente las señales de la hormona leptina (encargada de disminuir la ingesta y aumentar el consumo de energía), asociándose directamente con la obesidad.</w:t>
      </w:r>
    </w:p>
    <w:p w14:paraId="2FB9FA65" w14:textId="0323B373" w:rsidR="00F43E5F" w:rsidRDefault="00F43E5F">
      <w:pPr>
        <w:rPr>
          <w:lang w:val="es-ES_tradnl"/>
        </w:rPr>
      </w:pPr>
      <w:r w:rsidRPr="00F43E5F">
        <w:rPr>
          <w:lang w:val="es-ES_tradnl"/>
        </w:rPr>
        <w:t xml:space="preserve">En el caso de Abraham se han encontrado alteraciones en los siguientes genes: </w:t>
      </w:r>
      <w:r w:rsidR="00062989">
        <w:rPr>
          <w:lang w:val="es-ES_tradnl"/>
        </w:rPr>
        <w:t xml:space="preserve">MED12, </w:t>
      </w:r>
      <w:r w:rsidRPr="00F43E5F">
        <w:rPr>
          <w:lang w:val="es-ES_tradnl"/>
        </w:rPr>
        <w:t>MC4R y TP53. Según este perfil, los problemas relacionados con la obesidad pueden desencadenarse debido a la variante presente en MC4R. Aquí la mutación se encuentra por un cambio de sentido tipo SNP del cromosoma 18 también heterocigoto. Esta alteración es altamente patogénica ya que afecta a un aminoácido que está altamente conservado evolutivamente. Como consecuencia, se altera la homeostasis energética y el control del apetito a nivel hipotalámico, bloqueando una serie de marcadores que detienen las señales de saciedad</w:t>
      </w:r>
      <w:r>
        <w:rPr>
          <w:lang w:val="es-ES_tradnl"/>
        </w:rPr>
        <w:t xml:space="preserve"> </w:t>
      </w:r>
      <w:r w:rsidR="006424F2">
        <w:rPr>
          <w:lang w:val="es-ES_tradnl"/>
        </w:rPr>
        <w:t xml:space="preserve">y </w:t>
      </w:r>
      <w:r>
        <w:rPr>
          <w:lang w:val="es-ES_tradnl"/>
        </w:rPr>
        <w:t>derivando en la característica hiperfagia típica de pacientes con obesidad monog</w:t>
      </w:r>
      <w:r w:rsidR="006424F2">
        <w:rPr>
          <w:lang w:val="es-ES_tradnl"/>
        </w:rPr>
        <w:t>énica</w:t>
      </w:r>
      <w:r w:rsidRPr="00F43E5F">
        <w:rPr>
          <w:lang w:val="es-ES_tradnl"/>
        </w:rPr>
        <w:t xml:space="preserve">. </w:t>
      </w:r>
    </w:p>
    <w:p w14:paraId="3ED0A6D1" w14:textId="7257F64F" w:rsidR="003807DE" w:rsidRPr="00F43E5F" w:rsidRDefault="00361FFB">
      <w:pPr>
        <w:rPr>
          <w:lang w:val="es-ES_tradnl"/>
        </w:rPr>
      </w:pPr>
      <w:r>
        <w:rPr>
          <w:lang w:val="es-ES_tradnl"/>
        </w:rPr>
        <w:t xml:space="preserve">En ambos perfiles se han encontrado mutaciones en los genes TP53 y </w:t>
      </w:r>
      <w:r w:rsidR="002F1D82">
        <w:rPr>
          <w:lang w:val="es-ES_tradnl"/>
        </w:rPr>
        <w:t>MED12.</w:t>
      </w:r>
      <w:r w:rsidR="006D3572">
        <w:rPr>
          <w:lang w:val="es-ES_tradnl"/>
        </w:rPr>
        <w:t xml:space="preserve"> </w:t>
      </w:r>
      <w:r w:rsidR="003807DE">
        <w:rPr>
          <w:lang w:val="es-ES_tradnl"/>
        </w:rPr>
        <w:t xml:space="preserve">Aunque se ha visto </w:t>
      </w:r>
      <w:r w:rsidR="005309E8">
        <w:rPr>
          <w:lang w:val="es-ES_tradnl"/>
        </w:rPr>
        <w:t xml:space="preserve">que </w:t>
      </w:r>
      <w:r w:rsidR="006F0330">
        <w:rPr>
          <w:lang w:val="es-ES_tradnl"/>
        </w:rPr>
        <w:t xml:space="preserve">la principal implicación de ambos genes no está relacionada con </w:t>
      </w:r>
      <w:r w:rsidR="00FF04F8">
        <w:rPr>
          <w:lang w:val="es-ES_tradnl"/>
        </w:rPr>
        <w:t xml:space="preserve">el metabolismo, TP53 </w:t>
      </w:r>
      <w:r w:rsidR="002427EF">
        <w:rPr>
          <w:lang w:val="es-ES_tradnl"/>
        </w:rPr>
        <w:t xml:space="preserve">tiene funciones reconocidas en la ruta de </w:t>
      </w:r>
      <w:r w:rsidR="0048215B">
        <w:rPr>
          <w:lang w:val="es-ES_tradnl"/>
        </w:rPr>
        <w:t>lípidos y aterosclerosis</w:t>
      </w:r>
      <w:r w:rsidR="005309E8">
        <w:rPr>
          <w:lang w:val="es-ES_tradnl"/>
        </w:rPr>
        <w:t>, donde se aumenta su expresión en exceso de pa</w:t>
      </w:r>
      <w:r w:rsidR="00C15C1E">
        <w:rPr>
          <w:lang w:val="es-ES_tradnl"/>
        </w:rPr>
        <w:t>rtículas LDL oxidadas</w:t>
      </w:r>
      <w:r w:rsidR="00334FA8">
        <w:rPr>
          <w:lang w:val="es-ES_tradnl"/>
        </w:rPr>
        <w:t xml:space="preserve"> o diversas respuestas al estrés.</w:t>
      </w:r>
      <w:r w:rsidR="006D3572" w:rsidRPr="006D3572">
        <w:rPr>
          <w:lang w:val="es-ES_tradnl"/>
        </w:rPr>
        <w:t xml:space="preserve"> </w:t>
      </w:r>
      <w:r w:rsidR="006D3572">
        <w:rPr>
          <w:lang w:val="es-ES_tradnl"/>
        </w:rPr>
        <w:t xml:space="preserve">A pesar de ello, </w:t>
      </w:r>
      <w:r w:rsidR="008854CB">
        <w:rPr>
          <w:lang w:val="es-ES_tradnl"/>
        </w:rPr>
        <w:t xml:space="preserve">al ser mutaciones en regiones que no están altamente conservadas, no se considera que puedan tener graves efectos patogénicos en la salud de los </w:t>
      </w:r>
      <w:r w:rsidR="001373D5">
        <w:rPr>
          <w:lang w:val="es-ES_tradnl"/>
        </w:rPr>
        <w:t xml:space="preserve">pacientes analizados en este estudio. </w:t>
      </w:r>
    </w:p>
    <w:sectPr w:rsidR="003807DE" w:rsidRPr="00F43E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E5F"/>
    <w:rsid w:val="00062989"/>
    <w:rsid w:val="001373D5"/>
    <w:rsid w:val="002427EF"/>
    <w:rsid w:val="002C370B"/>
    <w:rsid w:val="002F1D82"/>
    <w:rsid w:val="00334FA8"/>
    <w:rsid w:val="00361FFB"/>
    <w:rsid w:val="003807DE"/>
    <w:rsid w:val="003A2B06"/>
    <w:rsid w:val="0048215B"/>
    <w:rsid w:val="005309E8"/>
    <w:rsid w:val="006424F2"/>
    <w:rsid w:val="00682DE6"/>
    <w:rsid w:val="006D3572"/>
    <w:rsid w:val="006F0330"/>
    <w:rsid w:val="00851F20"/>
    <w:rsid w:val="008854CB"/>
    <w:rsid w:val="00BB5734"/>
    <w:rsid w:val="00C15C1E"/>
    <w:rsid w:val="00C3240F"/>
    <w:rsid w:val="00E841EA"/>
    <w:rsid w:val="00F43E5F"/>
    <w:rsid w:val="00F74AA1"/>
    <w:rsid w:val="00FA26AA"/>
    <w:rsid w:val="00FB4E3E"/>
    <w:rsid w:val="00FF04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02B5"/>
  <w15:chartTrackingRefBased/>
  <w15:docId w15:val="{81240F89-24C3-5042-B4E1-5FA381618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3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3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3E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3E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3E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3E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3E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3E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3E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3E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3E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3E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3E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3E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3E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3E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3E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3E5F"/>
    <w:rPr>
      <w:rFonts w:eastAsiaTheme="majorEastAsia" w:cstheme="majorBidi"/>
      <w:color w:val="272727" w:themeColor="text1" w:themeTint="D8"/>
    </w:rPr>
  </w:style>
  <w:style w:type="paragraph" w:styleId="Ttulo">
    <w:name w:val="Title"/>
    <w:basedOn w:val="Normal"/>
    <w:next w:val="Normal"/>
    <w:link w:val="TtuloCar"/>
    <w:uiPriority w:val="10"/>
    <w:qFormat/>
    <w:rsid w:val="00F43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3E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3E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3E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3E5F"/>
    <w:pPr>
      <w:spacing w:before="160"/>
      <w:jc w:val="center"/>
    </w:pPr>
    <w:rPr>
      <w:i/>
      <w:iCs/>
      <w:color w:val="404040" w:themeColor="text1" w:themeTint="BF"/>
    </w:rPr>
  </w:style>
  <w:style w:type="character" w:customStyle="1" w:styleId="CitaCar">
    <w:name w:val="Cita Car"/>
    <w:basedOn w:val="Fuentedeprrafopredeter"/>
    <w:link w:val="Cita"/>
    <w:uiPriority w:val="29"/>
    <w:rsid w:val="00F43E5F"/>
    <w:rPr>
      <w:i/>
      <w:iCs/>
      <w:color w:val="404040" w:themeColor="text1" w:themeTint="BF"/>
    </w:rPr>
  </w:style>
  <w:style w:type="paragraph" w:styleId="Prrafodelista">
    <w:name w:val="List Paragraph"/>
    <w:basedOn w:val="Normal"/>
    <w:uiPriority w:val="34"/>
    <w:qFormat/>
    <w:rsid w:val="00F43E5F"/>
    <w:pPr>
      <w:ind w:left="720"/>
      <w:contextualSpacing/>
    </w:pPr>
  </w:style>
  <w:style w:type="character" w:styleId="nfasisintenso">
    <w:name w:val="Intense Emphasis"/>
    <w:basedOn w:val="Fuentedeprrafopredeter"/>
    <w:uiPriority w:val="21"/>
    <w:qFormat/>
    <w:rsid w:val="00F43E5F"/>
    <w:rPr>
      <w:i/>
      <w:iCs/>
      <w:color w:val="0F4761" w:themeColor="accent1" w:themeShade="BF"/>
    </w:rPr>
  </w:style>
  <w:style w:type="paragraph" w:styleId="Citadestacada">
    <w:name w:val="Intense Quote"/>
    <w:basedOn w:val="Normal"/>
    <w:next w:val="Normal"/>
    <w:link w:val="CitadestacadaCar"/>
    <w:uiPriority w:val="30"/>
    <w:qFormat/>
    <w:rsid w:val="00F43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3E5F"/>
    <w:rPr>
      <w:i/>
      <w:iCs/>
      <w:color w:val="0F4761" w:themeColor="accent1" w:themeShade="BF"/>
    </w:rPr>
  </w:style>
  <w:style w:type="character" w:styleId="Referenciaintensa">
    <w:name w:val="Intense Reference"/>
    <w:basedOn w:val="Fuentedeprrafopredeter"/>
    <w:uiPriority w:val="32"/>
    <w:qFormat/>
    <w:rsid w:val="00F43E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307</Words>
  <Characters>1693</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Norniella Jamart</dc:creator>
  <cp:keywords/>
  <dc:description/>
  <cp:lastModifiedBy>Paula Norniella Jamart</cp:lastModifiedBy>
  <cp:revision>18</cp:revision>
  <dcterms:created xsi:type="dcterms:W3CDTF">2026-01-31T19:34:00Z</dcterms:created>
  <dcterms:modified xsi:type="dcterms:W3CDTF">2026-02-01T10:57:00Z</dcterms:modified>
</cp:coreProperties>
</file>