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02167" w14:textId="1CF3442A" w:rsidR="006F4AD4" w:rsidRPr="006375DF" w:rsidRDefault="006375DF" w:rsidP="00D027B1">
      <w:pPr>
        <w:jc w:val="both"/>
        <w:rPr>
          <w:b/>
          <w:bCs/>
          <w:u w:val="single"/>
        </w:rPr>
      </w:pPr>
      <w:r>
        <w:rPr>
          <w:b/>
          <w:bCs/>
          <w:u w:val="single"/>
        </w:rPr>
        <w:t xml:space="preserve">MUTACIÓN </w:t>
      </w:r>
      <w:r w:rsidR="000C0AF2" w:rsidRPr="006375DF">
        <w:rPr>
          <w:b/>
          <w:bCs/>
          <w:u w:val="single"/>
        </w:rPr>
        <w:t>GEN MED12</w:t>
      </w:r>
    </w:p>
    <w:p w14:paraId="1A702D5F" w14:textId="60002DD4" w:rsidR="000C0AF2" w:rsidRDefault="00143041" w:rsidP="00D027B1">
      <w:pPr>
        <w:jc w:val="both"/>
      </w:pPr>
      <w:r>
        <w:t>Un</w:t>
      </w:r>
      <w:r w:rsidR="00766445">
        <w:t xml:space="preserve">a de las variantes de </w:t>
      </w:r>
      <w:r>
        <w:t>los personajes Abraham y Maggie Simpson</w:t>
      </w:r>
      <w:r w:rsidR="00152A13">
        <w:t xml:space="preserve"> </w:t>
      </w:r>
      <w:r w:rsidR="00766445">
        <w:t>se produce en</w:t>
      </w:r>
      <w:r w:rsidR="002273A4">
        <w:t xml:space="preserve"> el gen MED12 situado en el </w:t>
      </w:r>
      <w:r w:rsidR="002273A4" w:rsidRPr="00852A0B">
        <w:rPr>
          <w:b/>
          <w:bCs/>
        </w:rPr>
        <w:t xml:space="preserve">cromosoma </w:t>
      </w:r>
      <w:r w:rsidR="00AD249F" w:rsidRPr="00852A0B">
        <w:rPr>
          <w:b/>
          <w:bCs/>
        </w:rPr>
        <w:t>X:71121046</w:t>
      </w:r>
      <w:r w:rsidR="00AD249F">
        <w:t xml:space="preserve"> </w:t>
      </w:r>
      <w:r w:rsidR="00766445">
        <w:t xml:space="preserve">y cuyas coordenadas en el genoma humano hg38 son </w:t>
      </w:r>
      <w:r w:rsidR="00E37A64" w:rsidRPr="00E37A64">
        <w:t>X:71120996-71121096</w:t>
      </w:r>
      <w:r w:rsidR="00E37A64">
        <w:t>.</w:t>
      </w:r>
      <w:r w:rsidR="006233A7">
        <w:t xml:space="preserve"> Dicha variante presenta</w:t>
      </w:r>
      <w:r w:rsidR="00C859AD">
        <w:t xml:space="preserve"> una secuencia de</w:t>
      </w:r>
      <w:r w:rsidR="006233A7">
        <w:t xml:space="preserve"> 6</w:t>
      </w:r>
      <w:r w:rsidR="00C859AD">
        <w:t>.</w:t>
      </w:r>
      <w:r w:rsidR="006233A7">
        <w:t xml:space="preserve">925 pares de bases </w:t>
      </w:r>
      <w:r w:rsidR="00C859AD">
        <w:t>dando un producto de 2.177 aminoácidos</w:t>
      </w:r>
      <w:r w:rsidR="00823299">
        <w:t xml:space="preserve">. El código de la variante </w:t>
      </w:r>
      <w:r w:rsidR="008D51A5">
        <w:t xml:space="preserve">es </w:t>
      </w:r>
      <w:r w:rsidR="008D51A5" w:rsidRPr="00852A0B">
        <w:rPr>
          <w:b/>
          <w:bCs/>
        </w:rPr>
        <w:t>NM_005120.3</w:t>
      </w:r>
      <w:r w:rsidR="004F570D">
        <w:t xml:space="preserve"> y </w:t>
      </w:r>
      <w:r w:rsidR="0041382F">
        <w:t>el cambio</w:t>
      </w:r>
      <w:r w:rsidR="004F570D">
        <w:t xml:space="preserve"> </w:t>
      </w:r>
      <w:r w:rsidR="0041382F">
        <w:t>de nucleótido se encuentra</w:t>
      </w:r>
      <w:r w:rsidR="004F570D">
        <w:t xml:space="preserve"> </w:t>
      </w:r>
      <w:r w:rsidR="0041382F">
        <w:t>en</w:t>
      </w:r>
      <w:r w:rsidR="004F570D">
        <w:t xml:space="preserve"> el exón 5. </w:t>
      </w:r>
    </w:p>
    <w:p w14:paraId="55CC4A95" w14:textId="3768B210" w:rsidR="00F7462E" w:rsidRDefault="00F64AEF" w:rsidP="00D027B1">
      <w:pPr>
        <w:jc w:val="both"/>
      </w:pPr>
      <w:r>
        <w:t xml:space="preserve">La nomenclatura de la variante </w:t>
      </w:r>
      <w:r w:rsidR="00D92E0F">
        <w:t xml:space="preserve">en c. es </w:t>
      </w:r>
      <w:r w:rsidR="00D92E0F" w:rsidRPr="00852A0B">
        <w:rPr>
          <w:b/>
          <w:bCs/>
        </w:rPr>
        <w:t>ENST00000374080.</w:t>
      </w:r>
      <w:proofErr w:type="gramStart"/>
      <w:r w:rsidR="00D92E0F" w:rsidRPr="00852A0B">
        <w:rPr>
          <w:b/>
          <w:bCs/>
        </w:rPr>
        <w:t>8:c.</w:t>
      </w:r>
      <w:proofErr w:type="gramEnd"/>
      <w:r w:rsidR="00D92E0F" w:rsidRPr="00852A0B">
        <w:rPr>
          <w:b/>
          <w:bCs/>
        </w:rPr>
        <w:t>629C&gt;T</w:t>
      </w:r>
      <w:r w:rsidR="00DD11AA" w:rsidRPr="00852A0B">
        <w:rPr>
          <w:b/>
          <w:bCs/>
        </w:rPr>
        <w:t>,</w:t>
      </w:r>
      <w:r w:rsidR="00DD11AA">
        <w:t xml:space="preserve"> siendo una sustitución del nucleótido C por T en la posición 629 </w:t>
      </w:r>
      <w:r w:rsidR="0080448B">
        <w:t xml:space="preserve">de </w:t>
      </w:r>
      <w:proofErr w:type="spellStart"/>
      <w:r w:rsidR="0080448B">
        <w:t>cDNA</w:t>
      </w:r>
      <w:proofErr w:type="spellEnd"/>
      <w:r w:rsidR="0080448B">
        <w:t xml:space="preserve">. </w:t>
      </w:r>
      <w:r w:rsidR="008441ED">
        <w:t xml:space="preserve">Para ambos personajes </w:t>
      </w:r>
      <w:r w:rsidR="006E4FBA">
        <w:t>este gen es hemicigoto al encontrarse en un cromosoma sexual (cromosoma X)</w:t>
      </w:r>
      <w:r w:rsidR="00452710">
        <w:t xml:space="preserve">. Según </w:t>
      </w:r>
      <w:proofErr w:type="spellStart"/>
      <w:r w:rsidR="00452710">
        <w:t>gnomAD</w:t>
      </w:r>
      <w:proofErr w:type="spellEnd"/>
      <w:r w:rsidR="00452710">
        <w:t xml:space="preserve"> la frecuencia alélica </w:t>
      </w:r>
      <w:r w:rsidR="00782E94">
        <w:t xml:space="preserve">global de la variante es de </w:t>
      </w:r>
      <w:r w:rsidR="00A51ABE" w:rsidRPr="00852A0B">
        <w:rPr>
          <w:b/>
          <w:bCs/>
        </w:rPr>
        <w:t>4.553x10</w:t>
      </w:r>
      <w:r w:rsidR="00A51ABE" w:rsidRPr="00852A0B">
        <w:rPr>
          <w:b/>
          <w:bCs/>
          <w:vertAlign w:val="superscript"/>
        </w:rPr>
        <w:t>-6</w:t>
      </w:r>
      <w:r w:rsidR="00A51ABE">
        <w:t>, que siendo inferior al 1% indica que se trata de una mutación</w:t>
      </w:r>
      <w:r w:rsidR="00ED0EC3">
        <w:t>.</w:t>
      </w:r>
    </w:p>
    <w:p w14:paraId="7C53D6E9" w14:textId="21B294E6" w:rsidR="006D518A" w:rsidRDefault="00D15A86" w:rsidP="00D027B1">
      <w:pPr>
        <w:jc w:val="both"/>
      </w:pPr>
      <w:r>
        <w:t xml:space="preserve">El gen codifica para la proteína de la subunidad </w:t>
      </w:r>
      <w:r w:rsidR="00BE0582">
        <w:t xml:space="preserve">12 del complejo mediador cuyo ID es </w:t>
      </w:r>
      <w:r w:rsidR="00E26E3E" w:rsidRPr="00852A0B">
        <w:rPr>
          <w:b/>
          <w:bCs/>
        </w:rPr>
        <w:t>ENSP00000363193.</w:t>
      </w:r>
      <w:proofErr w:type="gramStart"/>
      <w:r w:rsidR="00E26E3E" w:rsidRPr="00852A0B">
        <w:rPr>
          <w:b/>
          <w:bCs/>
        </w:rPr>
        <w:t>3</w:t>
      </w:r>
      <w:r w:rsidR="000621B3" w:rsidRPr="00852A0B">
        <w:rPr>
          <w:b/>
          <w:bCs/>
        </w:rPr>
        <w:t>:</w:t>
      </w:r>
      <w:r w:rsidR="007914F6" w:rsidRPr="00852A0B">
        <w:rPr>
          <w:b/>
          <w:bCs/>
        </w:rPr>
        <w:t>p</w:t>
      </w:r>
      <w:proofErr w:type="gramEnd"/>
      <w:r w:rsidR="007914F6" w:rsidRPr="00852A0B">
        <w:rPr>
          <w:b/>
          <w:bCs/>
        </w:rPr>
        <w:t>.Ala210Val</w:t>
      </w:r>
      <w:r w:rsidR="00E00482">
        <w:t>, lo cual indica una sustitución de la Alanina por una Valina en la posición 210</w:t>
      </w:r>
      <w:r w:rsidR="00963E3D">
        <w:t xml:space="preserve"> de la variante proteica. Esto provoca una </w:t>
      </w:r>
      <w:r w:rsidR="00E641A2">
        <w:t xml:space="preserve">variante de tipo </w:t>
      </w:r>
      <w:proofErr w:type="spellStart"/>
      <w:r w:rsidR="00E641A2" w:rsidRPr="00852A0B">
        <w:rPr>
          <w:b/>
          <w:bCs/>
        </w:rPr>
        <w:t>missense</w:t>
      </w:r>
      <w:proofErr w:type="spellEnd"/>
      <w:r w:rsidR="004F570D">
        <w:t>.</w:t>
      </w:r>
    </w:p>
    <w:p w14:paraId="1C6A9649" w14:textId="17E4F3B9" w:rsidR="00135320" w:rsidRPr="00852A0B" w:rsidRDefault="00135320" w:rsidP="00D027B1">
      <w:pPr>
        <w:jc w:val="both"/>
      </w:pPr>
      <w:r>
        <w:t xml:space="preserve">Las predicciones de las bases de datos </w:t>
      </w:r>
      <w:r w:rsidRPr="00852A0B">
        <w:rPr>
          <w:b/>
          <w:bCs/>
        </w:rPr>
        <w:t xml:space="preserve">SIFT y </w:t>
      </w:r>
      <w:proofErr w:type="spellStart"/>
      <w:r w:rsidRPr="00852A0B">
        <w:rPr>
          <w:b/>
          <w:bCs/>
        </w:rPr>
        <w:t>PolyPhen</w:t>
      </w:r>
      <w:proofErr w:type="spellEnd"/>
      <w:r>
        <w:t xml:space="preserve"> muestran puntuaciones de </w:t>
      </w:r>
      <w:r w:rsidR="00304795">
        <w:t xml:space="preserve">0.02 y 0.019, lo que se traduce en niveles de patogenicidad </w:t>
      </w:r>
      <w:r w:rsidR="004B09DA">
        <w:t xml:space="preserve">de </w:t>
      </w:r>
      <w:r w:rsidR="009C5615">
        <w:t>deletéreo y benig</w:t>
      </w:r>
      <w:r w:rsidR="004B09DA">
        <w:t xml:space="preserve">na. </w:t>
      </w:r>
      <w:r w:rsidR="00EE1FD0">
        <w:t xml:space="preserve">Se realizó una búsqueda de secuencias ortólogas </w:t>
      </w:r>
      <w:r w:rsidR="00762CCD">
        <w:t xml:space="preserve">en vertebrados con la plataforma </w:t>
      </w:r>
      <w:proofErr w:type="spellStart"/>
      <w:r w:rsidR="00762CCD">
        <w:t>BLASTx</w:t>
      </w:r>
      <w:proofErr w:type="spellEnd"/>
      <w:r w:rsidR="00762CCD">
        <w:t xml:space="preserve"> </w:t>
      </w:r>
      <w:r w:rsidR="00AC4BA3">
        <w:t xml:space="preserve">contra la base </w:t>
      </w:r>
      <w:proofErr w:type="spellStart"/>
      <w:r w:rsidR="00AC4BA3" w:rsidRPr="00852A0B">
        <w:rPr>
          <w:b/>
          <w:bCs/>
        </w:rPr>
        <w:t>UniprotKB</w:t>
      </w:r>
      <w:proofErr w:type="spellEnd"/>
      <w:r w:rsidR="00AC4BA3">
        <w:t xml:space="preserve">, mostrando especies como </w:t>
      </w:r>
      <w:r w:rsidR="00325A17">
        <w:t>el chimpancé y el ratón</w:t>
      </w:r>
      <w:r w:rsidR="00AC4BA3">
        <w:t>. Luego, con la información anterior, se procedió</w:t>
      </w:r>
      <w:r w:rsidR="00325A17">
        <w:t xml:space="preserve"> </w:t>
      </w:r>
      <w:r w:rsidR="00EE1FD0">
        <w:t xml:space="preserve">con </w:t>
      </w:r>
      <w:r w:rsidR="00640199">
        <w:t>un</w:t>
      </w:r>
      <w:r w:rsidR="00397259">
        <w:t xml:space="preserve"> alineamiento </w:t>
      </w:r>
      <w:r w:rsidR="00640199">
        <w:t xml:space="preserve">en </w:t>
      </w:r>
      <w:proofErr w:type="spellStart"/>
      <w:r w:rsidR="00640199">
        <w:t>Ensembl</w:t>
      </w:r>
      <w:proofErr w:type="spellEnd"/>
      <w:r w:rsidR="00640199">
        <w:t xml:space="preserve"> de la región comprendida del exón 5</w:t>
      </w:r>
      <w:r w:rsidR="003171EC">
        <w:t xml:space="preserve"> frente a</w:t>
      </w:r>
      <w:r w:rsidR="003A5E22">
        <w:t xml:space="preserve">l genoma </w:t>
      </w:r>
      <w:r w:rsidR="003171EC">
        <w:t xml:space="preserve">del chimpancé y del ratón para </w:t>
      </w:r>
      <w:r w:rsidR="003A5E22">
        <w:t>recoger las secuencias correspondientes al gen</w:t>
      </w:r>
      <w:r w:rsidR="00762CCD">
        <w:t xml:space="preserve">. Se usaron las secuencias obtenidas para realizar un </w:t>
      </w:r>
      <w:proofErr w:type="spellStart"/>
      <w:r w:rsidR="00762CCD" w:rsidRPr="00852A0B">
        <w:rPr>
          <w:b/>
          <w:bCs/>
        </w:rPr>
        <w:t>Clustal</w:t>
      </w:r>
      <w:proofErr w:type="spellEnd"/>
      <w:r w:rsidR="00762CCD" w:rsidRPr="00852A0B">
        <w:rPr>
          <w:b/>
          <w:bCs/>
        </w:rPr>
        <w:t xml:space="preserve"> Omega</w:t>
      </w:r>
      <w:r w:rsidR="008D427B">
        <w:t xml:space="preserve"> que reveló</w:t>
      </w:r>
      <w:r w:rsidR="00461D4B">
        <w:t xml:space="preserve"> una conservación </w:t>
      </w:r>
      <w:r w:rsidR="00BC569C">
        <w:t xml:space="preserve">fuerte </w:t>
      </w:r>
      <w:r w:rsidR="00461D4B">
        <w:t>de la secuencia</w:t>
      </w:r>
      <w:r w:rsidR="00BC569C">
        <w:t xml:space="preserve">, sin embargo, la mutación </w:t>
      </w:r>
      <w:r w:rsidR="00C8452F">
        <w:t xml:space="preserve">se localiza en una posición que cambia constantemente entre especies, por lo cual no </w:t>
      </w:r>
      <w:r w:rsidR="00810154">
        <w:t>presenta</w:t>
      </w:r>
      <w:r w:rsidR="00A22F8F">
        <w:t>rá</w:t>
      </w:r>
      <w:r w:rsidR="00810154">
        <w:t xml:space="preserve"> riesgos</w:t>
      </w:r>
      <w:r w:rsidR="002028C1">
        <w:t xml:space="preserve"> de ser patogénica</w:t>
      </w:r>
      <w:r w:rsidR="00810154">
        <w:t>.</w:t>
      </w:r>
    </w:p>
    <w:p w14:paraId="058E0318" w14:textId="167DD6A3" w:rsidR="00D72738" w:rsidRDefault="00FD1C51" w:rsidP="00D027B1">
      <w:pPr>
        <w:jc w:val="both"/>
      </w:pPr>
      <w:r w:rsidRPr="00852A0B">
        <w:t xml:space="preserve">Con el codificador de la proteína </w:t>
      </w:r>
      <w:r w:rsidR="005A26AB" w:rsidRPr="00852A0B">
        <w:rPr>
          <w:b/>
          <w:bCs/>
        </w:rPr>
        <w:t>Q93074-1</w:t>
      </w:r>
      <w:r w:rsidR="005A26AB">
        <w:t xml:space="preserve"> </w:t>
      </w:r>
      <w:r w:rsidR="009E2070">
        <w:t xml:space="preserve">vemos </w:t>
      </w:r>
      <w:r w:rsidR="00E9189E">
        <w:t xml:space="preserve">en la base de datos de dominios </w:t>
      </w:r>
      <w:proofErr w:type="spellStart"/>
      <w:r w:rsidR="00E9189E">
        <w:t>InterPro</w:t>
      </w:r>
      <w:proofErr w:type="spellEnd"/>
      <w:r w:rsidR="00E9189E">
        <w:t xml:space="preserve"> la variante no aparece en </w:t>
      </w:r>
      <w:r w:rsidR="00C466F8">
        <w:t>ningún dominio funcional</w:t>
      </w:r>
      <w:r w:rsidR="00FC0837">
        <w:t xml:space="preserve">, lo cual </w:t>
      </w:r>
      <w:r w:rsidR="009B5481">
        <w:t xml:space="preserve">indica que la mutación </w:t>
      </w:r>
      <w:r w:rsidR="00434B8B">
        <w:t xml:space="preserve">tiene </w:t>
      </w:r>
      <w:r w:rsidR="001B1C01" w:rsidRPr="001B1C01">
        <w:t>menor probabilidad de alterar la función catalítica o estructural principal de la proteína</w:t>
      </w:r>
      <w:r w:rsidR="00434B8B">
        <w:t>.</w:t>
      </w:r>
    </w:p>
    <w:p w14:paraId="431B7291" w14:textId="77777777" w:rsidR="0027663B" w:rsidRDefault="009806C0" w:rsidP="0027663B">
      <w:pPr>
        <w:jc w:val="both"/>
      </w:pPr>
      <w:r>
        <w:t xml:space="preserve">Al introducir </w:t>
      </w:r>
      <w:r w:rsidR="00236DA7">
        <w:t xml:space="preserve">la variante </w:t>
      </w:r>
      <w:r w:rsidR="001D1A81" w:rsidRPr="00852A0B">
        <w:rPr>
          <w:b/>
          <w:bCs/>
        </w:rPr>
        <w:t xml:space="preserve">rs1213475397 </w:t>
      </w:r>
      <w:r w:rsidR="00236DA7">
        <w:t>en OMIM no aparece ninguna entrada</w:t>
      </w:r>
      <w:r w:rsidR="000F0A12">
        <w:t xml:space="preserve">, lo cual concuerda con los resultados obtenidos hasta ahora que indican la poca relevancia de la variante en esa posición. </w:t>
      </w:r>
      <w:r w:rsidR="001D1A81">
        <w:t xml:space="preserve">Además, </w:t>
      </w:r>
      <w:r w:rsidR="00C27940">
        <w:t>el</w:t>
      </w:r>
      <w:r w:rsidR="001D1A81">
        <w:t xml:space="preserve"> propio</w:t>
      </w:r>
      <w:r w:rsidR="00C27940">
        <w:t xml:space="preserve"> </w:t>
      </w:r>
      <w:r w:rsidR="00C27940" w:rsidRPr="00852A0B">
        <w:rPr>
          <w:b/>
          <w:bCs/>
        </w:rPr>
        <w:t>NCBI</w:t>
      </w:r>
      <w:r w:rsidR="00C27940">
        <w:t xml:space="preserve"> </w:t>
      </w:r>
      <w:r w:rsidR="001D1A81">
        <w:t xml:space="preserve">resume a </w:t>
      </w:r>
      <w:r w:rsidR="00C27940">
        <w:t>la variante</w:t>
      </w:r>
      <w:r w:rsidR="00990405" w:rsidRPr="00990405">
        <w:t xml:space="preserve"> MED12 c.629C&gt;T (</w:t>
      </w:r>
      <w:proofErr w:type="gramStart"/>
      <w:r w:rsidR="00990405" w:rsidRPr="00990405">
        <w:t>p.Ala</w:t>
      </w:r>
      <w:proofErr w:type="gramEnd"/>
      <w:r w:rsidR="00990405" w:rsidRPr="00990405">
        <w:t xml:space="preserve">210Val) </w:t>
      </w:r>
      <w:r w:rsidR="00AE339A">
        <w:t xml:space="preserve">como </w:t>
      </w:r>
      <w:r w:rsidR="00990405" w:rsidRPr="00990405">
        <w:t>un cambio de aminoácidos no conservativo en la secuencia proteica codificada</w:t>
      </w:r>
      <w:r w:rsidR="00B01E66">
        <w:t xml:space="preserve"> con</w:t>
      </w:r>
      <w:r w:rsidR="00990405" w:rsidRPr="00990405">
        <w:t xml:space="preserve"> un efecto benigno en la función proteica</w:t>
      </w:r>
      <w:r w:rsidR="00B01E66">
        <w:t xml:space="preserve">. </w:t>
      </w:r>
      <w:r w:rsidR="00990405" w:rsidRPr="00990405">
        <w:t>Los datos disponibles sobre la incidencia de la variante en la población general son insuficientes para concluir sobre su significancia. Hasta donde sabemos, no se ha reportado ninguna incidencia de c.629C&gt;T en individuos con trastornos relacionados con MED12 ni se ha encontrado evidencia experimental que demuestre su impacto en la función proteica</w:t>
      </w:r>
      <w:r w:rsidR="00207FED">
        <w:t>, con lo cual</w:t>
      </w:r>
      <w:r w:rsidR="00990405" w:rsidRPr="00990405">
        <w:t xml:space="preserve"> la variante se clasificó como de </w:t>
      </w:r>
      <w:r w:rsidR="00990405" w:rsidRPr="00852A0B">
        <w:rPr>
          <w:b/>
          <w:bCs/>
        </w:rPr>
        <w:t>significancia incierta</w:t>
      </w:r>
      <w:r w:rsidR="00A60BB2">
        <w:t xml:space="preserve"> (</w:t>
      </w:r>
      <w:hyperlink r:id="rId5" w:history="1">
        <w:r w:rsidR="00A60BB2" w:rsidRPr="004452F3">
          <w:rPr>
            <w:rStyle w:val="Hipervnculo"/>
          </w:rPr>
          <w:t>https://www.ncbi.nlm.nih.gov/clinvar/variation/1984141/</w:t>
        </w:r>
      </w:hyperlink>
      <w:r w:rsidR="00A60BB2">
        <w:t>).</w:t>
      </w:r>
      <w:r w:rsidR="0027663B" w:rsidRPr="0027663B">
        <w:t xml:space="preserve"> </w:t>
      </w:r>
    </w:p>
    <w:p w14:paraId="400BBE22" w14:textId="29AF7747" w:rsidR="005361B2" w:rsidRDefault="0027663B" w:rsidP="00D027B1">
      <w:pPr>
        <w:jc w:val="both"/>
      </w:pPr>
      <w:r>
        <w:t>MED12 es un c</w:t>
      </w:r>
      <w:r w:rsidRPr="00A51E5B">
        <w:t xml:space="preserve">omponente del </w:t>
      </w:r>
      <w:r w:rsidRPr="00852A0B">
        <w:rPr>
          <w:b/>
          <w:bCs/>
        </w:rPr>
        <w:t>complejo Mediator</w:t>
      </w:r>
      <w:r w:rsidRPr="00A51E5B">
        <w:t xml:space="preserve">, un coactivador involucrado en la transcripción regulada de casi todos los genes dependientes de la ARN polimerasa II. </w:t>
      </w:r>
      <w:r w:rsidRPr="00BA2A8E">
        <w:t xml:space="preserve">Esta subunidad puede regular específicamente la transcripción de dianas de las vías de </w:t>
      </w:r>
      <w:r w:rsidRPr="00852A0B">
        <w:rPr>
          <w:b/>
          <w:bCs/>
        </w:rPr>
        <w:t xml:space="preserve">señalización </w:t>
      </w:r>
      <w:proofErr w:type="spellStart"/>
      <w:r w:rsidRPr="00852A0B">
        <w:rPr>
          <w:b/>
          <w:bCs/>
        </w:rPr>
        <w:t>Wnt</w:t>
      </w:r>
      <w:proofErr w:type="spellEnd"/>
      <w:r w:rsidRPr="00852A0B">
        <w:rPr>
          <w:b/>
          <w:bCs/>
        </w:rPr>
        <w:t xml:space="preserve"> y SHH</w:t>
      </w:r>
      <w:r w:rsidR="00E00D37">
        <w:rPr>
          <w:b/>
          <w:bCs/>
        </w:rPr>
        <w:t xml:space="preserve"> (</w:t>
      </w:r>
      <w:r w:rsidR="00E00D37" w:rsidRPr="00E00D37">
        <w:rPr>
          <w:b/>
          <w:bCs/>
        </w:rPr>
        <w:t xml:space="preserve">Sonic </w:t>
      </w:r>
      <w:proofErr w:type="spellStart"/>
      <w:r w:rsidR="00E00D37" w:rsidRPr="00E00D37">
        <w:rPr>
          <w:b/>
          <w:bCs/>
        </w:rPr>
        <w:t>Hedgehog</w:t>
      </w:r>
      <w:proofErr w:type="spellEnd"/>
      <w:r w:rsidR="00E00D37">
        <w:rPr>
          <w:b/>
          <w:bCs/>
        </w:rPr>
        <w:t>)</w:t>
      </w:r>
      <w:r>
        <w:t>. Según un estudio, el m</w:t>
      </w:r>
      <w:r w:rsidRPr="00494D60">
        <w:t xml:space="preserve">ediator transduce las señales de </w:t>
      </w:r>
      <w:proofErr w:type="spellStart"/>
      <w:r w:rsidRPr="00494D60">
        <w:t>Wnt</w:t>
      </w:r>
      <w:proofErr w:type="spellEnd"/>
      <w:r w:rsidRPr="00494D60">
        <w:t xml:space="preserve"> a través de una interacción funcional entre la </w:t>
      </w:r>
      <w:r w:rsidRPr="00852A0B">
        <w:rPr>
          <w:b/>
          <w:bCs/>
        </w:rPr>
        <w:t>β-catenina</w:t>
      </w:r>
      <w:r w:rsidRPr="00494D60">
        <w:t xml:space="preserve"> y su interfaz </w:t>
      </w:r>
      <w:r w:rsidRPr="00494D60">
        <w:lastRenderedPageBreak/>
        <w:t>MED12</w:t>
      </w:r>
      <w:r>
        <w:t>, permitiendo la correcta diferenciación y desarrollo de tejidos</w:t>
      </w:r>
      <w:r w:rsidRPr="00494D60">
        <w:t>.</w:t>
      </w:r>
      <w:r w:rsidRPr="004A7E29">
        <w:t xml:space="preserve"> </w:t>
      </w:r>
      <w:r>
        <w:t>(</w:t>
      </w:r>
      <w:hyperlink r:id="rId6" w:history="1">
        <w:r w:rsidRPr="004452F3">
          <w:rPr>
            <w:rStyle w:val="Hipervnculo"/>
          </w:rPr>
          <w:t>https://www.jbc.org/article/S0021-9258(20)78049-X/fulltext</w:t>
        </w:r>
      </w:hyperlink>
      <w:r>
        <w:t>)</w:t>
      </w:r>
    </w:p>
    <w:p w14:paraId="72DB218C" w14:textId="3EC23AB6" w:rsidR="00431AA1" w:rsidRDefault="00725E1F" w:rsidP="00D027B1">
      <w:pPr>
        <w:jc w:val="both"/>
      </w:pPr>
      <w:r>
        <w:t xml:space="preserve">Según la plataforma KEGG </w:t>
      </w:r>
      <w:r w:rsidR="00F7481F">
        <w:t>encontramos que</w:t>
      </w:r>
      <w:r>
        <w:t xml:space="preserve"> MED12 </w:t>
      </w:r>
      <w:r w:rsidR="00335CFD">
        <w:t>(</w:t>
      </w:r>
      <w:r w:rsidR="00673C4D">
        <w:t xml:space="preserve">aparece como </w:t>
      </w:r>
      <w:proofErr w:type="spellStart"/>
      <w:r w:rsidR="00673C4D">
        <w:t>TRAPs</w:t>
      </w:r>
      <w:proofErr w:type="spellEnd"/>
      <w:r w:rsidR="00673C4D">
        <w:t xml:space="preserve"> </w:t>
      </w:r>
      <w:r w:rsidR="00673C4D">
        <w:sym w:font="Wingdings" w:char="F0E0"/>
      </w:r>
      <w:r w:rsidR="00673C4D">
        <w:t xml:space="preserve"> </w:t>
      </w:r>
      <w:proofErr w:type="spellStart"/>
      <w:r w:rsidR="00F7481F" w:rsidRPr="00F7481F">
        <w:rPr>
          <w:i/>
          <w:iCs/>
        </w:rPr>
        <w:t>Thyroid</w:t>
      </w:r>
      <w:proofErr w:type="spellEnd"/>
      <w:r w:rsidR="00F7481F" w:rsidRPr="00F7481F">
        <w:rPr>
          <w:i/>
          <w:iCs/>
        </w:rPr>
        <w:t xml:space="preserve"> Hormone Receptor-</w:t>
      </w:r>
      <w:proofErr w:type="spellStart"/>
      <w:r w:rsidR="00F7481F" w:rsidRPr="00F7481F">
        <w:rPr>
          <w:i/>
          <w:iCs/>
        </w:rPr>
        <w:t>Associated</w:t>
      </w:r>
      <w:proofErr w:type="spellEnd"/>
      <w:r w:rsidR="00F7481F" w:rsidRPr="00F7481F">
        <w:rPr>
          <w:i/>
          <w:iCs/>
        </w:rPr>
        <w:t xml:space="preserve"> </w:t>
      </w:r>
      <w:proofErr w:type="spellStart"/>
      <w:r w:rsidR="00F7481F" w:rsidRPr="00F7481F">
        <w:rPr>
          <w:i/>
          <w:iCs/>
        </w:rPr>
        <w:t>Proteins</w:t>
      </w:r>
      <w:proofErr w:type="spellEnd"/>
      <w:r w:rsidR="00335CFD">
        <w:t xml:space="preserve">) </w:t>
      </w:r>
      <w:r>
        <w:t xml:space="preserve">participa en 1 sola ruta metabólica, la </w:t>
      </w:r>
      <w:r w:rsidR="00F51052">
        <w:t xml:space="preserve">vía de </w:t>
      </w:r>
      <w:r w:rsidR="00646D73" w:rsidRPr="00852A0B">
        <w:rPr>
          <w:b/>
          <w:bCs/>
        </w:rPr>
        <w:t>señalización de la hormona tiroidea</w:t>
      </w:r>
      <w:r w:rsidR="007658C4">
        <w:t xml:space="preserve"> (identificador </w:t>
      </w:r>
      <w:r w:rsidR="00C6485F" w:rsidRPr="00C6485F">
        <w:t>map04919</w:t>
      </w:r>
      <w:r w:rsidR="00C6485F">
        <w:t>).</w:t>
      </w:r>
      <w:r w:rsidR="006C5B6D">
        <w:t xml:space="preserve"> </w:t>
      </w:r>
      <w:r w:rsidR="00824E2F">
        <w:t xml:space="preserve">El tiroides tiene una función muy </w:t>
      </w:r>
      <w:r w:rsidR="0027663B">
        <w:t>importante</w:t>
      </w:r>
      <w:r w:rsidR="00824E2F">
        <w:t xml:space="preserve"> en el control del metabolismo, relacion</w:t>
      </w:r>
      <w:r w:rsidR="009F38E0">
        <w:t>án</w:t>
      </w:r>
      <w:r w:rsidR="00824E2F">
        <w:t>do</w:t>
      </w:r>
      <w:r w:rsidR="009F38E0">
        <w:t>lo</w:t>
      </w:r>
      <w:r w:rsidR="00824E2F">
        <w:t xml:space="preserve"> directamente con la obesidad. Sin embargo, </w:t>
      </w:r>
      <w:r w:rsidR="009F38E0">
        <w:t>la ausencia de efectos en el cambio detectado en la proteína indica</w:t>
      </w:r>
      <w:r w:rsidR="00A57798">
        <w:t xml:space="preserve"> que </w:t>
      </w:r>
      <w:r w:rsidR="001D7E3D">
        <w:t xml:space="preserve">nuestra variante </w:t>
      </w:r>
      <w:r w:rsidR="00A57798">
        <w:t>no</w:t>
      </w:r>
      <w:r w:rsidR="00384DA7">
        <w:t xml:space="preserve"> influye en dicho proceso. </w:t>
      </w:r>
    </w:p>
    <w:p w14:paraId="65C1628F" w14:textId="3A6FECC5" w:rsidR="000051BE" w:rsidRDefault="00384DA7" w:rsidP="00D027B1">
      <w:pPr>
        <w:jc w:val="both"/>
      </w:pPr>
      <w:r>
        <w:t xml:space="preserve">Otras variaciones </w:t>
      </w:r>
      <w:r w:rsidR="009F38E0">
        <w:t xml:space="preserve">localizadas en otros aminoácidos </w:t>
      </w:r>
      <w:r w:rsidR="00E41F82">
        <w:t xml:space="preserve">en esa proteína si producen efectos graves derivando a </w:t>
      </w:r>
      <w:r w:rsidR="00331E1D">
        <w:t>enfermedades</w:t>
      </w:r>
      <w:r w:rsidR="00E41F82">
        <w:t xml:space="preserve"> como el </w:t>
      </w:r>
      <w:r w:rsidR="001D7E3D">
        <w:t>s</w:t>
      </w:r>
      <w:r w:rsidR="00256448" w:rsidRPr="00256448">
        <w:t>índrome de Opitz-</w:t>
      </w:r>
      <w:proofErr w:type="spellStart"/>
      <w:r w:rsidR="00256448" w:rsidRPr="00256448">
        <w:t>Kaveggia</w:t>
      </w:r>
      <w:proofErr w:type="spellEnd"/>
      <w:r w:rsidR="00256448" w:rsidRPr="00256448">
        <w:t xml:space="preserve"> (OKS)</w:t>
      </w:r>
      <w:r w:rsidR="007B55B6">
        <w:t xml:space="preserve">, trastorno del desarrollo del </w:t>
      </w:r>
      <w:r w:rsidR="007B55B6" w:rsidRPr="007B55B6">
        <w:t>tipo Luján-</w:t>
      </w:r>
      <w:proofErr w:type="spellStart"/>
      <w:r w:rsidR="007B55B6" w:rsidRPr="007B55B6">
        <w:t>Fryns</w:t>
      </w:r>
      <w:proofErr w:type="spellEnd"/>
      <w:r w:rsidR="007B55B6" w:rsidRPr="007B55B6">
        <w:t xml:space="preserve"> (MRXSLF)</w:t>
      </w:r>
      <w:r w:rsidR="007B55B6">
        <w:t xml:space="preserve"> o </w:t>
      </w:r>
      <w:r w:rsidR="00E935B8">
        <w:t>el s</w:t>
      </w:r>
      <w:r w:rsidR="00E935B8" w:rsidRPr="00E935B8">
        <w:t xml:space="preserve">índrome de </w:t>
      </w:r>
      <w:proofErr w:type="spellStart"/>
      <w:r w:rsidR="00E935B8" w:rsidRPr="00E935B8">
        <w:t>Ohdo</w:t>
      </w:r>
      <w:proofErr w:type="spellEnd"/>
      <w:r w:rsidR="00E935B8">
        <w:t xml:space="preserve">, entre otros. </w:t>
      </w:r>
    </w:p>
    <w:p w14:paraId="2820D0F6" w14:textId="2F84B529" w:rsidR="00DA3428" w:rsidRDefault="00335CFD" w:rsidP="00DE63BB">
      <w:pPr>
        <w:spacing w:after="0" w:line="240" w:lineRule="auto"/>
        <w:jc w:val="center"/>
      </w:pPr>
      <w:r>
        <w:rPr>
          <w:noProof/>
        </w:rPr>
        <w:drawing>
          <wp:inline distT="0" distB="0" distL="0" distR="0" wp14:anchorId="1126AD74" wp14:editId="7957D503">
            <wp:extent cx="5400040" cy="3127375"/>
            <wp:effectExtent l="0" t="0" r="0" b="0"/>
            <wp:docPr id="552544122" name="Imagen 2"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44122" name="Imagen 2" descr="Diagrama, Dibujo de ingeniería&#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3127375"/>
                    </a:xfrm>
                    <a:prstGeom prst="rect">
                      <a:avLst/>
                    </a:prstGeom>
                  </pic:spPr>
                </pic:pic>
              </a:graphicData>
            </a:graphic>
          </wp:inline>
        </w:drawing>
      </w:r>
    </w:p>
    <w:p w14:paraId="4EB5FBFC" w14:textId="77777777" w:rsidR="005361B2" w:rsidRDefault="005361B2" w:rsidP="00DE63BB">
      <w:pPr>
        <w:spacing w:line="240" w:lineRule="auto"/>
        <w:jc w:val="center"/>
      </w:pPr>
    </w:p>
    <w:p w14:paraId="3C51F28B" w14:textId="7358A847" w:rsidR="00FF2BDA" w:rsidRPr="00DE63BB" w:rsidRDefault="00436F4D" w:rsidP="00DE63BB">
      <w:pPr>
        <w:spacing w:after="0" w:line="240" w:lineRule="auto"/>
        <w:jc w:val="center"/>
      </w:pPr>
      <w:r>
        <w:rPr>
          <w:noProof/>
        </w:rPr>
        <w:drawing>
          <wp:inline distT="0" distB="0" distL="0" distR="0" wp14:anchorId="4CCB36FB" wp14:editId="6638F2AA">
            <wp:extent cx="3528060" cy="3152672"/>
            <wp:effectExtent l="0" t="0" r="0" b="0"/>
            <wp:docPr id="1262169117" name="Imagen 1" descr="Ancesto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cestor chart"/>
                    <pic:cNvPicPr>
                      <a:picLocks noChangeAspect="1" noChangeArrowheads="1"/>
                    </pic:cNvPicPr>
                  </pic:nvPicPr>
                  <pic:blipFill rotWithShape="1">
                    <a:blip r:embed="rId8">
                      <a:extLst>
                        <a:ext uri="{28A0092B-C50C-407E-A947-70E740481C1C}">
                          <a14:useLocalDpi xmlns:a14="http://schemas.microsoft.com/office/drawing/2010/main" val="0"/>
                        </a:ext>
                      </a:extLst>
                    </a:blip>
                    <a:srcRect b="2223"/>
                    <a:stretch>
                      <a:fillRect/>
                    </a:stretch>
                  </pic:blipFill>
                  <pic:spPr bwMode="auto">
                    <a:xfrm>
                      <a:off x="0" y="0"/>
                      <a:ext cx="3550531" cy="3172752"/>
                    </a:xfrm>
                    <a:prstGeom prst="rect">
                      <a:avLst/>
                    </a:prstGeom>
                    <a:noFill/>
                    <a:ln>
                      <a:noFill/>
                    </a:ln>
                    <a:extLst>
                      <a:ext uri="{53640926-AAD7-44D8-BBD7-CCE9431645EC}">
                        <a14:shadowObscured xmlns:a14="http://schemas.microsoft.com/office/drawing/2010/main"/>
                      </a:ext>
                    </a:extLst>
                  </pic:spPr>
                </pic:pic>
              </a:graphicData>
            </a:graphic>
          </wp:inline>
        </w:drawing>
      </w:r>
    </w:p>
    <w:sectPr w:rsidR="00FF2BDA" w:rsidRPr="00DE63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6F"/>
    <w:rsid w:val="000051BE"/>
    <w:rsid w:val="00015000"/>
    <w:rsid w:val="000621B3"/>
    <w:rsid w:val="000633AD"/>
    <w:rsid w:val="00067469"/>
    <w:rsid w:val="000C0AF2"/>
    <w:rsid w:val="000F0A12"/>
    <w:rsid w:val="00135320"/>
    <w:rsid w:val="00143041"/>
    <w:rsid w:val="00145B8A"/>
    <w:rsid w:val="00152A13"/>
    <w:rsid w:val="001B1C01"/>
    <w:rsid w:val="001D1A81"/>
    <w:rsid w:val="001D7E3D"/>
    <w:rsid w:val="002028C1"/>
    <w:rsid w:val="00207FED"/>
    <w:rsid w:val="002273A4"/>
    <w:rsid w:val="00236DA7"/>
    <w:rsid w:val="00256448"/>
    <w:rsid w:val="002661EB"/>
    <w:rsid w:val="00273DE7"/>
    <w:rsid w:val="0027663B"/>
    <w:rsid w:val="00292EEA"/>
    <w:rsid w:val="002E2175"/>
    <w:rsid w:val="00304795"/>
    <w:rsid w:val="00312360"/>
    <w:rsid w:val="003171EC"/>
    <w:rsid w:val="00325A17"/>
    <w:rsid w:val="00331E1D"/>
    <w:rsid w:val="00335CFD"/>
    <w:rsid w:val="00384DA7"/>
    <w:rsid w:val="00397259"/>
    <w:rsid w:val="003A5E22"/>
    <w:rsid w:val="003E5D6F"/>
    <w:rsid w:val="0041382F"/>
    <w:rsid w:val="00431AA1"/>
    <w:rsid w:val="00433C51"/>
    <w:rsid w:val="00434B8B"/>
    <w:rsid w:val="00436F4D"/>
    <w:rsid w:val="00437A72"/>
    <w:rsid w:val="00452710"/>
    <w:rsid w:val="00461D4B"/>
    <w:rsid w:val="00494D60"/>
    <w:rsid w:val="004A7E29"/>
    <w:rsid w:val="004B09DA"/>
    <w:rsid w:val="004F0CCE"/>
    <w:rsid w:val="004F570D"/>
    <w:rsid w:val="005361B2"/>
    <w:rsid w:val="00552C02"/>
    <w:rsid w:val="00565465"/>
    <w:rsid w:val="00581CEE"/>
    <w:rsid w:val="005A26AB"/>
    <w:rsid w:val="005E2862"/>
    <w:rsid w:val="006233A7"/>
    <w:rsid w:val="006375DF"/>
    <w:rsid w:val="00640199"/>
    <w:rsid w:val="00646B70"/>
    <w:rsid w:val="00646D73"/>
    <w:rsid w:val="00673C4D"/>
    <w:rsid w:val="006C5B6D"/>
    <w:rsid w:val="006D4EF5"/>
    <w:rsid w:val="006D518A"/>
    <w:rsid w:val="006E4FBA"/>
    <w:rsid w:val="006F4AD4"/>
    <w:rsid w:val="00725E1F"/>
    <w:rsid w:val="00762CCD"/>
    <w:rsid w:val="007658C4"/>
    <w:rsid w:val="00766445"/>
    <w:rsid w:val="00782E94"/>
    <w:rsid w:val="007914F6"/>
    <w:rsid w:val="00796F8C"/>
    <w:rsid w:val="007B55B6"/>
    <w:rsid w:val="0080448B"/>
    <w:rsid w:val="00810154"/>
    <w:rsid w:val="0082240E"/>
    <w:rsid w:val="00823299"/>
    <w:rsid w:val="00824E2F"/>
    <w:rsid w:val="008441ED"/>
    <w:rsid w:val="00852A0B"/>
    <w:rsid w:val="008736A6"/>
    <w:rsid w:val="00875370"/>
    <w:rsid w:val="008D22AE"/>
    <w:rsid w:val="008D427B"/>
    <w:rsid w:val="008D51A5"/>
    <w:rsid w:val="00963E3D"/>
    <w:rsid w:val="00977FB0"/>
    <w:rsid w:val="009806C0"/>
    <w:rsid w:val="00990405"/>
    <w:rsid w:val="009B5481"/>
    <w:rsid w:val="009C1900"/>
    <w:rsid w:val="009C5615"/>
    <w:rsid w:val="009D7874"/>
    <w:rsid w:val="009E2070"/>
    <w:rsid w:val="009F38E0"/>
    <w:rsid w:val="00A22F8F"/>
    <w:rsid w:val="00A32FCF"/>
    <w:rsid w:val="00A51ABE"/>
    <w:rsid w:val="00A51E5B"/>
    <w:rsid w:val="00A57798"/>
    <w:rsid w:val="00A60BB2"/>
    <w:rsid w:val="00A745FD"/>
    <w:rsid w:val="00A87B5C"/>
    <w:rsid w:val="00AC406F"/>
    <w:rsid w:val="00AC4BA3"/>
    <w:rsid w:val="00AD249F"/>
    <w:rsid w:val="00AE339A"/>
    <w:rsid w:val="00B01E66"/>
    <w:rsid w:val="00B23AE4"/>
    <w:rsid w:val="00BA2A8E"/>
    <w:rsid w:val="00BC569C"/>
    <w:rsid w:val="00BE0582"/>
    <w:rsid w:val="00BF0F53"/>
    <w:rsid w:val="00C27940"/>
    <w:rsid w:val="00C37F42"/>
    <w:rsid w:val="00C466F8"/>
    <w:rsid w:val="00C556F8"/>
    <w:rsid w:val="00C6485F"/>
    <w:rsid w:val="00C748DE"/>
    <w:rsid w:val="00C8452F"/>
    <w:rsid w:val="00C859AD"/>
    <w:rsid w:val="00D027B1"/>
    <w:rsid w:val="00D02D5E"/>
    <w:rsid w:val="00D15A86"/>
    <w:rsid w:val="00D72738"/>
    <w:rsid w:val="00D92E0F"/>
    <w:rsid w:val="00DA3428"/>
    <w:rsid w:val="00DA4F0A"/>
    <w:rsid w:val="00DB0868"/>
    <w:rsid w:val="00DD11AA"/>
    <w:rsid w:val="00DE63BB"/>
    <w:rsid w:val="00E00482"/>
    <w:rsid w:val="00E00D37"/>
    <w:rsid w:val="00E04BAD"/>
    <w:rsid w:val="00E26E3E"/>
    <w:rsid w:val="00E37A64"/>
    <w:rsid w:val="00E41F82"/>
    <w:rsid w:val="00E507C4"/>
    <w:rsid w:val="00E641A2"/>
    <w:rsid w:val="00E9189E"/>
    <w:rsid w:val="00E935B8"/>
    <w:rsid w:val="00ED0EC3"/>
    <w:rsid w:val="00EE1FD0"/>
    <w:rsid w:val="00F51052"/>
    <w:rsid w:val="00F64AEF"/>
    <w:rsid w:val="00F7462E"/>
    <w:rsid w:val="00F7481F"/>
    <w:rsid w:val="00FC0837"/>
    <w:rsid w:val="00FD1C51"/>
    <w:rsid w:val="00FD53E9"/>
    <w:rsid w:val="00FF2B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4F98B"/>
  <w15:chartTrackingRefBased/>
  <w15:docId w15:val="{367C88B5-D51D-4A4B-ADAB-C58094047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4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4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C40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40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40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40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40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40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40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40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C40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C40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40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40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40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40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40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406F"/>
    <w:rPr>
      <w:rFonts w:eastAsiaTheme="majorEastAsia" w:cstheme="majorBidi"/>
      <w:color w:val="272727" w:themeColor="text1" w:themeTint="D8"/>
    </w:rPr>
  </w:style>
  <w:style w:type="paragraph" w:styleId="Ttulo">
    <w:name w:val="Title"/>
    <w:basedOn w:val="Normal"/>
    <w:next w:val="Normal"/>
    <w:link w:val="TtuloCar"/>
    <w:uiPriority w:val="10"/>
    <w:qFormat/>
    <w:rsid w:val="00AC4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40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40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40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406F"/>
    <w:pPr>
      <w:spacing w:before="160"/>
      <w:jc w:val="center"/>
    </w:pPr>
    <w:rPr>
      <w:i/>
      <w:iCs/>
      <w:color w:val="404040" w:themeColor="text1" w:themeTint="BF"/>
    </w:rPr>
  </w:style>
  <w:style w:type="character" w:customStyle="1" w:styleId="CitaCar">
    <w:name w:val="Cita Car"/>
    <w:basedOn w:val="Fuentedeprrafopredeter"/>
    <w:link w:val="Cita"/>
    <w:uiPriority w:val="29"/>
    <w:rsid w:val="00AC406F"/>
    <w:rPr>
      <w:i/>
      <w:iCs/>
      <w:color w:val="404040" w:themeColor="text1" w:themeTint="BF"/>
    </w:rPr>
  </w:style>
  <w:style w:type="paragraph" w:styleId="Prrafodelista">
    <w:name w:val="List Paragraph"/>
    <w:basedOn w:val="Normal"/>
    <w:uiPriority w:val="34"/>
    <w:qFormat/>
    <w:rsid w:val="00AC406F"/>
    <w:pPr>
      <w:ind w:left="720"/>
      <w:contextualSpacing/>
    </w:pPr>
  </w:style>
  <w:style w:type="character" w:styleId="nfasisintenso">
    <w:name w:val="Intense Emphasis"/>
    <w:basedOn w:val="Fuentedeprrafopredeter"/>
    <w:uiPriority w:val="21"/>
    <w:qFormat/>
    <w:rsid w:val="00AC406F"/>
    <w:rPr>
      <w:i/>
      <w:iCs/>
      <w:color w:val="0F4761" w:themeColor="accent1" w:themeShade="BF"/>
    </w:rPr>
  </w:style>
  <w:style w:type="paragraph" w:styleId="Citadestacada">
    <w:name w:val="Intense Quote"/>
    <w:basedOn w:val="Normal"/>
    <w:next w:val="Normal"/>
    <w:link w:val="CitadestacadaCar"/>
    <w:uiPriority w:val="30"/>
    <w:qFormat/>
    <w:rsid w:val="00AC4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406F"/>
    <w:rPr>
      <w:i/>
      <w:iCs/>
      <w:color w:val="0F4761" w:themeColor="accent1" w:themeShade="BF"/>
    </w:rPr>
  </w:style>
  <w:style w:type="character" w:styleId="Referenciaintensa">
    <w:name w:val="Intense Reference"/>
    <w:basedOn w:val="Fuentedeprrafopredeter"/>
    <w:uiPriority w:val="32"/>
    <w:qFormat/>
    <w:rsid w:val="00AC406F"/>
    <w:rPr>
      <w:b/>
      <w:bCs/>
      <w:smallCaps/>
      <w:color w:val="0F4761" w:themeColor="accent1" w:themeShade="BF"/>
      <w:spacing w:val="5"/>
    </w:rPr>
  </w:style>
  <w:style w:type="character" w:styleId="Hipervnculo">
    <w:name w:val="Hyperlink"/>
    <w:basedOn w:val="Fuentedeprrafopredeter"/>
    <w:uiPriority w:val="99"/>
    <w:unhideWhenUsed/>
    <w:rsid w:val="00A87B5C"/>
    <w:rPr>
      <w:color w:val="467886" w:themeColor="hyperlink"/>
      <w:u w:val="single"/>
    </w:rPr>
  </w:style>
  <w:style w:type="character" w:styleId="Mencinsinresolver">
    <w:name w:val="Unresolved Mention"/>
    <w:basedOn w:val="Fuentedeprrafopredeter"/>
    <w:uiPriority w:val="99"/>
    <w:semiHidden/>
    <w:unhideWhenUsed/>
    <w:rsid w:val="00A87B5C"/>
    <w:rPr>
      <w:color w:val="605E5C"/>
      <w:shd w:val="clear" w:color="auto" w:fill="E1DFDD"/>
    </w:rPr>
  </w:style>
  <w:style w:type="paragraph" w:styleId="HTMLconformatoprevio">
    <w:name w:val="HTML Preformatted"/>
    <w:basedOn w:val="Normal"/>
    <w:link w:val="HTMLconformatoprevioCar"/>
    <w:uiPriority w:val="99"/>
    <w:semiHidden/>
    <w:unhideWhenUsed/>
    <w:rsid w:val="00292EE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292EE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tmp"/><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jbc.org/article/S0021-9258(20)78049-X/fulltext" TargetMode="External"/><Relationship Id="rId5" Type="http://schemas.openxmlformats.org/officeDocument/2006/relationships/hyperlink" Target="https://www.ncbi.nlm.nih.gov/clinvar/variation/198414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2ECB3-6E8A-4C42-B110-46CE24DD3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683</Words>
  <Characters>3758</Characters>
  <Application>Microsoft Office Word</Application>
  <DocSecurity>0</DocSecurity>
  <Lines>31</Lines>
  <Paragraphs>8</Paragraphs>
  <ScaleCrop>false</ScaleCrop>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Damián</dc:creator>
  <cp:keywords/>
  <dc:description/>
  <cp:lastModifiedBy>Paula Damián</cp:lastModifiedBy>
  <cp:revision>6</cp:revision>
  <dcterms:created xsi:type="dcterms:W3CDTF">2026-02-01T09:13:00Z</dcterms:created>
  <dcterms:modified xsi:type="dcterms:W3CDTF">2026-02-01T09:29:00Z</dcterms:modified>
</cp:coreProperties>
</file>