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B1E" w:rsidRPr="009A604B" w:rsidRDefault="00975AB3" w:rsidP="00407004">
      <w:pPr>
        <w:jc w:val="both"/>
        <w:rPr>
          <w:b/>
          <w:u w:val="single"/>
        </w:rPr>
      </w:pPr>
      <w:r w:rsidRPr="009A604B">
        <w:rPr>
          <w:b/>
          <w:u w:val="single"/>
        </w:rPr>
        <w:t xml:space="preserve">Mutación en gen </w:t>
      </w:r>
      <w:r w:rsidR="009A604B" w:rsidRPr="009A604B">
        <w:rPr>
          <w:b/>
          <w:i/>
          <w:u w:val="single"/>
        </w:rPr>
        <w:t>tp</w:t>
      </w:r>
      <w:r w:rsidRPr="009A604B">
        <w:rPr>
          <w:b/>
          <w:i/>
          <w:u w:val="single"/>
        </w:rPr>
        <w:t>53</w:t>
      </w:r>
    </w:p>
    <w:p w:rsidR="00975AB3" w:rsidRDefault="001055A4" w:rsidP="00407004">
      <w:pPr>
        <w:jc w:val="both"/>
      </w:pPr>
      <w:r>
        <w:t xml:space="preserve">La variante anotada para Abraham y Maggie Simpson en el cromosoma </w:t>
      </w:r>
      <w:r w:rsidRPr="009A604B">
        <w:rPr>
          <w:b/>
        </w:rPr>
        <w:t>17</w:t>
      </w:r>
      <w:r w:rsidR="009A604B" w:rsidRPr="009A604B">
        <w:rPr>
          <w:b/>
        </w:rPr>
        <w:t>:</w:t>
      </w:r>
      <w:r w:rsidRPr="009A604B">
        <w:rPr>
          <w:b/>
        </w:rPr>
        <w:t>7676154</w:t>
      </w:r>
      <w:r>
        <w:t xml:space="preserve">, solapa con el gen </w:t>
      </w:r>
      <w:r w:rsidRPr="009A604B">
        <w:rPr>
          <w:b/>
        </w:rPr>
        <w:t>TP53</w:t>
      </w:r>
      <w:r w:rsidR="00F230D6" w:rsidRPr="00F230D6">
        <w:t>, con coordenadas en el genoma humano hg38 17: 7668421-7687490</w:t>
      </w:r>
      <w:r w:rsidR="009505B3">
        <w:t xml:space="preserve">, </w:t>
      </w:r>
      <w:r w:rsidR="00F6224D">
        <w:t xml:space="preserve">codificado </w:t>
      </w:r>
      <w:r w:rsidR="009505B3">
        <w:t>en la hebra reversa</w:t>
      </w:r>
      <w:r>
        <w:t>.</w:t>
      </w:r>
      <w:r w:rsidR="00407004">
        <w:t xml:space="preserve"> Esta variante </w:t>
      </w:r>
      <w:r w:rsidR="008F62DB">
        <w:t>(</w:t>
      </w:r>
      <w:r w:rsidR="000A0F9C">
        <w:t xml:space="preserve">transcrito con </w:t>
      </w:r>
      <w:r w:rsidR="008F62DB">
        <w:t xml:space="preserve">código MANE </w:t>
      </w:r>
      <w:r w:rsidR="008F62DB" w:rsidRPr="00865DD9">
        <w:rPr>
          <w:bCs/>
        </w:rPr>
        <w:t>NM_000546.6</w:t>
      </w:r>
      <w:r w:rsidR="008F62DB">
        <w:t xml:space="preserve">) </w:t>
      </w:r>
      <w:r w:rsidR="00407004">
        <w:t>presenta una secuencia codificante de 2512 pares de bases, que codifica un producto de 393 amino ácidos.</w:t>
      </w:r>
    </w:p>
    <w:p w:rsidR="001055A4" w:rsidRDefault="001055A4" w:rsidP="00407004">
      <w:pPr>
        <w:jc w:val="both"/>
      </w:pPr>
      <w:r>
        <w:t xml:space="preserve">La nomenclatura de la variante en c, </w:t>
      </w:r>
      <w:r w:rsidR="000A0F9C">
        <w:t xml:space="preserve">con </w:t>
      </w:r>
      <w:r>
        <w:t xml:space="preserve">su identificador </w:t>
      </w:r>
      <w:proofErr w:type="spellStart"/>
      <w:r>
        <w:t>Ensembl</w:t>
      </w:r>
      <w:proofErr w:type="spellEnd"/>
      <w:r>
        <w:t xml:space="preserve">, es </w:t>
      </w:r>
      <w:r w:rsidRPr="009A604B">
        <w:rPr>
          <w:b/>
        </w:rPr>
        <w:t>ENST00000269305.</w:t>
      </w:r>
      <w:proofErr w:type="gramStart"/>
      <w:r w:rsidRPr="009A604B">
        <w:rPr>
          <w:b/>
        </w:rPr>
        <w:t>9:c.</w:t>
      </w:r>
      <w:proofErr w:type="gramEnd"/>
      <w:r w:rsidRPr="009A604B">
        <w:rPr>
          <w:b/>
        </w:rPr>
        <w:t>215C&gt;T</w:t>
      </w:r>
      <w:r>
        <w:t xml:space="preserve">. Se trata de una </w:t>
      </w:r>
      <w:r w:rsidRPr="009A604B">
        <w:rPr>
          <w:b/>
        </w:rPr>
        <w:t>sustitución</w:t>
      </w:r>
      <w:r>
        <w:t xml:space="preserve"> del nucleótido C a T en la posición 215 del </w:t>
      </w:r>
      <w:proofErr w:type="spellStart"/>
      <w:r>
        <w:t>cDNA</w:t>
      </w:r>
      <w:proofErr w:type="spellEnd"/>
      <w:r>
        <w:t>.</w:t>
      </w:r>
      <w:r w:rsidR="008E4A0B">
        <w:t xml:space="preserve"> Podemos deducir que tanto Abraham como Maggie son </w:t>
      </w:r>
      <w:r w:rsidR="008E4A0B" w:rsidRPr="009A604B">
        <w:rPr>
          <w:b/>
        </w:rPr>
        <w:t>heterocigotos</w:t>
      </w:r>
      <w:r w:rsidR="008E4A0B">
        <w:t xml:space="preserve"> para este </w:t>
      </w:r>
      <w:r w:rsidR="008E4A0B" w:rsidRPr="008E4A0B">
        <w:rPr>
          <w:i/>
        </w:rPr>
        <w:t>locus</w:t>
      </w:r>
      <w:r w:rsidR="008E4A0B">
        <w:t>, ya que la cobertura de ambos alelos es similar en ambos individuos</w:t>
      </w:r>
      <w:r w:rsidR="000A0F9C">
        <w:t xml:space="preserve"> para los alelos G (ancestral) y A (</w:t>
      </w:r>
      <w:proofErr w:type="spellStart"/>
      <w:r w:rsidR="000A0F9C">
        <w:t>alernativo</w:t>
      </w:r>
      <w:proofErr w:type="spellEnd"/>
      <w:r w:rsidR="000A0F9C">
        <w:t>)</w:t>
      </w:r>
      <w:r w:rsidR="008E4A0B">
        <w:t>.</w:t>
      </w:r>
      <w:r w:rsidR="009A604B">
        <w:t xml:space="preserve"> Una búsqueda en </w:t>
      </w:r>
      <w:proofErr w:type="spellStart"/>
      <w:r w:rsidR="009A604B">
        <w:t>gnomAD</w:t>
      </w:r>
      <w:proofErr w:type="spellEnd"/>
      <w:r w:rsidR="009A604B">
        <w:t xml:space="preserve"> de la variante nos indica que su frecuencia alélica global es de </w:t>
      </w:r>
      <w:r w:rsidR="009A604B" w:rsidRPr="009A604B">
        <w:t>6.197</w:t>
      </w:r>
      <w:r w:rsidR="009A604B">
        <w:t xml:space="preserve"> x 10</w:t>
      </w:r>
      <w:r w:rsidR="009A604B" w:rsidRPr="009A604B">
        <w:rPr>
          <w:vertAlign w:val="superscript"/>
        </w:rPr>
        <w:t>-7</w:t>
      </w:r>
      <w:r w:rsidR="006934DB" w:rsidRPr="006934DB">
        <w:t>,</w:t>
      </w:r>
      <w:r w:rsidR="006934DB" w:rsidRPr="009B0C1B">
        <w:t xml:space="preserve"> </w:t>
      </w:r>
      <w:r w:rsidR="006934DB">
        <w:t>como su valor es inferior al corte establecido en 1 % (10</w:t>
      </w:r>
      <w:r w:rsidR="006934DB" w:rsidRPr="006934DB">
        <w:rPr>
          <w:vertAlign w:val="superscript"/>
        </w:rPr>
        <w:t>-2</w:t>
      </w:r>
      <w:r w:rsidR="006934DB">
        <w:t xml:space="preserve">) para diferenciar entre polimorfismo y mutación, </w:t>
      </w:r>
      <w:r w:rsidR="009A604B">
        <w:t xml:space="preserve">se trata de una </w:t>
      </w:r>
      <w:r w:rsidR="009A604B" w:rsidRPr="009A604B">
        <w:rPr>
          <w:b/>
        </w:rPr>
        <w:t>mutación</w:t>
      </w:r>
      <w:r w:rsidR="009A604B">
        <w:t>.</w:t>
      </w:r>
    </w:p>
    <w:p w:rsidR="000A18F7" w:rsidRDefault="009C45E1" w:rsidP="00407004">
      <w:pPr>
        <w:jc w:val="both"/>
      </w:pPr>
      <w:r>
        <w:t xml:space="preserve">El gen codifica la proteína </w:t>
      </w:r>
      <w:r w:rsidRPr="009C45E1">
        <w:rPr>
          <w:b/>
          <w:i/>
        </w:rPr>
        <w:t>tp53</w:t>
      </w:r>
      <w:r>
        <w:t xml:space="preserve">, cuya nomenclatura en p es </w:t>
      </w:r>
      <w:r w:rsidRPr="009C45E1">
        <w:rPr>
          <w:b/>
        </w:rPr>
        <w:t>ENSP00000269305.</w:t>
      </w:r>
      <w:proofErr w:type="gramStart"/>
      <w:r w:rsidRPr="009C45E1">
        <w:rPr>
          <w:b/>
        </w:rPr>
        <w:t>4:p</w:t>
      </w:r>
      <w:proofErr w:type="gramEnd"/>
      <w:r w:rsidRPr="009C45E1">
        <w:rPr>
          <w:b/>
        </w:rPr>
        <w:t>.Pro72Leu</w:t>
      </w:r>
      <w:r>
        <w:t xml:space="preserve">, con su identificador de </w:t>
      </w:r>
      <w:proofErr w:type="spellStart"/>
      <w:r>
        <w:t>Ensembl</w:t>
      </w:r>
      <w:proofErr w:type="spellEnd"/>
      <w:r>
        <w:t xml:space="preserve">, haciendo referencia a la sustitución de la prolina en posición 72 por una leucina en la </w:t>
      </w:r>
      <w:r w:rsidR="002966BF">
        <w:t>variante proteica</w:t>
      </w:r>
      <w:r w:rsidR="00C301CF">
        <w:t xml:space="preserve">, que provoca una </w:t>
      </w:r>
      <w:r w:rsidR="00C301CF" w:rsidRPr="00C301CF">
        <w:rPr>
          <w:b/>
        </w:rPr>
        <w:t xml:space="preserve">variante </w:t>
      </w:r>
      <w:proofErr w:type="spellStart"/>
      <w:r w:rsidR="00C301CF" w:rsidRPr="00C301CF">
        <w:rPr>
          <w:b/>
          <w:i/>
        </w:rPr>
        <w:t>missense</w:t>
      </w:r>
      <w:proofErr w:type="spellEnd"/>
      <w:r>
        <w:t>.</w:t>
      </w:r>
    </w:p>
    <w:p w:rsidR="004D30C9" w:rsidRDefault="004D30C9" w:rsidP="00407004">
      <w:pPr>
        <w:jc w:val="both"/>
        <w:rPr>
          <w:bCs/>
        </w:rPr>
      </w:pPr>
      <w:r w:rsidRPr="004D30C9">
        <w:rPr>
          <w:bCs/>
        </w:rPr>
        <w:t xml:space="preserve">Las predicciones de patogenicidad de las bases de datos SIFT y </w:t>
      </w:r>
      <w:proofErr w:type="spellStart"/>
      <w:r w:rsidRPr="004D30C9">
        <w:rPr>
          <w:bCs/>
        </w:rPr>
        <w:t>PolyPhen</w:t>
      </w:r>
      <w:proofErr w:type="spellEnd"/>
      <w:r w:rsidRPr="004D30C9">
        <w:rPr>
          <w:bCs/>
        </w:rPr>
        <w:t xml:space="preserve"> nos muestran puntuaciones de </w:t>
      </w:r>
      <w:r w:rsidRPr="004D30C9">
        <w:rPr>
          <w:b/>
          <w:bCs/>
        </w:rPr>
        <w:t>0.13</w:t>
      </w:r>
      <w:r w:rsidRPr="004D30C9">
        <w:rPr>
          <w:bCs/>
        </w:rPr>
        <w:t xml:space="preserve"> y </w:t>
      </w:r>
      <w:r w:rsidRPr="004D30C9">
        <w:rPr>
          <w:b/>
          <w:bCs/>
        </w:rPr>
        <w:t>0.003</w:t>
      </w:r>
      <w:r w:rsidRPr="004D30C9">
        <w:rPr>
          <w:bCs/>
        </w:rPr>
        <w:t xml:space="preserve">, respectivamente, lo que se traduce en niveles de patogenicidad de </w:t>
      </w:r>
      <w:r w:rsidRPr="004D30C9">
        <w:rPr>
          <w:b/>
          <w:bCs/>
        </w:rPr>
        <w:t>tolerable</w:t>
      </w:r>
      <w:r w:rsidRPr="004D30C9">
        <w:rPr>
          <w:bCs/>
        </w:rPr>
        <w:t xml:space="preserve"> y </w:t>
      </w:r>
      <w:r w:rsidRPr="004D30C9">
        <w:rPr>
          <w:b/>
          <w:bCs/>
        </w:rPr>
        <w:t>benigna</w:t>
      </w:r>
      <w:r w:rsidRPr="004D30C9">
        <w:rPr>
          <w:bCs/>
        </w:rPr>
        <w:t>, respectivamente.</w:t>
      </w:r>
      <w:r w:rsidR="00A553CF">
        <w:rPr>
          <w:bCs/>
        </w:rPr>
        <w:t xml:space="preserve"> Realizando una búsqueda con </w:t>
      </w:r>
      <w:proofErr w:type="spellStart"/>
      <w:r w:rsidR="00A553CF">
        <w:rPr>
          <w:bCs/>
        </w:rPr>
        <w:t>BLAST</w:t>
      </w:r>
      <w:r w:rsidR="00CC025B">
        <w:rPr>
          <w:bCs/>
        </w:rPr>
        <w:t>x</w:t>
      </w:r>
      <w:proofErr w:type="spellEnd"/>
      <w:r w:rsidR="00A553CF">
        <w:rPr>
          <w:bCs/>
        </w:rPr>
        <w:t xml:space="preserve"> de nuestra variante </w:t>
      </w:r>
      <w:r w:rsidR="00865DD9">
        <w:rPr>
          <w:bCs/>
        </w:rPr>
        <w:t>(</w:t>
      </w:r>
      <w:r w:rsidR="00865DD9" w:rsidRPr="00865DD9">
        <w:rPr>
          <w:bCs/>
        </w:rPr>
        <w:t>NM_000546.6</w:t>
      </w:r>
      <w:r w:rsidR="00865DD9">
        <w:rPr>
          <w:bCs/>
        </w:rPr>
        <w:t xml:space="preserve">) </w:t>
      </w:r>
      <w:r w:rsidR="00A553CF">
        <w:rPr>
          <w:bCs/>
        </w:rPr>
        <w:t xml:space="preserve">contra la base de datos </w:t>
      </w:r>
      <w:r w:rsidR="00CC025B">
        <w:rPr>
          <w:bCs/>
        </w:rPr>
        <w:t>de proteínas</w:t>
      </w:r>
      <w:r w:rsidR="00A553CF">
        <w:rPr>
          <w:bCs/>
        </w:rPr>
        <w:t xml:space="preserve"> </w:t>
      </w:r>
      <w:proofErr w:type="spellStart"/>
      <w:r w:rsidR="00560357">
        <w:rPr>
          <w:bCs/>
        </w:rPr>
        <w:t>UniprotKB</w:t>
      </w:r>
      <w:proofErr w:type="spellEnd"/>
      <w:r w:rsidR="00560357">
        <w:rPr>
          <w:bCs/>
        </w:rPr>
        <w:t>, con resu</w:t>
      </w:r>
      <w:r w:rsidR="009B0C1B">
        <w:rPr>
          <w:bCs/>
        </w:rPr>
        <w:t>l</w:t>
      </w:r>
      <w:r w:rsidR="00560357">
        <w:rPr>
          <w:bCs/>
        </w:rPr>
        <w:t>ta</w:t>
      </w:r>
      <w:r w:rsidR="009B0C1B">
        <w:rPr>
          <w:bCs/>
        </w:rPr>
        <w:t>do</w:t>
      </w:r>
      <w:r w:rsidR="00560357">
        <w:rPr>
          <w:bCs/>
        </w:rPr>
        <w:t>s</w:t>
      </w:r>
      <w:r w:rsidR="00CC025B">
        <w:rPr>
          <w:bCs/>
        </w:rPr>
        <w:t xml:space="preserve"> </w:t>
      </w:r>
      <w:r w:rsidR="00A553CF">
        <w:rPr>
          <w:bCs/>
        </w:rPr>
        <w:t>restringid</w:t>
      </w:r>
      <w:r w:rsidR="00560357">
        <w:rPr>
          <w:bCs/>
        </w:rPr>
        <w:t>os</w:t>
      </w:r>
      <w:r w:rsidR="00A553CF">
        <w:rPr>
          <w:bCs/>
        </w:rPr>
        <w:t xml:space="preserve"> a vertebrados, </w:t>
      </w:r>
      <w:r w:rsidR="00F5256F">
        <w:rPr>
          <w:bCs/>
        </w:rPr>
        <w:t xml:space="preserve">recuperamos varias secuencias ortólogas del gen TP53 en </w:t>
      </w:r>
      <w:r w:rsidR="00560357">
        <w:rPr>
          <w:bCs/>
        </w:rPr>
        <w:t xml:space="preserve">varias </w:t>
      </w:r>
      <w:r w:rsidR="00F5256F">
        <w:rPr>
          <w:bCs/>
        </w:rPr>
        <w:t>especies de vertebrados.</w:t>
      </w:r>
      <w:r w:rsidR="00560357">
        <w:rPr>
          <w:bCs/>
        </w:rPr>
        <w:t xml:space="preserve"> El alineamiento en CLUSTAL omega </w:t>
      </w:r>
      <w:r w:rsidR="00FD58A8">
        <w:rPr>
          <w:bCs/>
        </w:rPr>
        <w:t xml:space="preserve">revela una </w:t>
      </w:r>
      <w:r w:rsidR="00FD58A8" w:rsidRPr="004A2A1A">
        <w:rPr>
          <w:b/>
          <w:bCs/>
        </w:rPr>
        <w:t xml:space="preserve">alta conservación </w:t>
      </w:r>
      <w:r w:rsidR="00F557D8">
        <w:rPr>
          <w:b/>
          <w:bCs/>
        </w:rPr>
        <w:t xml:space="preserve">de la secuencia </w:t>
      </w:r>
      <w:r w:rsidR="00FD58A8" w:rsidRPr="004A2A1A">
        <w:rPr>
          <w:b/>
          <w:bCs/>
        </w:rPr>
        <w:t>en vertebrados</w:t>
      </w:r>
      <w:r w:rsidR="00B8067E">
        <w:rPr>
          <w:bCs/>
        </w:rPr>
        <w:t xml:space="preserve">, sin embargo, la posición 72 de la proteína </w:t>
      </w:r>
      <w:r w:rsidR="00B8067E" w:rsidRPr="004A2A1A">
        <w:rPr>
          <w:b/>
          <w:bCs/>
        </w:rPr>
        <w:t>no parece estar en una región altamente conservada</w:t>
      </w:r>
      <w:r w:rsidR="00B8067E">
        <w:rPr>
          <w:bCs/>
        </w:rPr>
        <w:t xml:space="preserve">, por lo que esta mutación puede tener </w:t>
      </w:r>
      <w:r w:rsidR="00B8067E" w:rsidRPr="00E00777">
        <w:rPr>
          <w:b/>
          <w:bCs/>
        </w:rPr>
        <w:t>consecuencias de bajo riesgo</w:t>
      </w:r>
      <w:r w:rsidR="00B8067E">
        <w:rPr>
          <w:bCs/>
        </w:rPr>
        <w:t>.</w:t>
      </w:r>
      <w:r w:rsidR="00E1149C">
        <w:rPr>
          <w:bCs/>
        </w:rPr>
        <w:t xml:space="preserve"> Rastreando la proteína TP53 de humano </w:t>
      </w:r>
      <w:r w:rsidR="00DC3090">
        <w:rPr>
          <w:bCs/>
        </w:rPr>
        <w:t>(</w:t>
      </w:r>
      <w:r w:rsidR="00E1149C">
        <w:rPr>
          <w:bCs/>
        </w:rPr>
        <w:t xml:space="preserve">identificador </w:t>
      </w:r>
      <w:r w:rsidR="00E1149C" w:rsidRPr="00E1149C">
        <w:rPr>
          <w:bCs/>
        </w:rPr>
        <w:t>P04637.4</w:t>
      </w:r>
      <w:r w:rsidR="00DC3090">
        <w:rPr>
          <w:bCs/>
        </w:rPr>
        <w:t>)</w:t>
      </w:r>
      <w:r w:rsidR="00E1149C">
        <w:rPr>
          <w:bCs/>
        </w:rPr>
        <w:t xml:space="preserve"> en </w:t>
      </w:r>
      <w:proofErr w:type="spellStart"/>
      <w:r w:rsidR="00E1149C">
        <w:rPr>
          <w:bCs/>
        </w:rPr>
        <w:t>UniProtKB</w:t>
      </w:r>
      <w:proofErr w:type="spellEnd"/>
      <w:r w:rsidR="00E1149C">
        <w:rPr>
          <w:bCs/>
        </w:rPr>
        <w:t xml:space="preserve">, observamos que </w:t>
      </w:r>
      <w:r w:rsidR="004F0CD8">
        <w:rPr>
          <w:bCs/>
        </w:rPr>
        <w:t xml:space="preserve">la mutación se encuentra en una </w:t>
      </w:r>
      <w:r w:rsidR="004F0CD8" w:rsidRPr="00E00777">
        <w:rPr>
          <w:b/>
          <w:bCs/>
        </w:rPr>
        <w:t>región desordenada</w:t>
      </w:r>
      <w:r w:rsidR="004F0CD8">
        <w:rPr>
          <w:bCs/>
        </w:rPr>
        <w:t xml:space="preserve"> cerca del extremo N-terminal de la proteína</w:t>
      </w:r>
      <w:r w:rsidR="00AE2E86">
        <w:rPr>
          <w:bCs/>
        </w:rPr>
        <w:t xml:space="preserve">: en la base de datos de dominios </w:t>
      </w:r>
      <w:proofErr w:type="spellStart"/>
      <w:r w:rsidR="00AE2E86">
        <w:rPr>
          <w:bCs/>
        </w:rPr>
        <w:t>InterPro</w:t>
      </w:r>
      <w:proofErr w:type="spellEnd"/>
      <w:r w:rsidR="00F77499">
        <w:rPr>
          <w:bCs/>
        </w:rPr>
        <w:t xml:space="preserve"> (identificador </w:t>
      </w:r>
      <w:r w:rsidR="00F77499" w:rsidRPr="00F77499">
        <w:rPr>
          <w:bCs/>
        </w:rPr>
        <w:t>P04637</w:t>
      </w:r>
      <w:r w:rsidR="00F77499">
        <w:rPr>
          <w:bCs/>
        </w:rPr>
        <w:t>)</w:t>
      </w:r>
      <w:r w:rsidR="00AE2E86">
        <w:rPr>
          <w:bCs/>
        </w:rPr>
        <w:t>, confirmamos que hay una variante en la posición 72 (con mutación de prolina a leucina) que solapa con esta región desordenada</w:t>
      </w:r>
      <w:r w:rsidR="004F0CD8">
        <w:rPr>
          <w:bCs/>
        </w:rPr>
        <w:t>.</w:t>
      </w:r>
      <w:r w:rsidR="00E00777">
        <w:rPr>
          <w:bCs/>
        </w:rPr>
        <w:t xml:space="preserve"> Las sustituciones de prolina conllevan cambios conformacionales de proteínas, ya que este aminoácido presenta </w:t>
      </w:r>
      <w:r w:rsidR="004A1CD1">
        <w:rPr>
          <w:bCs/>
        </w:rPr>
        <w:t>el</w:t>
      </w:r>
      <w:r w:rsidR="00E00777">
        <w:rPr>
          <w:bCs/>
        </w:rPr>
        <w:t xml:space="preserve"> grupo amino </w:t>
      </w:r>
      <w:r w:rsidR="004A1CD1">
        <w:rPr>
          <w:bCs/>
        </w:rPr>
        <w:t xml:space="preserve">dentro de un anillo de carbonos, por lo que </w:t>
      </w:r>
      <w:r w:rsidR="00FD0852">
        <w:rPr>
          <w:bCs/>
        </w:rPr>
        <w:t>genera codos en la estructura secundaria de la proteína</w:t>
      </w:r>
      <w:r w:rsidR="00E00777">
        <w:rPr>
          <w:bCs/>
        </w:rPr>
        <w:t>.</w:t>
      </w:r>
    </w:p>
    <w:p w:rsidR="004E68E1" w:rsidRDefault="00DA481B" w:rsidP="00407004">
      <w:pPr>
        <w:jc w:val="both"/>
        <w:rPr>
          <w:bCs/>
        </w:rPr>
      </w:pPr>
      <w:r>
        <w:rPr>
          <w:bCs/>
        </w:rPr>
        <w:t xml:space="preserve">TP53 es un activador </w:t>
      </w:r>
      <w:proofErr w:type="spellStart"/>
      <w:r>
        <w:rPr>
          <w:bCs/>
        </w:rPr>
        <w:t>transcripcional</w:t>
      </w:r>
      <w:proofErr w:type="spellEnd"/>
      <w:r>
        <w:rPr>
          <w:bCs/>
        </w:rPr>
        <w:t xml:space="preserve"> de otros genes implicados en arresto celular, senescencia, y apoptosis. Por eso, las mutaciones en TP53 pueden generar que una célula dañada continúe creciendo y proliferando.</w:t>
      </w:r>
      <w:r>
        <w:rPr>
          <w:bCs/>
        </w:rPr>
        <w:t xml:space="preserve"> </w:t>
      </w:r>
      <w:proofErr w:type="gramStart"/>
      <w:r w:rsidR="00FD18A2">
        <w:rPr>
          <w:bCs/>
        </w:rPr>
        <w:t>Una</w:t>
      </w:r>
      <w:proofErr w:type="gramEnd"/>
      <w:r w:rsidR="00FD18A2">
        <w:rPr>
          <w:bCs/>
        </w:rPr>
        <w:t xml:space="preserve"> búsqueda de la variante </w:t>
      </w:r>
      <w:r w:rsidR="00FD18A2" w:rsidRPr="00FD18A2">
        <w:rPr>
          <w:bCs/>
        </w:rPr>
        <w:t>rs1042522</w:t>
      </w:r>
      <w:r w:rsidR="00FD18A2">
        <w:rPr>
          <w:bCs/>
        </w:rPr>
        <w:t xml:space="preserve"> en OMIM nos lleva a la entrada</w:t>
      </w:r>
      <w:r w:rsidR="00D04097">
        <w:rPr>
          <w:bCs/>
        </w:rPr>
        <w:t xml:space="preserve"> de TP53</w:t>
      </w:r>
      <w:r w:rsidR="008F62DB">
        <w:rPr>
          <w:bCs/>
        </w:rPr>
        <w:t>,</w:t>
      </w:r>
      <w:r w:rsidR="00FD18A2">
        <w:rPr>
          <w:bCs/>
        </w:rPr>
        <w:t xml:space="preserve"> donde se corresponde con un polimorfismo de </w:t>
      </w:r>
      <w:r w:rsidR="00F557D8">
        <w:rPr>
          <w:bCs/>
        </w:rPr>
        <w:t>este gen</w:t>
      </w:r>
      <w:r w:rsidR="00FD18A2">
        <w:rPr>
          <w:bCs/>
        </w:rPr>
        <w:t xml:space="preserve">, pero </w:t>
      </w:r>
      <w:r w:rsidR="00D04097">
        <w:rPr>
          <w:bCs/>
        </w:rPr>
        <w:t>cuya</w:t>
      </w:r>
      <w:r w:rsidR="00FD18A2">
        <w:rPr>
          <w:bCs/>
        </w:rPr>
        <w:t xml:space="preserve"> sustitución de la </w:t>
      </w:r>
      <w:r w:rsidR="00FD18A2" w:rsidRPr="008F62DB">
        <w:rPr>
          <w:b/>
          <w:bCs/>
        </w:rPr>
        <w:t>prolina es por arginina</w:t>
      </w:r>
      <w:r w:rsidR="00D04097">
        <w:rPr>
          <w:b/>
          <w:bCs/>
        </w:rPr>
        <w:t>,</w:t>
      </w:r>
      <w:r w:rsidR="008F62DB" w:rsidRPr="008F62DB">
        <w:rPr>
          <w:b/>
          <w:bCs/>
        </w:rPr>
        <w:t xml:space="preserve"> y no por leucina</w:t>
      </w:r>
      <w:r w:rsidR="008F62DB">
        <w:rPr>
          <w:bCs/>
        </w:rPr>
        <w:t>, que es nuestro caso</w:t>
      </w:r>
      <w:r w:rsidR="00F557D8">
        <w:rPr>
          <w:bCs/>
        </w:rPr>
        <w:t xml:space="preserve"> problema</w:t>
      </w:r>
      <w:r w:rsidR="00FD18A2">
        <w:rPr>
          <w:bCs/>
        </w:rPr>
        <w:t>.</w:t>
      </w:r>
      <w:r w:rsidR="00264527">
        <w:rPr>
          <w:bCs/>
        </w:rPr>
        <w:t xml:space="preserve"> </w:t>
      </w:r>
      <w:r w:rsidR="00D04097">
        <w:rPr>
          <w:bCs/>
        </w:rPr>
        <w:t xml:space="preserve">La sustitución </w:t>
      </w:r>
      <w:proofErr w:type="gramStart"/>
      <w:r w:rsidR="00D04097">
        <w:rPr>
          <w:bCs/>
        </w:rPr>
        <w:t>p</w:t>
      </w:r>
      <w:r w:rsidR="00AF7EB2">
        <w:rPr>
          <w:bCs/>
        </w:rPr>
        <w:t>.</w:t>
      </w:r>
      <w:r w:rsidR="00D04097">
        <w:rPr>
          <w:bCs/>
        </w:rPr>
        <w:t>Pro</w:t>
      </w:r>
      <w:proofErr w:type="gramEnd"/>
      <w:r w:rsidR="00D04097">
        <w:rPr>
          <w:bCs/>
        </w:rPr>
        <w:t xml:space="preserve">72Arg está asociada con el </w:t>
      </w:r>
      <w:r w:rsidR="00D04097" w:rsidRPr="00A91B1F">
        <w:rPr>
          <w:b/>
          <w:bCs/>
        </w:rPr>
        <w:t>síndrome de Li-</w:t>
      </w:r>
      <w:proofErr w:type="spellStart"/>
      <w:r w:rsidR="00D04097" w:rsidRPr="00A91B1F">
        <w:rPr>
          <w:b/>
          <w:bCs/>
        </w:rPr>
        <w:t>Fraumeni</w:t>
      </w:r>
      <w:proofErr w:type="spellEnd"/>
      <w:r w:rsidR="00D04097">
        <w:rPr>
          <w:bCs/>
        </w:rPr>
        <w:t xml:space="preserve">, con código MIM </w:t>
      </w:r>
      <w:r w:rsidR="00D04097" w:rsidRPr="00D04097">
        <w:rPr>
          <w:b/>
          <w:bCs/>
        </w:rPr>
        <w:t># 151623</w:t>
      </w:r>
      <w:r w:rsidR="00D04097">
        <w:rPr>
          <w:bCs/>
        </w:rPr>
        <w:t xml:space="preserve">, que incluye una serie de síndromes de herencia de </w:t>
      </w:r>
      <w:r w:rsidR="001C36A8">
        <w:rPr>
          <w:bCs/>
        </w:rPr>
        <w:t xml:space="preserve">tipos de </w:t>
      </w:r>
      <w:r w:rsidR="00D04097">
        <w:rPr>
          <w:bCs/>
        </w:rPr>
        <w:t>cáncer clínica y genéticamente heterogéneos</w:t>
      </w:r>
      <w:r w:rsidR="00617A58">
        <w:rPr>
          <w:bCs/>
        </w:rPr>
        <w:t xml:space="preserve">, </w:t>
      </w:r>
      <w:r w:rsidR="001C36A8">
        <w:rPr>
          <w:bCs/>
        </w:rPr>
        <w:t>pudiendo producir</w:t>
      </w:r>
      <w:r w:rsidR="00617A58">
        <w:rPr>
          <w:bCs/>
        </w:rPr>
        <w:t xml:space="preserve"> la generación de sarcomas y </w:t>
      </w:r>
      <w:proofErr w:type="spellStart"/>
      <w:r w:rsidR="00617A58">
        <w:rPr>
          <w:bCs/>
        </w:rPr>
        <w:t>osteosarcomas</w:t>
      </w:r>
      <w:proofErr w:type="spellEnd"/>
      <w:r w:rsidR="00617A58">
        <w:rPr>
          <w:bCs/>
        </w:rPr>
        <w:t xml:space="preserve"> en diversos tejidos. Su patrón de herencia es </w:t>
      </w:r>
      <w:r w:rsidR="004860AF">
        <w:rPr>
          <w:b/>
          <w:bCs/>
        </w:rPr>
        <w:t>autosómico</w:t>
      </w:r>
      <w:r w:rsidR="00617A58" w:rsidRPr="00617A58">
        <w:rPr>
          <w:b/>
          <w:bCs/>
        </w:rPr>
        <w:t xml:space="preserve"> dominante</w:t>
      </w:r>
      <w:r w:rsidR="00D04097">
        <w:rPr>
          <w:bCs/>
        </w:rPr>
        <w:t>.</w:t>
      </w:r>
      <w:r w:rsidRPr="00DA481B">
        <w:rPr>
          <w:bCs/>
        </w:rPr>
        <w:t xml:space="preserve"> </w:t>
      </w:r>
    </w:p>
    <w:p w:rsidR="00D04097" w:rsidRDefault="008A32D7" w:rsidP="00407004">
      <w:pPr>
        <w:jc w:val="both"/>
        <w:rPr>
          <w:bCs/>
        </w:rPr>
      </w:pPr>
      <w:r>
        <w:rPr>
          <w:bCs/>
        </w:rPr>
        <w:t xml:space="preserve">Una búsqueda en KEGG del gen TP53 </w:t>
      </w:r>
      <w:r w:rsidR="004D28CD">
        <w:rPr>
          <w:bCs/>
        </w:rPr>
        <w:t xml:space="preserve">nos indica que </w:t>
      </w:r>
      <w:r>
        <w:rPr>
          <w:bCs/>
        </w:rPr>
        <w:t xml:space="preserve">participa en un total de 54 rutas metabólicas, </w:t>
      </w:r>
      <w:r w:rsidR="008055E5">
        <w:rPr>
          <w:bCs/>
        </w:rPr>
        <w:t>20</w:t>
      </w:r>
      <w:r>
        <w:rPr>
          <w:bCs/>
        </w:rPr>
        <w:t xml:space="preserve"> de ellas relacionadas con algún tipo de cáncer</w:t>
      </w:r>
      <w:r w:rsidR="008055E5">
        <w:rPr>
          <w:bCs/>
        </w:rPr>
        <w:t xml:space="preserve"> o desarrollo de cáncer general</w:t>
      </w:r>
      <w:r>
        <w:rPr>
          <w:bCs/>
        </w:rPr>
        <w:t>.</w:t>
      </w:r>
      <w:r w:rsidR="008055E5">
        <w:rPr>
          <w:bCs/>
        </w:rPr>
        <w:t xml:space="preserve"> Con respecto a su relación con la obesidad, </w:t>
      </w:r>
      <w:r w:rsidR="00E340C4">
        <w:rPr>
          <w:bCs/>
        </w:rPr>
        <w:t xml:space="preserve">el gen tiene una función reconocida en la </w:t>
      </w:r>
      <w:r w:rsidR="00E340C4" w:rsidRPr="00746A7B">
        <w:rPr>
          <w:b/>
          <w:bCs/>
        </w:rPr>
        <w:t>ruta de lípidos y aterosclerosis</w:t>
      </w:r>
      <w:r w:rsidR="00E340C4">
        <w:rPr>
          <w:bCs/>
        </w:rPr>
        <w:t xml:space="preserve"> (identificador </w:t>
      </w:r>
      <w:r w:rsidR="00E340C4" w:rsidRPr="00746A7B">
        <w:rPr>
          <w:b/>
          <w:bCs/>
        </w:rPr>
        <w:t>KEGG map05417</w:t>
      </w:r>
      <w:r w:rsidR="00E340C4" w:rsidRPr="00E340C4">
        <w:rPr>
          <w:bCs/>
        </w:rPr>
        <w:t>)</w:t>
      </w:r>
      <w:r w:rsidR="00E340C4">
        <w:rPr>
          <w:bCs/>
        </w:rPr>
        <w:t xml:space="preserve">, donde podemos comprobar que cuando hay exceso de partículas LDL oxidadas, se induce la expresión de TP53 (p53 en la figura), </w:t>
      </w:r>
      <w:r w:rsidR="00570AF8">
        <w:rPr>
          <w:bCs/>
        </w:rPr>
        <w:lastRenderedPageBreak/>
        <w:t>aunque éste</w:t>
      </w:r>
      <w:r w:rsidR="00E340C4">
        <w:rPr>
          <w:bCs/>
        </w:rPr>
        <w:t xml:space="preserve"> </w:t>
      </w:r>
      <w:r w:rsidR="00DA481B">
        <w:rPr>
          <w:bCs/>
        </w:rPr>
        <w:t>se puede inducir</w:t>
      </w:r>
      <w:r w:rsidR="00E340C4">
        <w:rPr>
          <w:bCs/>
        </w:rPr>
        <w:t xml:space="preserve"> por diversas r</w:t>
      </w:r>
      <w:bookmarkStart w:id="0" w:name="_GoBack"/>
      <w:bookmarkEnd w:id="0"/>
      <w:r w:rsidR="00E340C4">
        <w:rPr>
          <w:bCs/>
        </w:rPr>
        <w:t xml:space="preserve">espuestas al estrés (incluyendo </w:t>
      </w:r>
      <w:r w:rsidR="00DA481B">
        <w:rPr>
          <w:bCs/>
        </w:rPr>
        <w:t xml:space="preserve">por daños en el </w:t>
      </w:r>
      <w:r w:rsidR="00E340C4">
        <w:rPr>
          <w:bCs/>
        </w:rPr>
        <w:t xml:space="preserve">ADN </w:t>
      </w:r>
      <w:r w:rsidR="00DA481B">
        <w:rPr>
          <w:bCs/>
        </w:rPr>
        <w:t>genómico</w:t>
      </w:r>
      <w:r w:rsidR="00E340C4">
        <w:rPr>
          <w:bCs/>
        </w:rPr>
        <w:t>, estrés oxidativo, y oncogénesis).</w:t>
      </w:r>
      <w:r w:rsidR="00570AF8">
        <w:rPr>
          <w:bCs/>
        </w:rPr>
        <w:t xml:space="preserve"> </w:t>
      </w:r>
    </w:p>
    <w:p w:rsidR="00C01395" w:rsidRDefault="00C01395" w:rsidP="00407004">
      <w:pPr>
        <w:jc w:val="both"/>
        <w:rPr>
          <w:b/>
          <w:bCs/>
        </w:rPr>
      </w:pPr>
      <w:r w:rsidRPr="00C01395">
        <w:rPr>
          <w:b/>
          <w:bCs/>
          <w:noProof/>
          <w:lang w:eastAsia="es-ES"/>
        </w:rPr>
        <w:drawing>
          <wp:inline distT="0" distB="0" distL="0" distR="0">
            <wp:extent cx="5400040" cy="2835021"/>
            <wp:effectExtent l="0" t="0" r="0" b="3810"/>
            <wp:docPr id="1" name="Imagen 1" descr="C:\Users\Ruben\Documents\Ruben\Cursos\UNIR_MasterBioinfo\Genética_clínica_y_poblaciones\ActividadGrupal\KEGG_p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uben\Documents\Ruben\Cursos\UNIR_MasterBioinfo\Genética_clínica_y_poblaciones\ActividadGrupal\KEGG_p5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35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1395" w:rsidRDefault="00C01395" w:rsidP="00407004">
      <w:pPr>
        <w:jc w:val="both"/>
        <w:rPr>
          <w:bCs/>
        </w:rPr>
      </w:pPr>
      <w:r w:rsidRPr="00C01395">
        <w:rPr>
          <w:b/>
          <w:bCs/>
        </w:rPr>
        <w:t>Figura:</w:t>
      </w:r>
      <w:r>
        <w:rPr>
          <w:bCs/>
        </w:rPr>
        <w:t xml:space="preserve"> implicación del gen TP53 (p53 en la captura) en la ruta metabólica </w:t>
      </w:r>
      <w:proofErr w:type="gramStart"/>
      <w:r>
        <w:rPr>
          <w:bCs/>
        </w:rPr>
        <w:t>de la aterosclerosis</w:t>
      </w:r>
      <w:proofErr w:type="gramEnd"/>
      <w:r>
        <w:rPr>
          <w:bCs/>
        </w:rPr>
        <w:t xml:space="preserve">. </w:t>
      </w:r>
    </w:p>
    <w:sectPr w:rsidR="00C013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7C7D54"/>
    <w:multiLevelType w:val="singleLevel"/>
    <w:tmpl w:val="31B43E44"/>
    <w:lvl w:ilvl="0">
      <w:start w:val="1"/>
      <w:numFmt w:val="bullet"/>
      <w:pStyle w:val="Vietaprimernivel"/>
      <w:lvlText w:val="▸"/>
      <w:lvlJc w:val="left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BB5"/>
    <w:rsid w:val="000A0F9C"/>
    <w:rsid w:val="000A18F7"/>
    <w:rsid w:val="001055A4"/>
    <w:rsid w:val="00136BB5"/>
    <w:rsid w:val="001C36A8"/>
    <w:rsid w:val="00264527"/>
    <w:rsid w:val="002966BF"/>
    <w:rsid w:val="00407004"/>
    <w:rsid w:val="004860AF"/>
    <w:rsid w:val="00496B2E"/>
    <w:rsid w:val="004A1CD1"/>
    <w:rsid w:val="004A2A1A"/>
    <w:rsid w:val="004D28CD"/>
    <w:rsid w:val="004D30C9"/>
    <w:rsid w:val="004E68E1"/>
    <w:rsid w:val="004F0CD8"/>
    <w:rsid w:val="00560357"/>
    <w:rsid w:val="00570AF8"/>
    <w:rsid w:val="00617A58"/>
    <w:rsid w:val="006934DB"/>
    <w:rsid w:val="006F2AEF"/>
    <w:rsid w:val="0072790F"/>
    <w:rsid w:val="00746A7B"/>
    <w:rsid w:val="00752279"/>
    <w:rsid w:val="008055E5"/>
    <w:rsid w:val="00865DD9"/>
    <w:rsid w:val="008A32D7"/>
    <w:rsid w:val="008E4A0B"/>
    <w:rsid w:val="008F62DB"/>
    <w:rsid w:val="009505B3"/>
    <w:rsid w:val="00975AB3"/>
    <w:rsid w:val="009A604B"/>
    <w:rsid w:val="009B0C1B"/>
    <w:rsid w:val="009C45E1"/>
    <w:rsid w:val="00A553CF"/>
    <w:rsid w:val="00A91B1F"/>
    <w:rsid w:val="00AE2E86"/>
    <w:rsid w:val="00AE388C"/>
    <w:rsid w:val="00AF7EB2"/>
    <w:rsid w:val="00B8067E"/>
    <w:rsid w:val="00C01395"/>
    <w:rsid w:val="00C301CF"/>
    <w:rsid w:val="00CA609B"/>
    <w:rsid w:val="00CC025B"/>
    <w:rsid w:val="00D04097"/>
    <w:rsid w:val="00DA481B"/>
    <w:rsid w:val="00DC3090"/>
    <w:rsid w:val="00E00777"/>
    <w:rsid w:val="00E1149C"/>
    <w:rsid w:val="00E15A17"/>
    <w:rsid w:val="00E340C4"/>
    <w:rsid w:val="00F230D6"/>
    <w:rsid w:val="00F5256F"/>
    <w:rsid w:val="00F557D8"/>
    <w:rsid w:val="00F6224D"/>
    <w:rsid w:val="00F77499"/>
    <w:rsid w:val="00FD0852"/>
    <w:rsid w:val="00FD18A2"/>
    <w:rsid w:val="00FD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BF6CA"/>
  <w15:chartTrackingRefBased/>
  <w15:docId w15:val="{FC4B42E4-CD9E-406C-9D36-E138CE2AC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Vietaprimernivel">
    <w:name w:val="Viñeta primer nivel"/>
    <w:basedOn w:val="Normal"/>
    <w:qFormat/>
    <w:rsid w:val="004E68E1"/>
    <w:pPr>
      <w:numPr>
        <w:numId w:val="1"/>
      </w:numPr>
      <w:spacing w:after="0" w:line="360" w:lineRule="auto"/>
      <w:ind w:left="284" w:hanging="284"/>
      <w:jc w:val="both"/>
    </w:pPr>
    <w:rPr>
      <w:rFonts w:ascii="Calibri" w:eastAsia="Times New Roman" w:hAnsi="Calibri" w:cs="Times New Roman"/>
      <w:color w:val="333333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21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</dc:creator>
  <cp:keywords/>
  <dc:description/>
  <cp:lastModifiedBy>Ruben</cp:lastModifiedBy>
  <cp:revision>52</cp:revision>
  <dcterms:created xsi:type="dcterms:W3CDTF">2026-01-31T12:52:00Z</dcterms:created>
  <dcterms:modified xsi:type="dcterms:W3CDTF">2026-01-31T16:29:00Z</dcterms:modified>
</cp:coreProperties>
</file>