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0"/>
          <w:szCs w:val="40"/>
        </w:rPr>
        <w:t xml:space="preserve">Documento de Decisiones de Limpieza</w:t>
      </w:r>
    </w:p>
    <w:p>
      <w:pPr>
        <w:spacing w:after="80"/>
      </w:pPr>
      <w:r>
        <w:rPr>
          <w:i/>
          <w:iCs/>
          <w:color w:val="595959"/>
          <w:sz w:val="24"/>
          <w:szCs w:val="24"/>
        </w:rPr>
        <w:t xml:space="preserve">Fuentes BCE — Capa Silver del pipeline de datos macroeconómicos</w:t>
      </w:r>
    </w:p>
    <w:p>
      <w:pPr>
        <w:spacing w:after="320"/>
      </w:pPr>
      <w:r>
        <w:rPr>
          <w:color w:val="808080"/>
          <w:sz w:val="20"/>
          <w:szCs w:val="20"/>
        </w:rPr>
        <w:t xml:space="preserve">Módulo: transform/bce.py  |  Fecha: junio 2026</w:t>
      </w:r>
    </w:p>
    <w:p>
      <w:pPr>
        <w:pStyle w:val="Heading1"/>
      </w:pPr>
      <w:r>
        <w:t xml:space="preserve">1. Objetivo del módulo</w:t>
      </w:r>
    </w:p>
    <w:p>
      <w:pPr>
        <w:spacing w:after="160"/>
      </w:pPr>
      <w:r>
        <w:t xml:space="preserve">Este documento describe las decisiones tomadas al construir las funciones de limpieza de transform/bce.py, que transforman cinco fuentes del Banco Central del Ecuador (BCE) desde su formato crudo (capa Bronze) hasta tablas analíticas (capa Silver) almacenadas en SQLite (pipeline_utpl.db). Cubre PIB real, PIB nominal, Valor Agregado Bruto (VAB) provincial, petróleo (WTI) y riesgo país (EMBI), e Índice de Expectativas Económicas (IEE).</w:t>
      </w:r>
    </w:p>
    <w:p>
      <w:pPr>
        <w:pStyle w:val="Heading1"/>
      </w:pPr>
      <w:r>
        <w:t xml:space="preserve">2. Resumen de las cinco tablas Silver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400"/>
        <w:gridCol w:w="2860"/>
      </w:tblGrid>
      <w:tr>
        <w:tc>
          <w:tcPr>
            <w:tcW w:type="dxa" w:w="17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Tabla Silver</w:t>
            </w:r>
          </w:p>
        </w:tc>
        <w:tc>
          <w:tcPr>
            <w:tcW w:type="dxa" w:w="2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Origen (capa Bronze)</w:t>
            </w:r>
          </w:p>
        </w:tc>
        <w:tc>
          <w:tcPr>
            <w:tcW w:type="dxa" w:w="2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Función de limpieza</w:t>
            </w:r>
          </w:p>
        </w:tc>
        <w:tc>
          <w:tcPr>
            <w:tcW w:type="dxa" w:w="28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Granularidad</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fact_macro_anual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retropolacion_1965_2024p.xlsx — hoja 'PIB pc real'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procesar_pib_constante()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Anual, 1965–2024 (PIB real per cápita)</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fact_pib_nominal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retropolacion_1965_2024p.xlsx — hoja 'PIB pc nominal' (índice 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procesar_pib_corriente()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Anual, 2000–2024 (PIB nominal per cápita, post-dolarización)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fact_indicadores_diarios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petroleo_riesgo.csv (pendiente de localizar)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limpiar_wti_embi()</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Diaria (WTI y riesgo país / EMBI)</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fact_iee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iee.csv (pendiente de localizar)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formatear_iee()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Mensual (Índice de Expectativas Económicas)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fact_vab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vab_provincial.csv (pendiente de localizar)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preparar_vab_regional()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Anual por provincia (Valor Agregado Bruto)</w:t>
            </w:r>
          </w:p>
        </w:tc>
      </w:tr>
    </w:tbl>
    <w:p>
      <w:pPr>
        <w:spacing w:after="200"/>
      </w:pPr>
    </w:p>
    <w:p>
      <w:pPr>
        <w:pStyle w:val="Heading1"/>
      </w:pPr>
      <w:r>
        <w:t xml:space="preserve">3. Decisiones de limpieza por fuente</w:t>
      </w:r>
    </w:p>
    <w:p>
      <w:pPr>
        <w:pStyle w:val="Heading2"/>
      </w:pPr>
      <w:r>
        <w:t xml:space="preserve">3.1 PIB real per cápita (fact_macro_anual)</w:t>
      </w:r>
    </w:p>
    <w:p>
      <w:pPr>
        <w:pStyle w:val="ListParagraph"/>
        <w:numPr>
          <w:ilvl w:val="0"/>
          <w:numId w:val="2"/>
        </w:numPr>
      </w:pPr>
      <w:r>
        <w:t xml:space="preserve">El archivo Excel retropolacion_1965_2024p.xlsx contiene varias filas de encabezado/metadatos antes de la tabla real; la fila de títulos se ubica buscando dinámicamente la celda con el texto 'Años' en la primera columna, en vez de fijar un número de fila a mano. Esto evita que el script se rompa si el BCE agrega o quita una fila de notas en una actualización futura del archivo.</w:t>
      </w:r>
    </w:p>
    <w:p>
      <w:pPr>
        <w:pStyle w:val="ListParagraph"/>
        <w:numPr>
          <w:ilvl w:val="0"/>
          <w:numId w:val="2"/>
        </w:numPr>
      </w:pPr>
      <w:r>
        <w:t xml:space="preserve">Las columnas originales (con saltos de línea y símbolos como 'Millones de USD encadenado de volumen') se renombran a nombres cortos y consistentes: anio, pib_real_musd, poblacion_miles, pib_percapita_usd, variacion_pib_pct.</w:t>
      </w:r>
    </w:p>
    <w:p>
      <w:pPr>
        <w:pStyle w:val="ListParagraph"/>
        <w:numPr>
          <w:ilvl w:val="0"/>
          <w:numId w:val="2"/>
        </w:numPr>
      </w:pPr>
      <w:r>
        <w:t xml:space="preserve">Se eliminan filas sin valor de PIB real (dropna), ya que corresponden a filas vacías o de notas al pie capturadas por error al leer el rango completo de la hoja.</w:t>
      </w:r>
    </w:p>
    <w:p>
      <w:pPr>
        <w:pStyle w:val="ListParagraph"/>
        <w:numPr>
          <w:ilvl w:val="0"/>
          <w:numId w:val="2"/>
        </w:numPr>
      </w:pPr>
      <w:r>
        <w:t xml:space="preserve">La columna de año llega como texto y en algunos años incluye la marca '(p)' de cifra provisional (ej. '2024 (p)'); se limpia ese sufijo y se convierte a entero para permitir joins y filtros numéricos con el resto de tablas.</w:t>
      </w:r>
    </w:p>
    <w:p>
      <w:pPr>
        <w:pStyle w:val="Heading2"/>
      </w:pPr>
      <w:r>
        <w:t xml:space="preserve">3.2 PIB nominal per cápita (fact_pib_nominal)</w:t>
      </w:r>
    </w:p>
    <w:p>
      <w:pPr>
        <w:pStyle w:val="ListParagraph"/>
        <w:numPr>
          <w:ilvl w:val="0"/>
          <w:numId w:val="2"/>
        </w:numPr>
      </w:pPr>
      <w:r>
        <w:t xml:space="preserve">Se accede a la hoja por posición (índice 5) en lugar de por nombre, porque el nombre de la hoja 'PIB pc nominal' incluye espacios y variantes de mayúsculas/minúsculas que generan errores de coincidencia exacta en distintas versiones del archivo del BCE.</w:t>
      </w:r>
    </w:p>
    <w:p>
      <w:pPr>
        <w:pStyle w:val="ListParagraph"/>
        <w:numPr>
          <w:ilvl w:val="0"/>
          <w:numId w:val="2"/>
        </w:numPr>
      </w:pPr>
      <w:r>
        <w:t xml:space="preserve">Mismo patrón de detección dinámica de la fila de encabezado que en el PIB real, por la misma razón de robustez ante cambios de formato.</w:t>
      </w:r>
    </w:p>
    <w:p>
      <w:pPr>
        <w:pStyle w:val="ListParagraph"/>
        <w:numPr>
          <w:ilvl w:val="0"/>
          <w:numId w:val="2"/>
        </w:numPr>
      </w:pPr>
      <w:r>
        <w:t xml:space="preserve">Se filtra la serie a partir del año 2000 (df_filtrado = df_nom[df_nom['periodo'] &gt;= 2000]) porque el análisis del equipo se enfoca en el período post-dolarización de Ecuador; los valores nominales previos a 2000 (en sucres) no son comparables directamente y se excluyen de esta tabla.</w:t>
      </w:r>
    </w:p>
    <w:p>
      <w:pPr>
        <w:pStyle w:val="ListParagraph"/>
        <w:numPr>
          <w:ilvl w:val="0"/>
          <w:numId w:val="2"/>
        </w:numPr>
      </w:pPr>
      <w:r>
        <w:t xml:space="preserve">Se construye una columna de fecha (tipo datetime, 1 de enero de cada año) a partir del año, para facilitar el cruce con las series diarias y mensuales de las otras tablas.</w:t>
      </w:r>
    </w:p>
    <w:p>
      <w:pPr>
        <w:pStyle w:val="Heading2"/>
      </w:pPr>
      <w:r>
        <w:t xml:space="preserve">3.3 Petróleo WTI y riesgo país (fact_indicadores_diarios)</w:t>
      </w:r>
    </w:p>
    <w:p>
      <w:pPr>
        <w:pStyle w:val="ListParagraph"/>
        <w:numPr>
          <w:ilvl w:val="0"/>
          <w:numId w:val="2"/>
        </w:numPr>
      </w:pPr>
      <w:r>
        <w:t xml:space="preserve">La columna original 'Período' se renombra a 'fecha' y se convierte a tipo datetime, estandarizando el nombre de la columna temporal en todas las tablas del pipeline.</w:t>
      </w:r>
    </w:p>
    <w:p>
      <w:pPr>
        <w:pStyle w:val="ListParagraph"/>
        <w:numPr>
          <w:ilvl w:val="0"/>
          <w:numId w:val="2"/>
        </w:numPr>
      </w:pPr>
      <w:r>
        <w:t xml:space="preserve">No se imputan valores faltantes de fin de semana o feriados bursátiles: se conserva la serie tal como la entrega la fuente, dejando cualquier decisión de relleno (forward-fill, interpolación, etc.) para la capa de análisis, no para la capa de limpieza.</w:t>
      </w:r>
    </w:p>
    <w:p>
      <w:pPr>
        <w:pStyle w:val="ListParagraph"/>
        <w:numPr>
          <w:ilvl w:val="0"/>
          <w:numId w:val="2"/>
        </w:numPr>
      </w:pPr>
      <w:r>
        <w:t xml:space="preserve">Archivo pendiente de localizar (petroleo_riesgo.csv). La función está implementada y probada contra un archivo de ejemplo con el esquema esperado (columnas Período, WTI, EMBI); falta solo el archivo real para ejecutar la carga.</w:t>
      </w:r>
    </w:p>
    <w:p>
      <w:pPr>
        <w:pStyle w:val="Heading2"/>
      </w:pPr>
      <w:r>
        <w:t xml:space="preserve">3.4 Índice de Expectativas Económicas (fact_iee)</w:t>
      </w:r>
    </w:p>
    <w:p>
      <w:pPr>
        <w:pStyle w:val="ListParagraph"/>
        <w:numPr>
          <w:ilvl w:val="0"/>
          <w:numId w:val="2"/>
        </w:numPr>
      </w:pPr>
      <w:r>
        <w:t xml:space="preserve">Todos los nombres de columna se convierten a minúsculas para mantener consistencia con el resto de tablas de la base de datos.</w:t>
      </w:r>
    </w:p>
    <w:p>
      <w:pPr>
        <w:pStyle w:val="ListParagraph"/>
        <w:numPr>
          <w:ilvl w:val="0"/>
          <w:numId w:val="2"/>
        </w:numPr>
      </w:pPr>
      <w:r>
        <w:t xml:space="preserve">La fecha se parsea con formato explícito %Y-%m-%d en vez de inferencia automática, para evitar ambigüedades día/mes que pandas podría resolver de forma incorrecta según la configuración regional del sistema.</w:t>
      </w:r>
    </w:p>
    <w:p>
      <w:pPr>
        <w:pStyle w:val="ListParagraph"/>
        <w:numPr>
          <w:ilvl w:val="0"/>
          <w:numId w:val="2"/>
        </w:numPr>
      </w:pPr>
      <w:r>
        <w:t xml:space="preserve">Archivo pendiente de localizar (iee.csv). Función implementada y lista para ejecutarse en cuanto el archivo esté disponible en datos_macroentorno/.</w:t>
      </w:r>
    </w:p>
    <w:p>
      <w:pPr>
        <w:pStyle w:val="Heading2"/>
      </w:pPr>
      <w:r>
        <w:t xml:space="preserve">3.5 Valor Agregado Bruto provincial (fact_vab)</w:t>
      </w:r>
    </w:p>
    <w:p>
      <w:pPr>
        <w:pStyle w:val="ListParagraph"/>
        <w:numPr>
          <w:ilvl w:val="0"/>
          <w:numId w:val="2"/>
        </w:numPr>
      </w:pPr>
      <w:r>
        <w:t xml:space="preserve">Columnas pasadas a minúsculas y la columna 'año' (con tilde) se renombra a 'anio' para evitar problemas de codificación al consultar la tabla desde SQL o desde herramientas que no manejan bien caracteres acentuados en nombres de columna.</w:t>
      </w:r>
    </w:p>
    <w:p>
      <w:pPr>
        <w:pStyle w:val="ListParagraph"/>
        <w:numPr>
          <w:ilvl w:val="0"/>
          <w:numId w:val="2"/>
        </w:numPr>
      </w:pPr>
      <w:r>
        <w:t xml:space="preserve">No se aplica ningún filtro de provincias ni de años: se conserva la granularidad completa entregada por el BCE, ya que el reto no especifica un subconjunto geográfico o temporal a excluir.</w:t>
      </w:r>
    </w:p>
    <w:p>
      <w:pPr>
        <w:pStyle w:val="ListParagraph"/>
        <w:numPr>
          <w:ilvl w:val="0"/>
          <w:numId w:val="2"/>
        </w:numPr>
      </w:pPr>
      <w:r>
        <w:t xml:space="preserve">Archivo pendiente de localizar (vab_provincial.csv). Función implementada y lista para ejecutarse en cuanto el archivo esté disponible.</w:t>
      </w:r>
    </w:p>
    <w:p>
      <w:pPr>
        <w:pStyle w:val="Heading1"/>
      </w:pPr>
      <w:r>
        <w:t xml:space="preserve">4. Corrección aplicada: manejo de rutas de archivo</w:t>
      </w:r>
    </w:p>
    <w:p>
      <w:pPr>
        <w:spacing w:after="160"/>
      </w:pPr>
      <w:r>
        <w:t xml:space="preserve">Causa del error original: [Errno 2] No such file or directory: 'datos_macroentorno/retropolacion_1965_2024p.xlsx'.</w:t>
      </w:r>
    </w:p>
    <w:p>
      <w:pPr>
        <w:pStyle w:val="ListParagraph"/>
        <w:numPr>
          <w:ilvl w:val="0"/>
          <w:numId w:val="2"/>
        </w:numPr>
      </w:pPr>
      <w:r>
        <w:t xml:space="preserve">El script original usaba rutas relativas, válidas solo si Python se ejecuta desde la carpeta raíz exacta del proyecto. En PyCharm, el directorio de trabajo (working directory) de una ejecución depende de la configuración de Run/Debug Configuration, y no siempre coincide con la carpeta del proyecto.</w:t>
      </w:r>
    </w:p>
    <w:p>
      <w:pPr>
        <w:pStyle w:val="ListParagraph"/>
        <w:numPr>
          <w:ilvl w:val="0"/>
          <w:numId w:val="2"/>
        </w:numPr>
      </w:pPr>
      <w:r>
        <w:t xml:space="preserve">Solución aplicada: las rutas ahora se construyen a partir de os.path.dirname(os.path.abspath(__file__)), es decir, de la ubicación real del archivo bce.py en disco. Así el script encuentra datos_macroentorno/ subiendo un nivel desde transform/, sin importar desde dónde se ejecute (botón Run, terminal, consola interactiva).</w:t>
      </w:r>
    </w:p>
    <w:p>
      <w:pPr>
        <w:pStyle w:val="ListParagraph"/>
        <w:numPr>
          <w:ilvl w:val="0"/>
          <w:numId w:val="2"/>
        </w:numPr>
      </w:pPr>
      <w:r>
        <w:t xml:space="preserve">Manejo de archivos faltantes: cada una de las cinco tareas de limpieza se ejecuta de forma independiente dentro de un bloque try/except. Si un archivo no existe, el pipeline registra qué tabla no pudo construirse y por qué, pero continúa procesando las demás en lugar de detenerse por completo. Esto permite cargar las tablas disponibles (PIB real y PIB nominal) aunque las otras tres fuentes todavía no se hayan localizado.</w:t>
      </w:r>
    </w:p>
    <w:p>
      <w:pPr>
        <w:pStyle w:val="Heading1"/>
      </w:pPr>
      <w:r>
        <w:t xml:space="preserve">5. Pendientes</w:t>
      </w:r>
    </w:p>
    <w:p>
      <w:pPr>
        <w:pStyle w:val="ListParagraph"/>
        <w:numPr>
          <w:ilvl w:val="0"/>
          <w:numId w:val="2"/>
        </w:numPr>
      </w:pPr>
      <w:r>
        <w:t xml:space="preserve">Localizar y colocar en datos_macroentorno/ los archivos: petroleo_riesgo.csv, iee.csv y vab_provincial.csv.</w:t>
      </w:r>
    </w:p>
    <w:p>
      <w:pPr>
        <w:pStyle w:val="ListParagraph"/>
        <w:numPr>
          <w:ilvl w:val="0"/>
          <w:numId w:val="2"/>
        </w:numPr>
      </w:pPr>
      <w:r>
        <w:t xml:space="preserve">Una vez disponibles, basta con volver a ejecutar transform/bce.py: las tablas ya cargadas no se duplican ni se pierden (if_exists='replace' por tabla), y las tres pendientes se cargarán automáticamente.</w:t>
      </w:r>
    </w:p>
    <w:p>
      <w:pPr>
        <w:pStyle w:val="ListParagraph"/>
        <w:numPr>
          <w:ilvl w:val="0"/>
          <w:numId w:val="2"/>
        </w:numPr>
      </w:pPr>
      <w:r>
        <w:t xml:space="preserve">Validar con el equipo si la columna variacion_pib_pct y el filtro 'periodo &gt;= 2000' del PIB nominal cubren los requerimientos de los reportes posteriores, o si se necesita conservar también la serie pre-dolarización en una tabla aparte.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2026-06-19T05:09:08.278Z</dcterms:created>
  <dcterms:modified xsi:type="dcterms:W3CDTF">2026-06-19T05:09:08.278Z</dcterms:modified>
</cp:coreProperties>
</file>

<file path=docProps/custom.xml><?xml version="1.0" encoding="utf-8"?>
<Properties xmlns="http://schemas.openxmlformats.org/officeDocument/2006/custom-properties" xmlns:vt="http://schemas.openxmlformats.org/officeDocument/2006/docPropsVTypes"/>
</file>