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Estrategias de Ingeniería de Datos para la Validación y Limpieza Automatizada en Flujos RPA</w:t>
      </w:r>
    </w:p>
    <w:p>
      <w:pPr>
        <w:spacing w:after="40"/>
        <w:jc w:val="center"/>
      </w:pPr>
      <w:r>
        <w:rPr>
          <w:rFonts w:ascii="Times New Roman" w:cs="Times New Roman" w:eastAsia="Times New Roman" w:hAnsi="Times New Roman"/>
          <w:sz w:val="22"/>
          <w:szCs w:val="22"/>
        </w:rPr>
        <w:t xml:space="preserve">Pedro Antonio Vargas Ruiz</w:t>
      </w:r>
    </w:p>
    <w:p>
      <w:pPr>
        <w:spacing w:after="0"/>
        <w:jc w:val="center"/>
      </w:pPr>
      <w:r>
        <w:rPr>
          <w:rFonts w:ascii="Times New Roman" w:cs="Times New Roman" w:eastAsia="Times New Roman" w:hAnsi="Times New Roman"/>
          <w:i/>
          <w:iCs/>
          <w:sz w:val="18"/>
          <w:szCs w:val="18"/>
        </w:rPr>
        <w:t xml:space="preserve">Facultad de Ingenierías y Arquitectura</w:t>
      </w:r>
    </w:p>
    <w:p>
      <w:pPr>
        <w:spacing w:after="0"/>
        <w:jc w:val="center"/>
      </w:pPr>
      <w:r>
        <w:rPr>
          <w:rFonts w:ascii="Times New Roman" w:cs="Times New Roman" w:eastAsia="Times New Roman" w:hAnsi="Times New Roman"/>
          <w:i/>
          <w:iCs/>
          <w:sz w:val="18"/>
          <w:szCs w:val="18"/>
        </w:rPr>
        <w:t xml:space="preserve">Universidad Técnica Particular de Loja (UTPL)</w:t>
      </w:r>
    </w:p>
    <w:p>
      <w:pPr>
        <w:spacing w:after="0"/>
        <w:jc w:val="center"/>
      </w:pPr>
      <w:r>
        <w:rPr>
          <w:rFonts w:ascii="Times New Roman" w:cs="Times New Roman" w:eastAsia="Times New Roman" w:hAnsi="Times New Roman"/>
          <w:i/>
          <w:iCs/>
          <w:sz w:val="18"/>
          <w:szCs w:val="18"/>
        </w:rPr>
        <w:t xml:space="preserve">Ingeniería en Ciencias de la Computación / Ingeniería de Datos</w:t>
      </w:r>
    </w:p>
    <w:p>
      <w:pPr>
        <w:spacing w:after="200"/>
        <w:jc w:val="center"/>
      </w:pPr>
      <w:r>
        <w:rPr>
          <w:rFonts w:ascii="Times New Roman" w:cs="Times New Roman" w:eastAsia="Times New Roman" w:hAnsi="Times New Roman"/>
          <w:i/>
          <w:iCs/>
          <w:sz w:val="18"/>
          <w:szCs w:val="18"/>
        </w:rPr>
        <w:t xml:space="preserve">Loja, Ecuador</w:t>
      </w:r>
    </w:p>
    <w:p>
      <w:pPr>
        <w:spacing w:after="100" w:before="100" w:line="230" w:lineRule="auto"/>
        <w:ind w:left="260" w:firstLine="200"/>
        <w:jc w:val="both"/>
      </w:pPr>
      <w:r>
        <w:rPr>
          <w:rFonts w:ascii="Times New Roman" w:cs="Times New Roman" w:eastAsia="Times New Roman" w:hAnsi="Times New Roman"/>
          <w:b/>
          <w:bCs/>
          <w:i/>
          <w:iCs/>
          <w:sz w:val="18"/>
          <w:szCs w:val="18"/>
        </w:rPr>
        <w:t xml:space="preserve">Resumen</w:t>
      </w:r>
      <w:r>
        <w:rPr>
          <w:rFonts w:ascii="Times New Roman" w:cs="Times New Roman" w:eastAsia="Times New Roman" w:hAnsi="Times New Roman"/>
          <w:b/>
          <w:bCs/>
          <w:sz w:val="18"/>
          <w:szCs w:val="18"/>
        </w:rPr>
        <w:t xml:space="preserve">—El presente artículo técnico desarrolla un estado del arte sobre las estrategias de Ingeniería de Datos aplicadas a la validación y limpieza automatizada de información dentro de flujos de Automatización Robótica de Procesos (RPA). Se analiza cómo la calidad de los datos condiciona la fiabilidad de los bots de software, especialmente cuando estos procesan información no estructurada proveniente de documentos, formularios web y sistemas heredados. El documento examina los principales marcos de calidad de datos (exactitud, completitud, consistencia y actualidad), las técnicas de perfilado y detección de anomalías, y su integración dentro de arquitecturas ETL/ELT que anteceden a la ejecución de los robots. A través de la revisión de trabajos recientes en el ámbito académico e industrial, se identifican patrones de diseño para la validación en tiempo de ejecución (runtime validation) y la reconciliación de excepciones, elementos que reducen la tasa de reprocesos manuales. Finalmente, se plantea una prospectiva sobre la convergencia entre RPA, Aprendizaje Automático y gobernanza de datos como camino hacia flujos autónomos y auto-correctivos.</w:t>
      </w:r>
    </w:p>
    <w:p>
      <w:pPr>
        <w:spacing w:after="200" w:line="230" w:lineRule="auto"/>
        <w:ind w:left="260" w:firstLine="200"/>
        <w:jc w:val="both"/>
      </w:pPr>
      <w:r>
        <w:rPr>
          <w:rFonts w:ascii="Times New Roman" w:cs="Times New Roman" w:eastAsia="Times New Roman" w:hAnsi="Times New Roman"/>
          <w:b/>
          <w:bCs/>
          <w:i/>
          <w:iCs/>
          <w:sz w:val="18"/>
          <w:szCs w:val="18"/>
        </w:rPr>
        <w:t xml:space="preserve">Palabras Clave</w:t>
      </w:r>
      <w:r>
        <w:rPr>
          <w:rFonts w:ascii="Times New Roman" w:cs="Times New Roman" w:eastAsia="Times New Roman" w:hAnsi="Times New Roman"/>
          <w:b/>
          <w:bCs/>
          <w:sz w:val="18"/>
          <w:szCs w:val="18"/>
        </w:rPr>
        <w:t xml:space="preserve">—Ingeniería de Datos, RPA, Validación de Datos, Limpieza de Datos, Calidad de Datos, ETL, Automatización de Procesos.</w:t>
      </w:r>
    </w:p>
    <w:p>
      <w:pPr>
        <w:spacing w:after="100" w:before="200"/>
        <w:jc w:val="center"/>
      </w:pPr>
      <w:r>
        <w:rPr>
          <w:rFonts w:ascii="Times New Roman" w:cs="Times New Roman" w:eastAsia="Times New Roman" w:hAnsi="Times New Roman"/>
          <w:b/>
          <w:bCs/>
          <w:sz w:val="18"/>
          <w:szCs w:val="18"/>
        </w:rPr>
        <w:t xml:space="preserve">I. </w:t>
      </w:r>
      <w:r>
        <w:rPr>
          <w:rFonts w:ascii="Times New Roman" w:cs="Times New Roman" w:eastAsia="Times New Roman" w:hAnsi="Times New Roman"/>
          <w:b/>
          <w:bCs/>
          <w:caps/>
          <w:sz w:val="18"/>
          <w:szCs w:val="18"/>
        </w:rPr>
        <w:t xml:space="preserve">INTRODUCCIÓN</w:t>
      </w:r>
    </w:p>
    <w:p>
      <w:pPr>
        <w:spacing w:after="60" w:line="249" w:lineRule="auto"/>
        <w:ind w:firstLine="200"/>
        <w:jc w:val="both"/>
      </w:pPr>
      <w:r>
        <w:rPr>
          <w:rFonts w:ascii="Times New Roman" w:cs="Times New Roman" w:eastAsia="Times New Roman" w:hAnsi="Times New Roman"/>
          <w:sz w:val="18"/>
          <w:szCs w:val="18"/>
        </w:rPr>
        <w:t xml:space="preserve">La adopción masiva de la Automatización Robótica de Procesos (RPA) en organizaciones públicas y privadas ha evidenciado que el mayor riesgo operativo de los robots de software no reside en la lógica de orquestación, sino en la calidad de los datos que consumen. Un bot capaz de ejecutar miles de transacciones por hora puede propagar errores a la misma velocidad si los datos de entrada contienen inconsistencias, duplicados o formatos heterogéneos (Costa, Mamede, &amp; Silva, 2022).</w:t>
      </w:r>
    </w:p>
    <w:p>
      <w:pPr>
        <w:spacing w:after="60" w:line="249" w:lineRule="auto"/>
        <w:ind w:firstLine="200"/>
        <w:jc w:val="both"/>
      </w:pPr>
      <w:r>
        <w:rPr>
          <w:rFonts w:ascii="Times New Roman" w:cs="Times New Roman" w:eastAsia="Times New Roman" w:hAnsi="Times New Roman"/>
          <w:sz w:val="18"/>
          <w:szCs w:val="18"/>
        </w:rPr>
        <w:t xml:space="preserve">En este contexto, la Ingeniería de Datos deja de ser un componente periférico y se convierte en un requisito habilitante para la automatización confiable. La construcción de tuberías (pipelines) de validación previas a la ejecución de los robots permite anticipar fallos, reducir excepciones no controladas y disminuir la intervención humana correctiva (Elsayed, Abb, Sander, &amp; Rehse, 2023). Este documento presenta un estado del arte sobre las estrategias, marcos y herramientas empleadas para la validación y limpieza automatizada de datos en flujos RPA, con énfasis en su aplicabilidad a procesos académicos y administrativos.</w:t>
      </w:r>
    </w:p>
    <w:p>
      <w:pPr>
        <w:spacing w:after="60" w:line="249" w:lineRule="auto"/>
        <w:ind w:firstLine="200"/>
        <w:jc w:val="both"/>
      </w:pPr>
      <w:r>
        <w:rPr>
          <w:rFonts w:ascii="Times New Roman" w:cs="Times New Roman" w:eastAsia="Times New Roman" w:hAnsi="Times New Roman"/>
          <w:sz w:val="18"/>
          <w:szCs w:val="18"/>
        </w:rPr>
        <w:t xml:space="preserve">A modo de motivación práctica, este trabajo se apoya en un caso real desarrollado sobre el macroentorno ecuatoriano, en el que se procesaron fuentes públicas del Banco Central del Ecuador (BCE) y del Ministerio de Educación (MINEDUC/AMIE) mediante una arquitectura de limpieza por capas Bronce-Silver-Gold. Dicha experiencia evidenció de primera mano que los errores de formato, duplicados y valores inconsistentes en las fuentes originales se propagan directamente a los resultados analíticos si no existe una etapa previa de validación, lo cual motivó la revisión sistemática que se presenta a continuación.</w:t>
      </w:r>
    </w:p>
    <w:p>
      <w:pPr>
        <w:spacing w:after="100" w:before="200"/>
        <w:jc w:val="center"/>
      </w:pPr>
      <w:r>
        <w:rPr>
          <w:rFonts w:ascii="Times New Roman" w:cs="Times New Roman" w:eastAsia="Times New Roman" w:hAnsi="Times New Roman"/>
          <w:b/>
          <w:bCs/>
          <w:sz w:val="18"/>
          <w:szCs w:val="18"/>
        </w:rPr>
        <w:t xml:space="preserve">II. </w:t>
      </w:r>
      <w:r>
        <w:rPr>
          <w:rFonts w:ascii="Times New Roman" w:cs="Times New Roman" w:eastAsia="Times New Roman" w:hAnsi="Times New Roman"/>
          <w:b/>
          <w:bCs/>
          <w:caps/>
          <w:sz w:val="18"/>
          <w:szCs w:val="18"/>
        </w:rPr>
        <w:t xml:space="preserve">MARCO CONCEPTUAL</w:t>
      </w:r>
    </w:p>
    <w:p>
      <w:pPr>
        <w:spacing w:after="60" w:before="120"/>
        <w:ind w:firstLine="200"/>
        <w:jc w:val="both"/>
      </w:pPr>
      <w:r>
        <w:rPr>
          <w:rFonts w:ascii="Times New Roman" w:cs="Times New Roman" w:eastAsia="Times New Roman" w:hAnsi="Times New Roman"/>
          <w:b/>
          <w:bCs/>
          <w:i/>
          <w:iCs/>
          <w:sz w:val="18"/>
          <w:szCs w:val="18"/>
        </w:rPr>
        <w:t xml:space="preserve">II-A. RPA como Consumidor Crítico de Datos</w:t>
      </w:r>
    </w:p>
    <w:p>
      <w:pPr>
        <w:spacing w:after="60" w:line="249" w:lineRule="auto"/>
        <w:ind w:firstLine="200"/>
        <w:jc w:val="both"/>
      </w:pPr>
      <w:r>
        <w:rPr>
          <w:rFonts w:ascii="Times New Roman" w:cs="Times New Roman" w:eastAsia="Times New Roman" w:hAnsi="Times New Roman"/>
          <w:sz w:val="18"/>
          <w:szCs w:val="18"/>
        </w:rPr>
        <w:t xml:space="preserve">A diferencia de los sistemas transaccionales tradicionales, los robots de software interactúan con interfaces gráficas y documentos semiestructurados, por lo que carecen de mecanismos nativos de tipificación estricta de datos. Plattfaut y Borghoff (2022) señalan que buena parte de la literatura sobre RPA se ha concentrado en la adopción organizacional, dejando en segundo plano la robustez de los datos de entrada como factor determinante del éxito del proyecto.</w:t>
      </w:r>
    </w:p>
    <w:p>
      <w:pPr>
        <w:spacing w:after="60" w:before="120"/>
        <w:ind w:firstLine="200"/>
        <w:jc w:val="both"/>
      </w:pPr>
      <w:r>
        <w:rPr>
          <w:rFonts w:ascii="Times New Roman" w:cs="Times New Roman" w:eastAsia="Times New Roman" w:hAnsi="Times New Roman"/>
          <w:b/>
          <w:bCs/>
          <w:i/>
          <w:iCs/>
          <w:sz w:val="18"/>
          <w:szCs w:val="18"/>
        </w:rPr>
        <w:t xml:space="preserve">II-B. Dimensiones de Calidad de Datos</w:t>
      </w:r>
    </w:p>
    <w:p>
      <w:pPr>
        <w:spacing w:after="60" w:line="249" w:lineRule="auto"/>
        <w:ind w:firstLine="200"/>
        <w:jc w:val="both"/>
      </w:pPr>
      <w:r>
        <w:rPr>
          <w:rFonts w:ascii="Times New Roman" w:cs="Times New Roman" w:eastAsia="Times New Roman" w:hAnsi="Times New Roman"/>
          <w:sz w:val="18"/>
          <w:szCs w:val="18"/>
        </w:rPr>
        <w:t xml:space="preserve">Las dimensiones de exactitud, completitud, consistencia, actualidad y unicidad constituyen el marco de referencia más citado para evaluar conjuntos de datos antes de su ingestión (Ehrlinger, Rusz, &amp; Wöß, 2022). Ridzuan, Idrus y Mahdin (2024) amplían esta taxonomía para escenarios de datos masivos, destacando la necesidad de reglas de validación adaptativas cuando las fuentes cambian de esquema con frecuencia, situación habitual en portales y sistemas legados que alimentan a los robots.</w:t>
      </w:r>
    </w:p>
    <w:p>
      <w:pPr>
        <w:spacing w:after="60" w:before="120"/>
        <w:ind w:firstLine="200"/>
        <w:jc w:val="both"/>
      </w:pPr>
      <w:r>
        <w:rPr>
          <w:rFonts w:ascii="Times New Roman" w:cs="Times New Roman" w:eastAsia="Times New Roman" w:hAnsi="Times New Roman"/>
          <w:b/>
          <w:bCs/>
          <w:i/>
          <w:iCs/>
          <w:sz w:val="18"/>
          <w:szCs w:val="18"/>
        </w:rPr>
        <w:t xml:space="preserve">II-C. Validación en Tiempo de Ejecución y Perfilado</w:t>
      </w:r>
    </w:p>
    <w:p>
      <w:pPr>
        <w:spacing w:after="60" w:line="249" w:lineRule="auto"/>
        <w:ind w:firstLine="200"/>
        <w:jc w:val="both"/>
      </w:pPr>
      <w:r>
        <w:rPr>
          <w:rFonts w:ascii="Times New Roman" w:cs="Times New Roman" w:eastAsia="Times New Roman" w:hAnsi="Times New Roman"/>
          <w:sz w:val="18"/>
          <w:szCs w:val="18"/>
        </w:rPr>
        <w:t xml:space="preserve">El perfilado de datos (data profiling) permite caracterizar estadísticamente un conjunto de datos —rangos, nulos, cardinalidad— antes de definir reglas de limpieza. Rangineni (2023) argumenta que los pipelines de aprendizaje automático y de automatización comparten el mismo cuello de botella: la ausencia de validación sistemática provoca degradación silenciosa del rendimiento, un fenómeno igualmente aplicable a los flujos RPA cuando los robots reciben datos fuera de los rangos esperados sin mecanismos de alerta temprana.</w:t>
      </w:r>
    </w:p>
    <w:p>
      <w:pPr>
        <w:spacing w:after="60" w:before="120"/>
        <w:ind w:firstLine="200"/>
        <w:jc w:val="both"/>
      </w:pPr>
      <w:r>
        <w:rPr>
          <w:rFonts w:ascii="Times New Roman" w:cs="Times New Roman" w:eastAsia="Times New Roman" w:hAnsi="Times New Roman"/>
          <w:b/>
          <w:bCs/>
          <w:i/>
          <w:iCs/>
          <w:sz w:val="18"/>
          <w:szCs w:val="18"/>
        </w:rPr>
        <w:t xml:space="preserve">II-D. Arquitectura por Capas como Marco de Referencia</w:t>
      </w:r>
    </w:p>
    <w:p>
      <w:pPr>
        <w:spacing w:after="60" w:line="249" w:lineRule="auto"/>
        <w:ind w:firstLine="200"/>
        <w:jc w:val="both"/>
      </w:pPr>
      <w:r>
        <w:rPr>
          <w:rFonts w:ascii="Times New Roman" w:cs="Times New Roman" w:eastAsia="Times New Roman" w:hAnsi="Times New Roman"/>
          <w:sz w:val="18"/>
          <w:szCs w:val="18"/>
        </w:rPr>
        <w:t xml:space="preserve">La organización de los datos en capas Bronce, Silver y Gold —popularizada en arquitecturas tipo Lakehouse— constituye un marco práctico para escalonar la validación de calidad de forma incremental. La capa Bronce conserva la fuente original sin modificaciones, permitiendo auditar cualquier corrección posterior; la capa Silver aplica las reglas de tipificación, deduplicación y normalización propias de la Ingeniería de Datos; y la capa Gold entrega vistas ya agregadas y confiables, listas para consumo por bots RPA o herramientas de inteligencia de negocio (Foidl et al., 2024). Este enfoque por capas resulta especialmente útil cuando las fuentes provienen de organismos públicos con formatos heterogéneos, como ocurre con los datos macroeconómicos y educativos abiertos en Ecuador.</w:t>
      </w:r>
    </w:p>
    <w:p>
      <w:pPr>
        <w:spacing w:after="60" w:line="249" w:lineRule="auto"/>
        <w:ind w:firstLine="200"/>
        <w:jc w:val="both"/>
      </w:pPr>
      <w:r>
        <w:rPr>
          <w:rFonts w:ascii="Times New Roman" w:cs="Times New Roman" w:eastAsia="Times New Roman" w:hAnsi="Times New Roman"/>
          <w:sz w:val="18"/>
          <w:szCs w:val="18"/>
        </w:rPr>
        <w:t xml:space="preserve">Desde la perspectiva de los flujos RPA, adoptar una arquitectura por capas permite separar responsabilidades: el robot deja de encargarse simultáneamente de extraer, limpiar e interpretar la información, y pasa a consumir exclusivamente datos ya certificados en la capa Gold. Esta separación reduce la complejidad de la lógica del bot, disminuye la probabilidad de excepciones en tiempo de ejecución y facilita la trazabilidad de cualquier anomalía hasta la etapa del pipeline donde se originó, en línea con los principios de gobernanza de datos discutidos por Priestley, O'Donnell y Simperl (2023).</w:t>
      </w:r>
    </w:p>
    <w:p>
      <w:pPr>
        <w:spacing w:after="40" w:before="120"/>
        <w:jc w:val="center"/>
      </w:pPr>
      <w:r>
        <w:rPr>
          <w:rFonts w:ascii="Times New Roman" w:cs="Times New Roman" w:eastAsia="Times New Roman" w:hAnsi="Times New Roman"/>
          <w:b/>
          <w:bCs/>
          <w:sz w:val="16"/>
          <w:szCs w:val="16"/>
        </w:rPr>
        <w:t xml:space="preserve">Cuadro I</w:t>
      </w:r>
    </w:p>
    <w:p>
      <w:pPr>
        <w:spacing w:after="100"/>
        <w:jc w:val="center"/>
      </w:pPr>
      <w:r>
        <w:rPr>
          <w:rFonts w:ascii="Times New Roman" w:cs="Times New Roman" w:eastAsia="Times New Roman" w:hAnsi="Times New Roman"/>
          <w:b/>
          <w:bCs/>
          <w:sz w:val="14"/>
          <w:szCs w:val="14"/>
        </w:rPr>
        <w:t xml:space="preserve">COMPARATIVA DE ENFOQUES DE VALIDACIÓN DE DATOS EN FLUJOS AUTOMATIZADOS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9D9D9" w:val="clear"/>
          </w:tcPr>
          <w:p>
            <w:pPr>
              <w:jc w:val="center"/>
            </w:pPr>
            <w:r>
              <w:rPr>
                <w:rFonts w:ascii="Times New Roman" w:cs="Times New Roman" w:eastAsia="Times New Roman" w:hAnsi="Times New Roman"/>
                <w:b/>
                <w:bCs/>
                <w:sz w:val="14"/>
                <w:szCs w:val="14"/>
              </w:rPr>
              <w:t xml:space="preserve">Enfoque</w:t>
            </w:r>
          </w:p>
        </w:tc>
        <w:tc>
          <w:tcPr>
            <w:tcW w:type="pct" w:w="33%"/>
            <w:shd w:fill="D9D9D9" w:val="clear"/>
          </w:tcPr>
          <w:p>
            <w:pPr>
              <w:jc w:val="center"/>
            </w:pPr>
            <w:r>
              <w:rPr>
                <w:rFonts w:ascii="Times New Roman" w:cs="Times New Roman" w:eastAsia="Times New Roman" w:hAnsi="Times New Roman"/>
                <w:b/>
                <w:bCs/>
                <w:sz w:val="14"/>
                <w:szCs w:val="14"/>
              </w:rPr>
              <w:t xml:space="preserve">Etapa del Pipeline</w:t>
            </w:r>
          </w:p>
        </w:tc>
        <w:tc>
          <w:tcPr>
            <w:tcW w:type="pct" w:w="33%"/>
            <w:shd w:fill="D9D9D9" w:val="clear"/>
          </w:tcPr>
          <w:p>
            <w:pPr>
              <w:jc w:val="center"/>
            </w:pPr>
            <w:r>
              <w:rPr>
                <w:rFonts w:ascii="Times New Roman" w:cs="Times New Roman" w:eastAsia="Times New Roman" w:hAnsi="Times New Roman"/>
                <w:b/>
                <w:bCs/>
                <w:sz w:val="14"/>
                <w:szCs w:val="14"/>
              </w:rPr>
              <w:t xml:space="preserve">Aporte Clave</w:t>
            </w:r>
          </w:p>
        </w:tc>
      </w:tr>
      <w:tr>
        <w:tc>
          <w:tcPr>
            <w:tcW w:type="pct" w:w="33%"/>
          </w:tcPr>
          <w:p>
            <w:pPr>
              <w:jc w:val="both"/>
            </w:pPr>
            <w:r>
              <w:rPr>
                <w:rFonts w:ascii="Times New Roman" w:cs="Times New Roman" w:eastAsia="Times New Roman" w:hAnsi="Times New Roman"/>
                <w:sz w:val="14"/>
                <w:szCs w:val="14"/>
              </w:rPr>
              <w:t xml:space="preserve">Perfilado de Datos</w:t>
            </w:r>
          </w:p>
        </w:tc>
        <w:tc>
          <w:tcPr>
            <w:tcW w:type="pct" w:w="33%"/>
          </w:tcPr>
          <w:p>
            <w:pPr>
              <w:jc w:val="both"/>
            </w:pPr>
            <w:r>
              <w:rPr>
                <w:rFonts w:ascii="Times New Roman" w:cs="Times New Roman" w:eastAsia="Times New Roman" w:hAnsi="Times New Roman"/>
                <w:sz w:val="14"/>
                <w:szCs w:val="14"/>
              </w:rPr>
              <w:t xml:space="preserve">Pre-ingestión</w:t>
            </w:r>
          </w:p>
        </w:tc>
        <w:tc>
          <w:tcPr>
            <w:tcW w:type="pct" w:w="33%"/>
          </w:tcPr>
          <w:p>
            <w:pPr>
              <w:jc w:val="both"/>
            </w:pPr>
            <w:r>
              <w:rPr>
                <w:rFonts w:ascii="Times New Roman" w:cs="Times New Roman" w:eastAsia="Times New Roman" w:hAnsi="Times New Roman"/>
                <w:sz w:val="14"/>
                <w:szCs w:val="14"/>
              </w:rPr>
              <w:t xml:space="preserve">Caracteriza rangos, nulos y cardinalidad antes de definir reglas de limpieza (Rangineni, 2023).</w:t>
            </w:r>
          </w:p>
        </w:tc>
      </w:tr>
      <w:tr>
        <w:tc>
          <w:tcPr>
            <w:tcW w:type="pct" w:w="33%"/>
          </w:tcPr>
          <w:p>
            <w:pPr>
              <w:jc w:val="both"/>
            </w:pPr>
            <w:r>
              <w:rPr>
                <w:rFonts w:ascii="Times New Roman" w:cs="Times New Roman" w:eastAsia="Times New Roman" w:hAnsi="Times New Roman"/>
                <w:sz w:val="14"/>
                <w:szCs w:val="14"/>
              </w:rPr>
              <w:t xml:space="preserve">Validación Declarativa</w:t>
            </w:r>
          </w:p>
        </w:tc>
        <w:tc>
          <w:tcPr>
            <w:tcW w:type="pct" w:w="33%"/>
          </w:tcPr>
          <w:p>
            <w:pPr>
              <w:jc w:val="both"/>
            </w:pPr>
            <w:r>
              <w:rPr>
                <w:rFonts w:ascii="Times New Roman" w:cs="Times New Roman" w:eastAsia="Times New Roman" w:hAnsi="Times New Roman"/>
                <w:sz w:val="14"/>
                <w:szCs w:val="14"/>
              </w:rPr>
              <w:t xml:space="preserve">ETL / Pre-RPA</w:t>
            </w:r>
          </w:p>
        </w:tc>
        <w:tc>
          <w:tcPr>
            <w:tcW w:type="pct" w:w="33%"/>
          </w:tcPr>
          <w:p>
            <w:pPr>
              <w:jc w:val="both"/>
            </w:pPr>
            <w:r>
              <w:rPr>
                <w:rFonts w:ascii="Times New Roman" w:cs="Times New Roman" w:eastAsia="Times New Roman" w:hAnsi="Times New Roman"/>
                <w:sz w:val="14"/>
                <w:szCs w:val="14"/>
              </w:rPr>
              <w:t xml:space="preserve">Aplica reglas de negocio reproducibles antes de la ejecución del bot (Elsayed et al., 2023).</w:t>
            </w:r>
          </w:p>
        </w:tc>
      </w:tr>
      <w:tr>
        <w:tc>
          <w:tcPr>
            <w:tcW w:type="pct" w:w="33%"/>
          </w:tcPr>
          <w:p>
            <w:pPr>
              <w:jc w:val="both"/>
            </w:pPr>
            <w:r>
              <w:rPr>
                <w:rFonts w:ascii="Times New Roman" w:cs="Times New Roman" w:eastAsia="Times New Roman" w:hAnsi="Times New Roman"/>
                <w:sz w:val="14"/>
                <w:szCs w:val="14"/>
              </w:rPr>
              <w:t xml:space="preserve">Monitoreo Continuo de Calidad</w:t>
            </w:r>
          </w:p>
        </w:tc>
        <w:tc>
          <w:tcPr>
            <w:tcW w:type="pct" w:w="33%"/>
          </w:tcPr>
          <w:p>
            <w:pPr>
              <w:jc w:val="both"/>
            </w:pPr>
            <w:r>
              <w:rPr>
                <w:rFonts w:ascii="Times New Roman" w:cs="Times New Roman" w:eastAsia="Times New Roman" w:hAnsi="Times New Roman"/>
                <w:sz w:val="14"/>
                <w:szCs w:val="14"/>
              </w:rPr>
              <w:t xml:space="preserve">Post-ejecución</w:t>
            </w:r>
          </w:p>
        </w:tc>
        <w:tc>
          <w:tcPr>
            <w:tcW w:type="pct" w:w="33%"/>
          </w:tcPr>
          <w:p>
            <w:pPr>
              <w:jc w:val="both"/>
            </w:pPr>
            <w:r>
              <w:rPr>
                <w:rFonts w:ascii="Times New Roman" w:cs="Times New Roman" w:eastAsia="Times New Roman" w:hAnsi="Times New Roman"/>
                <w:sz w:val="14"/>
                <w:szCs w:val="14"/>
              </w:rPr>
              <w:t xml:space="preserve">Detecta degradación progresiva de la calidad y dispara alertas (Foidl et al., 2024).</w:t>
            </w:r>
          </w:p>
        </w:tc>
      </w:tr>
    </w:tbl>
    <w:p>
      <w:pPr>
        <w:spacing w:after="100" w:before="200"/>
        <w:jc w:val="center"/>
      </w:pPr>
      <w:r>
        <w:rPr>
          <w:rFonts w:ascii="Times New Roman" w:cs="Times New Roman" w:eastAsia="Times New Roman" w:hAnsi="Times New Roman"/>
          <w:b/>
          <w:bCs/>
          <w:sz w:val="18"/>
          <w:szCs w:val="18"/>
        </w:rPr>
        <w:t xml:space="preserve">III. </w:t>
      </w:r>
      <w:r>
        <w:rPr>
          <w:rFonts w:ascii="Times New Roman" w:cs="Times New Roman" w:eastAsia="Times New Roman" w:hAnsi="Times New Roman"/>
          <w:b/>
          <w:bCs/>
          <w:caps/>
          <w:sz w:val="18"/>
          <w:szCs w:val="18"/>
        </w:rPr>
        <w:t xml:space="preserve">TRABAJOS RELACIONADOS Y CASOS DE ÉXITO</w:t>
      </w:r>
    </w:p>
    <w:p>
      <w:pPr>
        <w:spacing w:after="60" w:before="120"/>
        <w:ind w:firstLine="200"/>
        <w:jc w:val="both"/>
      </w:pPr>
      <w:r>
        <w:rPr>
          <w:rFonts w:ascii="Times New Roman" w:cs="Times New Roman" w:eastAsia="Times New Roman" w:hAnsi="Times New Roman"/>
          <w:b/>
          <w:bCs/>
          <w:i/>
          <w:iCs/>
          <w:sz w:val="18"/>
          <w:szCs w:val="18"/>
        </w:rPr>
        <w:t xml:space="preserve">III-A. Adopción y Madurez de RPA</w:t>
      </w:r>
    </w:p>
    <w:p>
      <w:pPr>
        <w:spacing w:after="60" w:line="249" w:lineRule="auto"/>
        <w:ind w:firstLine="200"/>
        <w:jc w:val="both"/>
      </w:pPr>
      <w:r>
        <w:rPr>
          <w:rFonts w:ascii="Times New Roman" w:cs="Times New Roman" w:eastAsia="Times New Roman" w:hAnsi="Times New Roman"/>
          <w:sz w:val="18"/>
          <w:szCs w:val="18"/>
        </w:rPr>
        <w:t xml:space="preserve">La revisión sistemática de Costa, Mamede y Silva (2022) identifica que la falta de estandarización de datos de entrada es una de las principales causas de fallo en proyectos de RPA a gran escala, incluso por encima de factores tecnológicos. En una línea similar, Bhardwaj (2023) revisó más de noventa estudios sobre RPA en operaciones empresariales y concluyó que los procesos con mayor tasa de automatización exitosa son aquellos que incorporan capas de limpieza y normalización previas a la ejecución del bot.</w:t>
      </w:r>
    </w:p>
    <w:p>
      <w:pPr>
        <w:spacing w:after="60" w:before="120"/>
        <w:ind w:firstLine="200"/>
        <w:jc w:val="both"/>
      </w:pPr>
      <w:r>
        <w:rPr>
          <w:rFonts w:ascii="Times New Roman" w:cs="Times New Roman" w:eastAsia="Times New Roman" w:hAnsi="Times New Roman"/>
          <w:b/>
          <w:bCs/>
          <w:i/>
          <w:iCs/>
          <w:sz w:val="18"/>
          <w:szCs w:val="18"/>
        </w:rPr>
        <w:t xml:space="preserve">III-B. Validación Automatizada en Sectores Regulados</w:t>
      </w:r>
    </w:p>
    <w:p>
      <w:pPr>
        <w:spacing w:after="60" w:line="249" w:lineRule="auto"/>
        <w:ind w:firstLine="200"/>
        <w:jc w:val="both"/>
      </w:pPr>
      <w:r>
        <w:rPr>
          <w:rFonts w:ascii="Times New Roman" w:cs="Times New Roman" w:eastAsia="Times New Roman" w:hAnsi="Times New Roman"/>
          <w:sz w:val="18"/>
          <w:szCs w:val="18"/>
        </w:rPr>
        <w:t xml:space="preserve">Elsayed et al. (2023) documentan la aplicación de RPA para la validación de software en industrias reguladas, demostrando que los robots pueden ejecutar comprobaciones de cumplimiento normativo de forma reproducible cuando los datos de entrada han sido previamente saneados mediante reglas declarativas. De manera análoga, Iordache y Ștefăniga (2025) desarrollaron un sistema basado en UiPath para la extracción y validación automatizada de datos clínicos, evidenciando reducciones significativas en el tiempo de procesamiento y en la tasa de errores frente al tratamiento manual.</w:t>
      </w:r>
    </w:p>
    <w:p>
      <w:pPr>
        <w:spacing w:after="60" w:before="120"/>
        <w:ind w:firstLine="200"/>
        <w:jc w:val="both"/>
      </w:pPr>
      <w:r>
        <w:rPr>
          <w:rFonts w:ascii="Times New Roman" w:cs="Times New Roman" w:eastAsia="Times New Roman" w:hAnsi="Times New Roman"/>
          <w:b/>
          <w:bCs/>
          <w:i/>
          <w:iCs/>
          <w:sz w:val="18"/>
          <w:szCs w:val="18"/>
        </w:rPr>
        <w:t xml:space="preserve">III-C. Marcos de Calidad de Datos en Pipelines de Ingeniería</w:t>
      </w:r>
    </w:p>
    <w:p>
      <w:pPr>
        <w:spacing w:after="60" w:line="249" w:lineRule="auto"/>
        <w:ind w:firstLine="200"/>
        <w:jc w:val="both"/>
      </w:pPr>
      <w:r>
        <w:rPr>
          <w:rFonts w:ascii="Times New Roman" w:cs="Times New Roman" w:eastAsia="Times New Roman" w:hAnsi="Times New Roman"/>
          <w:sz w:val="18"/>
          <w:szCs w:val="18"/>
        </w:rPr>
        <w:t xml:space="preserve">Foidl, Golendukhina, Ramler y Felderer (2024) analizan los factores que inciden en la calidad de las tuberías de datos, identificando la ausencia de pruebas automatizadas como la causa raíz más recurrente de errores en producción. Priestley, O'Donnell y Simperl (2023) complementan esta perspectiva señalando que los requisitos de calidad de datos deben definirse desde etapas tempranas del ciclo de vida del pipeline, principio directamente trasladable a la construcción de flujos RPA que dependen de fuentes externas heterogéneas.</w:t>
      </w:r>
    </w:p>
    <w:p>
      <w:pPr>
        <w:spacing w:after="60" w:before="120"/>
        <w:ind w:firstLine="200"/>
        <w:jc w:val="both"/>
      </w:pPr>
      <w:r>
        <w:rPr>
          <w:rFonts w:ascii="Times New Roman" w:cs="Times New Roman" w:eastAsia="Times New Roman" w:hAnsi="Times New Roman"/>
          <w:b/>
          <w:bCs/>
          <w:i/>
          <w:iCs/>
          <w:sz w:val="18"/>
          <w:szCs w:val="18"/>
        </w:rPr>
        <w:t xml:space="preserve">III-D. Caso Aplicado: Arquitectura por Capas Bronce-Silver-Gold</w:t>
      </w:r>
    </w:p>
    <w:p>
      <w:pPr>
        <w:spacing w:after="60" w:line="249" w:lineRule="auto"/>
        <w:ind w:firstLine="200"/>
        <w:jc w:val="both"/>
      </w:pPr>
      <w:r>
        <w:rPr>
          <w:rFonts w:ascii="Times New Roman" w:cs="Times New Roman" w:eastAsia="Times New Roman" w:hAnsi="Times New Roman"/>
          <w:sz w:val="18"/>
          <w:szCs w:val="18"/>
        </w:rPr>
        <w:t xml:space="preserve">Como aporte práctico de esta investigación, se implementó una arquitectura de limpieza y validación por capas (Bronze-Silver-Gold) sobre un conjunto de datos del macroentorno ecuatoriano, combinando fuentes del Banco Central del Ecuador (BCE) y del Ministerio de Educación (MINEDUC/AMIE). En la capa Bronce se preservaron los datos crudos tal como fueron extraídos, sin transformación, para garantizar trazabilidad ante auditorías. En la capa Silver se aplicaron las reglas de validación descritas en la Sección II —tipificación de campos, eliminación de duplicados, normalización de nombres de provincias y tratamiento de valores nulos— persistiendo los resultados en tablas SQLite intermedias. Finalmente, en la capa Gold se generaron vistas analíticas ya validadas y agregadas, listas para su consumo directo por herramientas de inteligencia de negocio, siguiendo el principio de que la limpieza debe ejecutarse antes de la capa de consumo y no dentro de la herramienta de visualización (Foidl et al., 2024).</w:t>
      </w:r>
    </w:p>
    <w:p>
      <w:pPr>
        <w:spacing w:after="60" w:line="249" w:lineRule="auto"/>
        <w:ind w:firstLine="200"/>
        <w:jc w:val="both"/>
      </w:pPr>
      <w:r>
        <w:rPr>
          <w:rFonts w:ascii="Times New Roman" w:cs="Times New Roman" w:eastAsia="Times New Roman" w:hAnsi="Times New Roman"/>
          <w:sz w:val="18"/>
          <w:szCs w:val="18"/>
        </w:rPr>
        <w:t xml:space="preserve">Sobre las vistas Gold resultantes se construyó un tablero en Power BI con tres páginas de análisis: (i) el ciclo económico del PIB ecuatoriano entre 2000 y 2025, contrastando la variación anual con el tamaño real de la economía; (ii) la distribución de empresas activas por provincia, evidenciando la concentración del tejido empresarial en Guayas y Pichincha; y (iii) la relación entre bachilleres graduados y empresas activas por provincia, utilizada como indicador de la brecha entre oferta de talento joven y demanda laboral formal. La construcción de estas vistas fue posible únicamente porque los datos habían sido previamente saneados en la capa Silver; los ejercicios preliminares realizados directamente sobre los datos Bronce arrojaban duplicados de provincias y valores inconsistentes que distorsionaban los totales agregados.</w:t>
      </w:r>
    </w:p>
    <w:p>
      <w:pPr>
        <w:spacing w:after="100" w:before="200"/>
        <w:jc w:val="center"/>
      </w:pPr>
      <w:r>
        <w:rPr>
          <w:rFonts w:ascii="Times New Roman" w:cs="Times New Roman" w:eastAsia="Times New Roman" w:hAnsi="Times New Roman"/>
          <w:b/>
          <w:bCs/>
          <w:sz w:val="18"/>
          <w:szCs w:val="18"/>
        </w:rPr>
        <w:t xml:space="preserve">IV. </w:t>
      </w:r>
      <w:r>
        <w:rPr>
          <w:rFonts w:ascii="Times New Roman" w:cs="Times New Roman" w:eastAsia="Times New Roman" w:hAnsi="Times New Roman"/>
          <w:b/>
          <w:bCs/>
          <w:caps/>
          <w:sz w:val="18"/>
          <w:szCs w:val="18"/>
        </w:rPr>
        <w:t xml:space="preserve">TENDENCIAS Y FUTURO</w:t>
      </w:r>
    </w:p>
    <w:p>
      <w:pPr>
        <w:spacing w:after="60"/>
        <w:ind w:firstLine="200"/>
        <w:jc w:val="both"/>
      </w:pPr>
      <w:r>
        <w:rPr>
          <w:rFonts w:ascii="Times New Roman" w:cs="Times New Roman" w:eastAsia="Times New Roman" w:hAnsi="Times New Roman"/>
          <w:sz w:val="18"/>
          <w:szCs w:val="18"/>
        </w:rPr>
        <w:t xml:space="preserve">El futuro de la validación de datos en flujos RPA se orienta hacia tres vectores principales:</w:t>
      </w:r>
    </w:p>
    <w:p>
      <w:pPr>
        <w:spacing w:after="80"/>
        <w:ind w:left="220" w:hanging="22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Validación Predictiva basada en Aprendizaje Automático:</w:t>
      </w:r>
      <w:r>
        <w:rPr>
          <w:rFonts w:ascii="Times New Roman" w:cs="Times New Roman" w:eastAsia="Times New Roman" w:hAnsi="Times New Roman"/>
          <w:sz w:val="18"/>
          <w:szCs w:val="18"/>
        </w:rPr>
        <w:t xml:space="preserve"> modelos capaces de anticipar registros anómalos antes de que el robot los procese, reduciendo la dependencia de reglas estáticas (Rangineni, 2023).</w:t>
      </w:r>
    </w:p>
    <w:p>
      <w:pPr>
        <w:spacing w:after="80"/>
        <w:ind w:left="220" w:hanging="22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i/>
          <w:iCs/>
          <w:sz w:val="18"/>
          <w:szCs w:val="18"/>
        </w:rPr>
        <w:t xml:space="preserve">Gobernanza de Datos Integrada al Ciclo RPA:</w:t>
      </w:r>
      <w:r>
        <w:rPr>
          <w:rFonts w:ascii="Times New Roman" w:cs="Times New Roman" w:eastAsia="Times New Roman" w:hAnsi="Times New Roman"/>
          <w:sz w:val="18"/>
          <w:szCs w:val="18"/>
        </w:rPr>
        <w:t xml:space="preserve"> incorporación de catálogos y linaje de datos que permitan auditar el origen de cada corrección aplicada por el bot, en línea con los marcos de calidad discutidos por Foidl et al. (2024).</w:t>
      </w:r>
    </w:p>
    <w:p>
      <w:pPr>
        <w:spacing w:after="80"/>
        <w:ind w:left="220" w:hanging="22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i/>
          <w:iCs/>
          <w:sz w:val="18"/>
          <w:szCs w:val="18"/>
        </w:rPr>
        <w:t xml:space="preserve">Auto-remediación de Excepciones:</w:t>
      </w:r>
      <w:r>
        <w:rPr>
          <w:rFonts w:ascii="Times New Roman" w:cs="Times New Roman" w:eastAsia="Times New Roman" w:hAnsi="Times New Roman"/>
          <w:sz w:val="18"/>
          <w:szCs w:val="18"/>
        </w:rPr>
        <w:t xml:space="preserve"> flujos capaces de corregir automáticamente inconsistencias menores y escalar únicamente los casos ambiguos a revisión humana (Human-in-the-Loop), reduciendo el reproceso manual documentado por Iordache y Ștefăniga (2025).</w:t>
      </w:r>
    </w:p>
    <w:p>
      <w:pPr>
        <w:spacing w:after="100" w:before="200"/>
        <w:jc w:val="center"/>
      </w:pPr>
      <w:r>
        <w:rPr>
          <w:rFonts w:ascii="Times New Roman" w:cs="Times New Roman" w:eastAsia="Times New Roman" w:hAnsi="Times New Roman"/>
          <w:b/>
          <w:bCs/>
          <w:sz w:val="18"/>
          <w:szCs w:val="18"/>
        </w:rPr>
        <w:t xml:space="preserve">V. </w:t>
      </w:r>
      <w:r>
        <w:rPr>
          <w:rFonts w:ascii="Times New Roman" w:cs="Times New Roman" w:eastAsia="Times New Roman" w:hAnsi="Times New Roman"/>
          <w:b/>
          <w:bCs/>
          <w:caps/>
          <w:sz w:val="18"/>
          <w:szCs w:val="18"/>
        </w:rPr>
        <w:t xml:space="preserve">CONCLUSIONES</w:t>
      </w:r>
    </w:p>
    <w:p>
      <w:pPr>
        <w:spacing w:after="60" w:line="249" w:lineRule="auto"/>
        <w:ind w:firstLine="200"/>
        <w:jc w:val="both"/>
      </w:pPr>
      <w:r>
        <w:rPr>
          <w:rFonts w:ascii="Times New Roman" w:cs="Times New Roman" w:eastAsia="Times New Roman" w:hAnsi="Times New Roman"/>
          <w:sz w:val="18"/>
          <w:szCs w:val="18"/>
        </w:rPr>
        <w:t xml:space="preserve">La revisión del estado del arte confirma que la sostenibilidad de los flujos RPA depende en gran medida de la madurez de la Ingeniería de Datos que los sustenta. La validación y limpieza automatizada, lejos de ser una etapa preparatoria menor, constituye el mecanismo que determina la confiabilidad, la trazabilidad y la escalabilidad de la automatización. Los trabajos revisados coinciden en que la incorporación temprana de reglas de calidad, perfilado de datos y gobernanza reduce drásticamente la intervención manual y habilita la evolución hacia flujos autónomos y auto-correctivos.</w:t>
      </w:r>
    </w:p>
    <w:p>
      <w:pPr>
        <w:spacing w:after="60" w:line="249" w:lineRule="auto"/>
        <w:ind w:firstLine="200"/>
        <w:jc w:val="both"/>
      </w:pPr>
      <w:r>
        <w:rPr>
          <w:rFonts w:ascii="Times New Roman" w:cs="Times New Roman" w:eastAsia="Times New Roman" w:hAnsi="Times New Roman"/>
          <w:sz w:val="18"/>
          <w:szCs w:val="18"/>
        </w:rPr>
        <w:t xml:space="preserve">La aplicación práctica desarrollada en este proyecto corrobora esta premisa: la arquitectura por capas Bronce-Silver-Gold, ejecutada sobre datos macroeconómicos y educativos del Ecuador (BCE y MINEDUC), permitió obtener vistas Gold confiables sobre las cuales se construyó un tablero funcional en Power BI. Los resultados —el ciclo económico del PIB, la distribución de empresas activas por provincia y la relación entre bachilleres graduados y empresas activas— solo fueron interpretables correctamente porque la limpieza y validación se ejecutaron antes de llegar a la capa de visualización, lo que valida en un caso real ecuatoriano las conclusiones reportadas en la literatura revisada.</w:t>
      </w:r>
    </w:p>
    <w:p>
      <w:pPr>
        <w:spacing w:after="120" w:before="200"/>
        <w:jc w:val="center"/>
      </w:pPr>
      <w:r>
        <w:rPr>
          <w:rFonts w:ascii="Times New Roman" w:cs="Times New Roman" w:eastAsia="Times New Roman" w:hAnsi="Times New Roman"/>
          <w:b/>
          <w:bCs/>
          <w:sz w:val="18"/>
          <w:szCs w:val="18"/>
        </w:rPr>
        <w:t xml:space="preserve">REFERENCIAS</w:t>
      </w:r>
    </w:p>
    <w:p>
      <w:pPr>
        <w:spacing w:after="100"/>
        <w:ind w:left="200" w:hanging="200"/>
        <w:jc w:val="both"/>
      </w:pPr>
      <w:r>
        <w:rPr>
          <w:rFonts w:ascii="Times New Roman" w:cs="Times New Roman" w:eastAsia="Times New Roman" w:hAnsi="Times New Roman"/>
          <w:sz w:val="16"/>
          <w:szCs w:val="16"/>
        </w:rPr>
        <w:t xml:space="preserve">Bhardwaj, V. (2023). A systematic review of robotic process automation in business operations: Contemporary trends and insights. Journal of Intelligent Systems and Control, 2(3), 153–169. https://doi.org/10.56578/jisc020304</w:t>
      </w:r>
    </w:p>
    <w:p>
      <w:pPr>
        <w:spacing w:after="100"/>
        <w:ind w:left="200" w:hanging="200"/>
        <w:jc w:val="both"/>
      </w:pPr>
      <w:r>
        <w:rPr>
          <w:rFonts w:ascii="Times New Roman" w:cs="Times New Roman" w:eastAsia="Times New Roman" w:hAnsi="Times New Roman"/>
          <w:sz w:val="16"/>
          <w:szCs w:val="16"/>
        </w:rPr>
        <w:t xml:space="preserve">Costa, S. A. S., Mamede, H. S., &amp; Silva, M. M. (2022). Robotic Process Automation (RPA) adoption: A systematic literature review. Engineering Management in Production and Services, 14(2), 1–12. https://doi.org/10.2478/emj-2022-0012</w:t>
      </w:r>
    </w:p>
    <w:p>
      <w:pPr>
        <w:spacing w:after="100"/>
        <w:ind w:left="200" w:hanging="200"/>
        <w:jc w:val="both"/>
      </w:pPr>
      <w:r>
        <w:rPr>
          <w:rFonts w:ascii="Times New Roman" w:cs="Times New Roman" w:eastAsia="Times New Roman" w:hAnsi="Times New Roman"/>
          <w:sz w:val="16"/>
          <w:szCs w:val="16"/>
        </w:rPr>
        <w:t xml:space="preserve">Ehrlinger, L., Rusz, E., &amp; Wöß, W. (2022). A survey of data-quality measurement and monitoring tools. Frontiers in Big Data, 5. https://doi.org/10.3389/fdata.2022.850611</w:t>
      </w:r>
    </w:p>
    <w:p>
      <w:pPr>
        <w:spacing w:after="100"/>
        <w:ind w:left="200" w:hanging="200"/>
        <w:jc w:val="both"/>
      </w:pPr>
      <w:r>
        <w:rPr>
          <w:rFonts w:ascii="Times New Roman" w:cs="Times New Roman" w:eastAsia="Times New Roman" w:hAnsi="Times New Roman"/>
          <w:sz w:val="16"/>
          <w:szCs w:val="16"/>
        </w:rPr>
        <w:t xml:space="preserve">Elsayed, N., Abb, L., Sander, H., &amp; Rehse, J. R. (2023). Automating computer software validation in regulated industries with Robotic Process Automation. En Business Process Management: Blockchain, Robotic Process Automation and Educators Forum (BPM 2023), LNBIP vol. 491. Springer. https://doi.org/10.1007/978-3-031-43433-4_9</w:t>
      </w:r>
    </w:p>
    <w:p>
      <w:pPr>
        <w:spacing w:after="100"/>
        <w:ind w:left="200" w:hanging="200"/>
        <w:jc w:val="both"/>
      </w:pPr>
      <w:r>
        <w:rPr>
          <w:rFonts w:ascii="Times New Roman" w:cs="Times New Roman" w:eastAsia="Times New Roman" w:hAnsi="Times New Roman"/>
          <w:sz w:val="16"/>
          <w:szCs w:val="16"/>
        </w:rPr>
        <w:t xml:space="preserve">Foidl, H., Golendukhina, V., Ramler, R., &amp; Felderer, M. (2024). Data pipeline quality: Influencing factors, root causes, and processing problem areas. Journal of Systems and Software, 210. https://doi.org/10.1016/j.jss.2023.111946</w:t>
      </w:r>
    </w:p>
    <w:p>
      <w:pPr>
        <w:spacing w:after="100"/>
        <w:ind w:left="200" w:hanging="200"/>
        <w:jc w:val="both"/>
      </w:pPr>
      <w:r>
        <w:rPr>
          <w:rFonts w:ascii="Times New Roman" w:cs="Times New Roman" w:eastAsia="Times New Roman" w:hAnsi="Times New Roman"/>
          <w:sz w:val="16"/>
          <w:szCs w:val="16"/>
        </w:rPr>
        <w:t xml:space="preserve">Iordache, O. C., &amp; Ștefăniga, S. A. (2025). Understanding the role of Robotic Process Automation in healthcare. Applied Medical Informatics, 47(Suppl. 1).</w:t>
      </w:r>
    </w:p>
    <w:p>
      <w:pPr>
        <w:spacing w:after="100"/>
        <w:ind w:left="200" w:hanging="200"/>
        <w:jc w:val="both"/>
      </w:pPr>
      <w:r>
        <w:rPr>
          <w:rFonts w:ascii="Times New Roman" w:cs="Times New Roman" w:eastAsia="Times New Roman" w:hAnsi="Times New Roman"/>
          <w:sz w:val="16"/>
          <w:szCs w:val="16"/>
        </w:rPr>
        <w:t xml:space="preserve">Plattfaut, R., &amp; Borghoff, V. (2022). Robotic process automation: A literature-based research agenda. Journal of Information Systems, 36(2), 173–191.</w:t>
      </w:r>
    </w:p>
    <w:p>
      <w:pPr>
        <w:spacing w:after="100"/>
        <w:ind w:left="200" w:hanging="200"/>
        <w:jc w:val="both"/>
      </w:pPr>
      <w:r>
        <w:rPr>
          <w:rFonts w:ascii="Times New Roman" w:cs="Times New Roman" w:eastAsia="Times New Roman" w:hAnsi="Times New Roman"/>
          <w:sz w:val="16"/>
          <w:szCs w:val="16"/>
        </w:rPr>
        <w:t xml:space="preserve">Priestley, M., O'Donnell, F., &amp; Simperl, E. (2023). A survey of data quality requirements that matter in ML development pipelines. Journal of Data and Information Quality, 15(1), Article 11.</w:t>
      </w:r>
    </w:p>
    <w:p>
      <w:pPr>
        <w:spacing w:after="100"/>
        <w:ind w:left="200" w:hanging="200"/>
        <w:jc w:val="both"/>
      </w:pPr>
      <w:r>
        <w:rPr>
          <w:rFonts w:ascii="Times New Roman" w:cs="Times New Roman" w:eastAsia="Times New Roman" w:hAnsi="Times New Roman"/>
          <w:sz w:val="16"/>
          <w:szCs w:val="16"/>
        </w:rPr>
        <w:t xml:space="preserve">Rangineni, S. (2023). An analysis of data quality requirements for machine learning development pipelines frameworks. International Journal of Computer Trends and Technology, 71(8), 16–27. https://doi.org/10.14445/22312803/IJCTT-V71I8P103</w:t>
      </w:r>
    </w:p>
    <w:p>
      <w:pPr>
        <w:spacing w:after="100"/>
        <w:ind w:left="200" w:hanging="200"/>
        <w:jc w:val="both"/>
      </w:pPr>
      <w:r>
        <w:rPr>
          <w:rFonts w:ascii="Times New Roman" w:cs="Times New Roman" w:eastAsia="Times New Roman" w:hAnsi="Times New Roman"/>
          <w:sz w:val="16"/>
          <w:szCs w:val="16"/>
        </w:rPr>
        <w:t xml:space="preserve">Ridzuan, N., Idrus, M., &amp; Mahdin, H. (2024). A review of data-quality dimensions for big data. IEEE Access, 12, 11258–11275. https://doi.org/10.1109/ACCESS.2024.3353678</w:t>
      </w:r>
    </w:p>
    <w:sectPr>
      <w:pgSz w:w="12240" w:h="15840" w:orient="portrait"/>
      <w:pgMar w:top="1000" w:right="720" w:bottom="280" w:left="720" w:header="708" w:footer="708" w:gutter="0"/>
      <w:pgNumType/>
      <w:cols w:space="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2026-07-21T23:20:45.016Z</dcterms:created>
  <dcterms:modified xsi:type="dcterms:W3CDTF">2026-07-21T23:20:45.032Z</dcterms:modified>
</cp:coreProperties>
</file>

<file path=docProps/custom.xml><?xml version="1.0" encoding="utf-8"?>
<Properties xmlns="http://schemas.openxmlformats.org/officeDocument/2006/custom-properties" xmlns:vt="http://schemas.openxmlformats.org/officeDocument/2006/docPropsVTypes"/>
</file>