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beforeAutospacing="0" w:before="299" w:afterAutospacing="0" w:after="299"/>
        <w:jc w:val="center"/>
        <w:rPr/>
      </w:pPr>
      <w:r>
        <w:rPr>
          <w:rFonts w:eastAsia="Aptos" w:cs="Aptos" w:ascii="Aptos" w:hAnsi="Aptos"/>
          <w:b/>
          <w:bCs/>
          <w:sz w:val="24"/>
          <w:szCs w:val="24"/>
          <w:lang w:val="pt-BR"/>
        </w:rPr>
        <w:t>Relatório sobre AutoML com Auto-Sklearn</w:t>
      </w:r>
    </w:p>
    <w:p>
      <w:pPr>
        <w:pStyle w:val="Heading3"/>
        <w:spacing w:beforeAutospacing="0" w:before="281" w:afterAutospacing="0" w:after="281"/>
        <w:jc w:val="both"/>
        <w:rPr/>
      </w:pPr>
      <w:r>
        <w:rPr>
          <w:rFonts w:eastAsia="Aptos" w:cs="Aptos" w:ascii="Aptos" w:hAnsi="Aptos"/>
          <w:b/>
          <w:bCs/>
          <w:sz w:val="24"/>
          <w:szCs w:val="24"/>
          <w:lang w:val="pt-BR"/>
        </w:rPr>
        <w:t>Introdução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Aptos" w:cs="Aptos"/>
          <w:sz w:val="24"/>
          <w:szCs w:val="24"/>
          <w:lang w:val="pt-BR"/>
        </w:rPr>
        <w:t>O AutoML (Automated Machine Learning) é uma abordagem que automatiza o processo de seleção de modelos, otimização de hiperparâmetros, pré-processamento de dados e engenharia de características. O Auto-Sklearn é uma ferramenta de AutoML baseada na biblioteca scikit-learn, projetada para facilitar o uso de machine learning, mesmo para aqueles que não têm experiência profunda na área.</w:t>
      </w:r>
    </w:p>
    <w:p>
      <w:pPr>
        <w:pStyle w:val="Heading3"/>
        <w:spacing w:beforeAutospacing="0" w:before="281" w:afterAutospacing="0" w:after="281"/>
        <w:jc w:val="both"/>
        <w:rPr/>
      </w:pPr>
      <w:r>
        <w:rPr>
          <w:rFonts w:eastAsia="Aptos" w:cs="Aptos" w:ascii="Aptos" w:hAnsi="Aptos"/>
          <w:b/>
          <w:bCs/>
          <w:sz w:val="24"/>
          <w:szCs w:val="24"/>
          <w:lang w:val="pt-BR"/>
        </w:rPr>
        <w:t>Funcionamento do Auto-Sklearn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Aptos" w:cs="Aptos"/>
          <w:sz w:val="24"/>
          <w:szCs w:val="24"/>
          <w:lang w:val="pt-BR"/>
        </w:rPr>
        <w:t>O Auto-Sklearn realiza uma série de etapas para encontrar o melhor modelo e as melhores configurações para o problema em questão. Essas etapas incluem: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pt-BR"/>
        </w:rPr>
        <w:t>Pré-processamento de dados</w:t>
      </w:r>
      <w:r>
        <w:rPr>
          <w:rFonts w:eastAsia="Aptos" w:cs="Aptos"/>
          <w:sz w:val="24"/>
          <w:szCs w:val="24"/>
          <w:lang w:val="pt-BR"/>
        </w:rPr>
        <w:t>: Inclui técnicas como normalização, padronização, imputation (preenchimento de valores ausentes) e codificação de variáveis categóricas.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pt-BR"/>
        </w:rPr>
        <w:t>Seleção de modelo</w:t>
      </w:r>
      <w:r>
        <w:rPr>
          <w:rFonts w:eastAsia="Aptos" w:cs="Aptos"/>
          <w:sz w:val="24"/>
          <w:szCs w:val="24"/>
          <w:lang w:val="pt-BR"/>
        </w:rPr>
        <w:t>: Testa uma variedade de algoritmos de machine learning (como árvores de decisão, florestas aleatórias, SVMs, redes neurais, etc.) para encontrar o mais adequado.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pt-BR"/>
        </w:rPr>
        <w:t>Otimização de hiperparâmetros</w:t>
      </w:r>
      <w:r>
        <w:rPr>
          <w:rFonts w:eastAsia="Aptos" w:cs="Aptos"/>
          <w:sz w:val="24"/>
          <w:szCs w:val="24"/>
          <w:lang w:val="pt-BR"/>
        </w:rPr>
        <w:t>: Ajusta automaticamente os hiperparâmetros dos modelos para melhorar o desempenho.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pt-BR"/>
        </w:rPr>
        <w:t>Engenharia de características</w:t>
      </w:r>
      <w:r>
        <w:rPr>
          <w:rFonts w:eastAsia="Aptos" w:cs="Aptos"/>
          <w:sz w:val="24"/>
          <w:szCs w:val="24"/>
          <w:lang w:val="pt-BR"/>
        </w:rPr>
        <w:t>: Gera novas características ou transforma as existentes para melhorar a qualidade do modelo.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pt-BR"/>
        </w:rPr>
        <w:t>Validação cruzada</w:t>
      </w:r>
      <w:r>
        <w:rPr>
          <w:rFonts w:eastAsia="Aptos" w:cs="Aptos"/>
          <w:sz w:val="24"/>
          <w:szCs w:val="24"/>
          <w:lang w:val="pt-BR"/>
        </w:rPr>
        <w:t>: Avalia o desempenho dos modelos usando técnicas de validação cruzada para garantir a robustez dos resultados.</w:t>
      </w:r>
    </w:p>
    <w:p>
      <w:pPr>
        <w:pStyle w:val="Heading3"/>
        <w:spacing w:beforeAutospacing="0" w:before="281" w:afterAutospacing="0" w:after="281"/>
        <w:jc w:val="both"/>
        <w:rPr/>
      </w:pPr>
      <w:r>
        <w:rPr>
          <w:rFonts w:eastAsia="Aptos" w:cs="Aptos" w:ascii="Aptos" w:hAnsi="Aptos"/>
          <w:b/>
          <w:bCs/>
          <w:sz w:val="24"/>
          <w:szCs w:val="24"/>
          <w:lang w:val="pt-BR"/>
        </w:rPr>
        <w:t>Processo de Funcionamento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Aptos" w:cs="Aptos"/>
          <w:sz w:val="24"/>
          <w:szCs w:val="24"/>
          <w:lang w:val="pt-BR"/>
        </w:rPr>
        <w:t>O Auto-Sklearn segue os seguintes passos para realizar suas tarefas:</w:t>
      </w:r>
    </w:p>
    <w:p>
      <w:pPr>
        <w:pStyle w:val="ListParagraph"/>
        <w:numPr>
          <w:ilvl w:val="0"/>
          <w:numId w:val="2"/>
        </w:numPr>
        <w:spacing w:beforeAutospacing="0" w:before="240" w:afterAutospacing="0" w:after="24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pt-BR"/>
        </w:rPr>
        <w:t>Exploração do espaço de busca</w:t>
      </w:r>
      <w:r>
        <w:rPr>
          <w:rFonts w:eastAsia="Aptos" w:cs="Aptos"/>
          <w:sz w:val="24"/>
          <w:szCs w:val="24"/>
          <w:lang w:val="pt-BR"/>
        </w:rPr>
        <w:t>: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pt-BR"/>
        </w:rPr>
        <w:t>Espaço de modelos</w:t>
      </w:r>
      <w:r>
        <w:rPr>
          <w:rFonts w:eastAsia="Aptos" w:cs="Aptos"/>
          <w:sz w:val="24"/>
          <w:szCs w:val="24"/>
          <w:lang w:val="pt-BR"/>
        </w:rPr>
        <w:t>: Inclui diversos algoritmos de machine learning disponíveis no scikit-learn.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pt-BR"/>
        </w:rPr>
        <w:t>Espaço de pré-processamento</w:t>
      </w:r>
      <w:r>
        <w:rPr>
          <w:rFonts w:eastAsia="Aptos" w:cs="Aptos"/>
          <w:sz w:val="24"/>
          <w:szCs w:val="24"/>
          <w:lang w:val="pt-BR"/>
        </w:rPr>
        <w:t>: Diversas técnicas para preparar os dados, como escalonamento e transformação.</w:t>
      </w:r>
    </w:p>
    <w:p>
      <w:pPr>
        <w:pStyle w:val="ListParagraph"/>
        <w:numPr>
          <w:ilvl w:val="1"/>
          <w:numId w:val="1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pt-BR"/>
        </w:rPr>
        <w:t>Espaço de hiperparâmetros</w:t>
      </w:r>
      <w:r>
        <w:rPr>
          <w:rFonts w:eastAsia="Aptos" w:cs="Aptos"/>
          <w:sz w:val="24"/>
          <w:szCs w:val="24"/>
          <w:lang w:val="pt-BR"/>
        </w:rPr>
        <w:t>: Conjunto de parâmetros ajustáveis para cada modelo.</w:t>
      </w:r>
    </w:p>
    <w:p>
      <w:pPr>
        <w:pStyle w:val="ListParagraph"/>
        <w:numPr>
          <w:ilvl w:val="0"/>
          <w:numId w:val="2"/>
        </w:numPr>
        <w:spacing w:beforeAutospacing="0" w:before="24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pt-BR"/>
        </w:rPr>
        <w:t>Otimização Bayesiana</w:t>
      </w:r>
      <w:r>
        <w:rPr>
          <w:rFonts w:eastAsia="Aptos" w:cs="Aptos"/>
          <w:sz w:val="24"/>
          <w:szCs w:val="24"/>
          <w:lang w:val="pt-BR"/>
        </w:rPr>
        <w:t>: Utiliza otimização Bayesiana para explorar o espaço de busca eficientemente. Isso permite a seleção dos melhores modelos e hiperparâmetros com menos avaliações em comparação a métodos de busca exaustiva.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pt-BR"/>
        </w:rPr>
        <w:t>Meta-learning</w:t>
      </w:r>
      <w:r>
        <w:rPr>
          <w:rFonts w:eastAsia="Aptos" w:cs="Aptos"/>
          <w:sz w:val="24"/>
          <w:szCs w:val="24"/>
          <w:lang w:val="pt-BR"/>
        </w:rPr>
        <w:t>: O Auto-Sklearn usa meta-learning para iniciar a busca a partir de configurações que foram eficazes em problemas semelhantes no passado. Isso acelera o processo de encontrar boas soluções.</w:t>
      </w:r>
    </w:p>
    <w:p>
      <w:pPr>
        <w:pStyle w:val="ListParagraph"/>
        <w:numPr>
          <w:ilvl w:val="0"/>
          <w:numId w:val="2"/>
        </w:numPr>
        <w:spacing w:beforeAutospacing="0" w:before="0" w:afterAutospacing="0" w:after="24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pt-BR"/>
        </w:rPr>
        <w:t>Construção de ensemble</w:t>
      </w:r>
      <w:r>
        <w:rPr>
          <w:rFonts w:eastAsia="Aptos" w:cs="Aptos"/>
          <w:sz w:val="24"/>
          <w:szCs w:val="24"/>
          <w:lang w:val="pt-BR"/>
        </w:rPr>
        <w:t>: Após identificar os melhores modelos, o Auto-Sklearn constrói um ensemble (comitê de modelos) para combinar os melhores modelos e melhorar o desempenho geral.</w:t>
      </w:r>
    </w:p>
    <w:p>
      <w:pPr>
        <w:pStyle w:val="Heading3"/>
        <w:spacing w:beforeAutospacing="0" w:before="281" w:afterAutospacing="0" w:after="281"/>
        <w:jc w:val="both"/>
        <w:rPr/>
      </w:pPr>
      <w:r>
        <w:rPr>
          <w:rFonts w:eastAsia="Aptos" w:cs="Aptos" w:ascii="Aptos" w:hAnsi="Aptos"/>
          <w:b/>
          <w:bCs/>
          <w:sz w:val="24"/>
          <w:szCs w:val="24"/>
          <w:lang w:val="pt-BR"/>
        </w:rPr>
        <w:t>Etapas de Pré-Processamento</w:t>
      </w:r>
    </w:p>
    <w:p>
      <w:pPr>
        <w:pStyle w:val="Normal"/>
        <w:spacing w:beforeAutospacing="0" w:before="240" w:afterAutospacing="0" w:after="240"/>
        <w:jc w:val="both"/>
        <w:rPr/>
      </w:pPr>
      <w:r>
        <w:rPr>
          <w:rFonts w:eastAsia="Aptos" w:cs="Aptos"/>
          <w:sz w:val="24"/>
          <w:szCs w:val="24"/>
          <w:lang w:val="pt-BR"/>
        </w:rPr>
        <w:t>O Auto-Sklearn fornece várias técnicas de pré-processamento automaticamente, incluindo: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pt-BR"/>
        </w:rPr>
        <w:t>Imputação de valores ausentes</w:t>
      </w:r>
      <w:r>
        <w:rPr>
          <w:rFonts w:eastAsia="Aptos" w:cs="Aptos"/>
          <w:sz w:val="24"/>
          <w:szCs w:val="24"/>
          <w:lang w:val="pt-BR"/>
        </w:rPr>
        <w:t>: Substitui valores ausentes por médias, medianas ou métodos mais avançados.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pt-BR"/>
        </w:rPr>
        <w:t>Codificação de variáveis categóricas</w:t>
      </w:r>
      <w:r>
        <w:rPr>
          <w:rFonts w:eastAsia="Aptos" w:cs="Aptos"/>
          <w:sz w:val="24"/>
          <w:szCs w:val="24"/>
          <w:lang w:val="pt-BR"/>
        </w:rPr>
        <w:t>: Converte variáveis categóricas em forma numérica (one-hot encoding, label encoding).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both"/>
        <w:rPr/>
      </w:pPr>
      <w:r>
        <w:rPr>
          <w:rFonts w:eastAsia="Aptos" w:cs="Aptos"/>
          <w:b/>
          <w:bCs/>
          <w:sz w:val="24"/>
          <w:szCs w:val="24"/>
          <w:lang w:val="pt-BR"/>
        </w:rPr>
        <w:t>Escalonamento de características</w:t>
      </w:r>
      <w:r>
        <w:rPr>
          <w:rFonts w:eastAsia="Aptos" w:cs="Aptos"/>
          <w:sz w:val="24"/>
          <w:szCs w:val="24"/>
          <w:lang w:val="pt-BR"/>
        </w:rPr>
        <w:t>: Normaliza ou padroniza os dados para melhorar o desempenho dos modelos que são sensíveis à escala das características.</w:t>
      </w:r>
    </w:p>
    <w:p>
      <w:pPr>
        <w:pStyle w:val="Heading3"/>
        <w:spacing w:beforeAutospacing="0" w:before="281" w:afterAutospacing="0" w:after="281"/>
        <w:jc w:val="both"/>
        <w:rPr/>
      </w:pPr>
      <w:r>
        <w:rPr/>
      </w:r>
    </w:p>
    <w:p>
      <w:pPr>
        <w:pStyle w:val="BodyText"/>
        <w:jc w:val="both"/>
        <w:rPr/>
      </w:pPr>
      <w:r>
        <w:rPr>
          <w:rStyle w:val="Strong"/>
          <w:color w:val="1F4D78"/>
        </w:rPr>
        <w:t>Aplicando o Auto-sklearn</w:t>
      </w:r>
    </w:p>
    <w:p>
      <w:pPr>
        <w:pStyle w:val="BodyText"/>
        <w:jc w:val="both"/>
        <w:rPr/>
      </w:pPr>
      <w:r>
        <w:rPr/>
        <w:t>Para aplicar o Auto-sklearn, seguimos os seguintes passos: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Importação das bibliotecas:</w:t>
      </w:r>
      <w:r>
        <w:rPr/>
        <w:t xml:space="preserve"> Importamos as bibliotecas necessárias, incluindo autosklearn.classification, sklearn.datasets, sklearn.model_selection, sklearn.metrics, matplotlib.pyplot e seaborn.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Carregamento e divisão do dataset:</w:t>
      </w:r>
      <w:r>
        <w:rPr/>
        <w:t xml:space="preserve"> Carregamos o dataset desejado (no exemplo, o dataset Iris) e o dividimos em conjuntos de treino e teste.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Criação do classificador Auto-Sklearn:</w:t>
      </w:r>
      <w:r>
        <w:rPr/>
        <w:t xml:space="preserve"> Criamos uma instância da classe AutoSklearnClassifier, definindo o tempo máximo de execução (time_left_for_this_task) e o tempo limite para cada execução de modelo (per_run_time_limit).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Treinamento do classificador:</w:t>
      </w:r>
      <w:r>
        <w:rPr/>
        <w:t xml:space="preserve"> Treinamos o classificador com os dados de treino. O Auto-sklearn automaticamente realiza todas as etapas de pré-processamento, seleção de modelo, otimização de hiperparâmetros e validação cruzada.</w:t>
      </w:r>
    </w:p>
    <w:p>
      <w:pPr>
        <w:pStyle w:val="BodyText"/>
        <w:numPr>
          <w:ilvl w:val="0"/>
          <w:numId w:val="3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Previsões no conjunto de teste:</w:t>
      </w:r>
      <w:r>
        <w:rPr/>
        <w:t xml:space="preserve"> Fazemos previsões no conjunto de teste usando o classificador treinado.</w:t>
      </w:r>
    </w:p>
    <w:p>
      <w:pPr>
        <w:pStyle w:val="BodyText"/>
        <w:jc w:val="both"/>
        <w:rPr>
          <w:rStyle w:val="Strong"/>
        </w:rPr>
      </w:pPr>
      <w:r>
        <w:rPr/>
      </w:r>
    </w:p>
    <w:p>
      <w:pPr>
        <w:pStyle w:val="BodyText"/>
        <w:jc w:val="both"/>
        <w:rPr/>
      </w:pPr>
      <w:r>
        <w:rPr>
          <w:rStyle w:val="Strong"/>
          <w:color w:val="1F4D78"/>
        </w:rPr>
        <w:t>Resultados Obtidos</w:t>
      </w:r>
    </w:p>
    <w:p>
      <w:pPr>
        <w:pStyle w:val="BodyText"/>
        <w:jc w:val="both"/>
        <w:rPr/>
      </w:pPr>
      <w:r>
        <w:rPr/>
        <w:t>Após o treinamento do classificador Auto-sklearn, obtivemos os seguintes resultados: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Precisão (Accuracy):</w:t>
      </w:r>
      <w:r>
        <w:rPr/>
        <w:t xml:space="preserve"> 1.0</w:t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Relatório de Classificação:</w:t>
      </w:r>
      <w:r>
        <w:rPr/>
        <w:t xml:space="preserve"> O relatório mostra que a precisão, revocação e F1-score são perfeitos (1.0) para todas as classes do dataset Iris.</w:t>
      </w:r>
    </w:p>
    <w:p>
      <w:pPr>
        <w:pStyle w:val="BodyText"/>
        <w:numPr>
          <w:ilvl w:val="0"/>
          <w:numId w:val="0"/>
        </w:numPr>
        <w:ind w:hanging="0" w:left="0"/>
        <w:jc w:val="both"/>
        <w:rPr>
          <w:rStyle w:val="Strong"/>
        </w:rPr>
      </w:pPr>
      <w:r>
        <w:rPr/>
      </w:r>
    </w:p>
    <w:p>
      <w:pPr>
        <w:pStyle w:val="BodyText"/>
        <w:numPr>
          <w:ilvl w:val="0"/>
          <w:numId w:val="0"/>
        </w:numPr>
        <w:ind w:hanging="0" w:left="0"/>
        <w:jc w:val="both"/>
        <w:rPr>
          <w:rStyle w:val="Strong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908050</wp:posOffset>
            </wp:positionH>
            <wp:positionV relativeFrom="paragraph">
              <wp:posOffset>-75565</wp:posOffset>
            </wp:positionV>
            <wp:extent cx="4277360" cy="2257425"/>
            <wp:effectExtent l="0" t="0" r="0" b="0"/>
            <wp:wrapTopAndBottom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numPr>
          <w:ilvl w:val="0"/>
          <w:numId w:val="4"/>
        </w:numPr>
        <w:tabs>
          <w:tab w:val="clear" w:pos="708"/>
          <w:tab w:val="left" w:pos="0" w:leader="none"/>
        </w:tabs>
        <w:ind w:hanging="283" w:left="709"/>
        <w:jc w:val="both"/>
        <w:rPr/>
      </w:pPr>
      <w:r>
        <w:rPr>
          <w:rStyle w:val="Strong"/>
        </w:rPr>
        <w:t>Matriz de Confusão:</w:t>
      </w:r>
      <w:r>
        <w:rPr/>
        <w:t xml:space="preserve"> A matriz de confusão mostra que o modelo classificou corretamente todos os exemplos do dataset de teste.</w:t>
      </w:r>
    </w:p>
    <w:p>
      <w:pPr>
        <w:pStyle w:val="BodyText"/>
        <w:jc w:val="both"/>
        <w:rPr/>
      </w:pPr>
      <w:r>
        <w:rPr/>
      </w:r>
    </w:p>
    <w:p>
      <w:pPr>
        <w:pStyle w:val="BodyText"/>
        <w:jc w:val="both"/>
        <w:rPr>
          <w:rStyle w:val="Strong"/>
        </w:rPr>
      </w:pPr>
      <w:r>
        <w:rPr/>
      </w:r>
    </w:p>
    <w:p>
      <w:pPr>
        <w:pStyle w:val="BodyText"/>
        <w:jc w:val="both"/>
        <w:rPr>
          <w:rStyle w:val="Strong"/>
        </w:rPr>
      </w:pPr>
      <w:r>
        <w:rPr/>
      </w:r>
    </w:p>
    <w:p>
      <w:pPr>
        <w:pStyle w:val="BodyText"/>
        <w:jc w:val="both"/>
        <w:rPr/>
      </w:pPr>
      <w:r>
        <w:rPr>
          <w:rStyle w:val="Strong"/>
          <w:color w:val="1F4D78"/>
        </w:rPr>
        <w:t>A</w:t>
      </w: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114300</wp:posOffset>
            </wp:positionH>
            <wp:positionV relativeFrom="paragraph">
              <wp:posOffset>456565</wp:posOffset>
            </wp:positionV>
            <wp:extent cx="5731510" cy="4593590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3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"/>
          <w:color w:val="1F4D78"/>
        </w:rPr>
        <w:t>nalisando o Melhor Modelo:</w:t>
      </w:r>
    </w:p>
    <w:p>
      <w:pPr>
        <w:pStyle w:val="BodyText"/>
        <w:jc w:val="both"/>
        <w:rPr/>
      </w:pPr>
      <w:r>
        <w:rPr/>
        <w:t xml:space="preserve">Para identificar o modelo final escolhido pelo Auto-sklearn, utilizamos o atributo cv_results_. A tabela de classificação do Auto-sklearn (acessível com o comando cls.leaderboard()) mostra que o modelo de </w:t>
      </w:r>
      <w:r>
        <w:rPr>
          <w:rStyle w:val="Strong"/>
        </w:rPr>
        <w:t>floresta aleatória (random_forest)</w:t>
      </w:r>
      <w:r>
        <w:rPr/>
        <w:t xml:space="preserve"> com uma pontuação média de 0.325 foi o modelo que obteve o melhor desempenho durante a validação cruzada.</w:t>
      </w:r>
    </w:p>
    <w:p>
      <w:pPr>
        <w:pStyle w:val="BodyText"/>
        <w:jc w:val="both"/>
        <w:rPr/>
      </w:pPr>
      <w:r>
        <w:rPr>
          <w:rStyle w:val="Strong"/>
          <w:color w:val="1F4D78"/>
        </w:rPr>
        <w:t>Conclusão</w:t>
      </w:r>
    </w:p>
    <w:p>
      <w:pPr>
        <w:pStyle w:val="BodyText"/>
        <w:jc w:val="both"/>
        <w:rPr/>
      </w:pPr>
      <w:r>
        <w:rPr/>
        <w:t>Os resultados obtidos com o Auto-sklearn demonstraram que a ferramenta é capaz de construir um modelo de classificação de alto desempenho com pouca intervenção manual. A precisão perfeita (1.0) e o desempenho consistente em todas as classes do dataset Iris indicam que o Auto-sklearn conseguiu encontrar a melhor combinação de pré-processamento, modelo e hiperparâmetros para este problema.</w:t>
      </w:r>
    </w:p>
    <w:p>
      <w:pPr>
        <w:pStyle w:val="BodyText"/>
        <w:spacing w:before="0" w:after="140"/>
        <w:jc w:val="both"/>
        <w:rPr/>
      </w:pPr>
      <w:r>
        <w:rPr/>
        <w:t>O Auto-sklearn se apresenta como uma ferramenta valiosa para simplificar o processo de aprendizado de máquina e possibilitar a criação de modelos eficazes, mesmo para usuários com pouca experiência na área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pt-BR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40" w:after="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Aptos Display" w:hAnsi="Aptos Display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2E74B5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character" w:styleId="Strong">
    <w:name w:val="Strong"/>
    <w:qFormat/>
    <w:rPr>
      <w:b/>
      <w:bCs/>
    </w:rPr>
  </w:style>
  <w:style w:type="character" w:styleId="Smbolosdenumerao">
    <w:name w:val="Símbolos de numeração"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Cdigo-fonte">
    <w:name w:val="Código-fonte"/>
    <w:qFormat/>
    <w:rPr>
      <w:rFonts w:ascii="Liberation Mono" w:hAnsi="Liberation Mono" w:eastAsia="Liberation Mono" w:cs="Liberation Mono"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/>
      <w:contextualSpacing/>
    </w:pPr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LibreOffice/24.2.3.2$Windows_X86_64 LibreOffice_project/433d9c2ded56988e8a90e6b2e771ee4e6a5ab2ba</Application>
  <AppVersion>15.0000</AppVersion>
  <Pages>4</Pages>
  <Words>723</Words>
  <Characters>4537</Characters>
  <CharactersWithSpaces>5194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2024-06-22T04:57:24Z</dcterms:created>
  <dc:creator>Daniel Rocha Franca</dc:creator>
  <dc:description/>
  <dc:language>pt-BR</dc:language>
  <cp:lastModifiedBy/>
  <dcterms:modified xsi:type="dcterms:W3CDTF">2024-06-22T21:15:00Z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