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2E86AB"/>
          <w:sz w:val="44"/>
          <w:szCs w:val="44"/>
        </w:rPr>
        <w:t xml:space="preserve">Projeto de Vendas do Walmart</w:t>
      </w:r>
    </w:p>
    <w:p>
      <w:pPr>
        <w:spacing w:after="400"/>
      </w:pPr>
      <w:r>
        <w:rPr>
          <w:i/>
          <w:iCs/>
          <w:color w:val="555555"/>
          <w:sz w:val="24"/>
          <w:szCs w:val="24"/>
        </w:rPr>
        <w:t xml:space="preserve">Limpeza de dados e análise de vendas, desemprego, CPI e preço do combustível</w:t>
      </w:r>
    </w:p>
    <w:p>
      <w:pPr>
        <w:pStyle w:val="Heading1"/>
        <w:spacing w:after="150" w:before="300"/>
      </w:pPr>
      <w:r>
        <w:t xml:space="preserve">1. Introdução</w:t>
      </w:r>
    </w:p>
    <w:p>
      <w:pPr>
        <w:spacing w:after="150"/>
      </w:pPr>
      <w:r>
        <w:t xml:space="preserve">Este relatório documenta a limpeza e a análise do conjunto de dados de vendas do Walmart (Kaggle, mikhail1681/walmart-sales), contendo 6.435 registros semanais de 45 lojas, entre 05/02/2010 e 26/10/2012. As colunas incluem vendas semanais (Weekly_Sales), indicador de feriado (Holiday_Flag), temperatura, preço do combustível, CPI (Índice de Preços ao Consumidor) e taxa de desemprego.</w:t>
      </w:r>
    </w:p>
    <w:p>
      <w:pPr>
        <w:spacing w:after="150"/>
      </w:pPr>
      <w:r>
        <w:t xml:space="preserve">O objetivo é (1) padronizar e limpar os dados conforme critérios definidos, e (2) responder a quatro perguntas de negócio sobre os fatores que influenciam as vendas.</w:t>
      </w:r>
    </w:p>
    <w:p>
      <w:pPr>
        <w:pStyle w:val="Heading1"/>
        <w:spacing w:after="150" w:before="300"/>
      </w:pPr>
      <w:r>
        <w:t xml:space="preserve">2. Limpeza dos Dados</w:t>
      </w:r>
    </w:p>
    <w:p>
      <w:pPr>
        <w:spacing w:after="150"/>
      </w:pPr>
      <w:r>
        <w:t xml:space="preserve">Foram aplicados os seguintes critérios de limpeza: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Ordenação dos registros por número da loja (crescente) e, em seguida, por data (crescente).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Conversão da data do formato original (DD-MM-AAAA) para o formato solicitado MM-DD-AAAA.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Weekly_Sales arredondado para 2 casas decimais.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Temperature arredondada para o número inteiro mais próximo.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Fuel_Price arredondado para 2 casas decimais.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CPI arredondado para 3 casas decimais.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Unemployment arredondado para 3 casas decimais.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Verificação de dados ausentes: o dataset original já não continha nenhum valor nulo nas 6.435 linhas x 8 colunas — a checagem foi feita antes e depois da limpeza para confirmar.</w:t>
      </w:r>
    </w:p>
    <w:p>
      <w:pPr>
        <w:spacing w:after="150"/>
      </w:pPr>
      <w:r>
        <w:t xml:space="preserve">Exemplo de registros após a limpeza (loja 1, primeiras semanas):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600"/>
        <w:gridCol w:w="1600"/>
        <w:gridCol w:w="1300"/>
        <w:gridCol w:w="1300"/>
        <w:gridCol w:w="1200"/>
        <w:gridCol w:w="1100"/>
        <w:gridCol w:w="1300"/>
      </w:tblGrid>
      <w:tr>
        <w:tc>
          <w:tcPr>
            <w:tcW w:type="dxa" w:w="10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Store</w:t>
            </w:r>
          </w:p>
        </w:tc>
        <w:tc>
          <w:tcPr>
            <w:tcW w:type="dxa" w:w="16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Weekly_Sales</w:t>
            </w:r>
          </w:p>
        </w:tc>
        <w:tc>
          <w:tcPr>
            <w:tcW w:type="dxa" w:w="13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Holiday_Flag</w:t>
            </w:r>
          </w:p>
        </w:tc>
        <w:tc>
          <w:tcPr>
            <w:tcW w:type="dxa" w:w="13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12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Fuel_Price</w:t>
            </w:r>
          </w:p>
        </w:tc>
        <w:tc>
          <w:tcPr>
            <w:tcW w:type="dxa" w:w="11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CPI</w:t>
            </w:r>
          </w:p>
        </w:tc>
        <w:tc>
          <w:tcPr>
            <w:tcW w:type="dxa" w:w="13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Unemployment</w:t>
            </w:r>
          </w:p>
        </w:tc>
      </w:tr>
      <w:tr>
        <w:tc>
          <w:tcPr>
            <w:tcW w:type="dxa" w:w="10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02-05-2010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1,643,690.90</w:t>
            </w:r>
          </w:p>
        </w:tc>
        <w:tc>
          <w:tcPr>
            <w:tcW w:type="dxa" w:w="13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12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2.57</w:t>
            </w:r>
          </w:p>
        </w:tc>
        <w:tc>
          <w:tcPr>
            <w:tcW w:type="dxa" w:w="11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211.096</w:t>
            </w:r>
          </w:p>
        </w:tc>
        <w:tc>
          <w:tcPr>
            <w:tcW w:type="dxa" w:w="13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8.106</w:t>
            </w:r>
          </w:p>
        </w:tc>
      </w:tr>
      <w:tr>
        <w:tc>
          <w:tcPr>
            <w:tcW w:type="dxa" w:w="10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02-12-2010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1,641,957.44</w:t>
            </w:r>
          </w:p>
        </w:tc>
        <w:tc>
          <w:tcPr>
            <w:tcW w:type="dxa" w:w="13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39</w:t>
            </w:r>
          </w:p>
        </w:tc>
        <w:tc>
          <w:tcPr>
            <w:tcW w:type="dxa" w:w="12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2.55</w:t>
            </w:r>
          </w:p>
        </w:tc>
        <w:tc>
          <w:tcPr>
            <w:tcW w:type="dxa" w:w="11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211.242</w:t>
            </w:r>
          </w:p>
        </w:tc>
        <w:tc>
          <w:tcPr>
            <w:tcW w:type="dxa" w:w="13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8.106</w:t>
            </w:r>
          </w:p>
        </w:tc>
      </w:tr>
      <w:tr>
        <w:tc>
          <w:tcPr>
            <w:tcW w:type="dxa" w:w="10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02-19-2010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1,611,968.17</w:t>
            </w:r>
          </w:p>
        </w:tc>
        <w:tc>
          <w:tcPr>
            <w:tcW w:type="dxa" w:w="13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40</w:t>
            </w:r>
          </w:p>
        </w:tc>
        <w:tc>
          <w:tcPr>
            <w:tcW w:type="dxa" w:w="12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2.51</w:t>
            </w:r>
          </w:p>
        </w:tc>
        <w:tc>
          <w:tcPr>
            <w:tcW w:type="dxa" w:w="11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211.289</w:t>
            </w:r>
          </w:p>
        </w:tc>
        <w:tc>
          <w:tcPr>
            <w:tcW w:type="dxa" w:w="13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8.106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1"/>
        <w:spacing w:after="150" w:before="300"/>
      </w:pPr>
      <w:r>
        <w:t xml:space="preserve">3. Perguntas de Negócio</w:t>
      </w:r>
    </w:p>
    <w:p>
      <w:pPr>
        <w:pStyle w:val="Heading2"/>
        <w:spacing w:after="120" w:before="250"/>
      </w:pPr>
      <w:r>
        <w:t xml:space="preserve">3.1 Quais feriados afetam mais as vendas semanais?</w:t>
      </w:r>
    </w:p>
    <w:p>
      <w:pPr>
        <w:spacing w:after="150"/>
      </w:pPr>
      <w:r>
        <w:t xml:space="preserve">O dataset contém quatro feriados marcados via Holiday_Flag: Super Bowl (fevereiro), Dia do Trabalho/Labor Day (setembro), Ação de Graças/Thanksgiving (novembro) e Natal (última semana de dezembro). Comparando a média de vendas semanais em cada feriado com a média das semanas sem feriado (US$ 1.041.256,38):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600"/>
        <w:gridCol w:w="2600"/>
      </w:tblGrid>
      <w:tr>
        <w:tc>
          <w:tcPr>
            <w:tcW w:type="dxa" w:w="38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Feriado</w:t>
            </w:r>
          </w:p>
        </w:tc>
        <w:tc>
          <w:tcPr>
            <w:tcW w:type="dxa" w:w="26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Vendas médias (US$)</w:t>
            </w:r>
          </w:p>
        </w:tc>
        <w:tc>
          <w:tcPr>
            <w:tcW w:type="dxa" w:w="26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Vs. média sem feriado</w:t>
            </w:r>
          </w:p>
        </w:tc>
      </w:tr>
      <w:tr>
        <w:tc>
          <w:tcPr>
            <w:tcW w:type="dxa" w:w="38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Ação de Graças (Thanksgiving)</w:t>
            </w:r>
          </w:p>
        </w:tc>
        <w:tc>
          <w:tcPr>
            <w:tcW w:type="dxa" w:w="26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1.471.273,00</w:t>
            </w:r>
          </w:p>
        </w:tc>
        <w:tc>
          <w:tcPr>
            <w:tcW w:type="dxa" w:w="26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+41,3%</w:t>
            </w:r>
          </w:p>
        </w:tc>
      </w:tr>
      <w:tr>
        <w:tc>
          <w:tcPr>
            <w:tcW w:type="dxa" w:w="38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 Bowl</w:t>
            </w:r>
          </w:p>
        </w:tc>
        <w:tc>
          <w:tcPr>
            <w:tcW w:type="dxa" w:w="26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1.079.128,00</w:t>
            </w:r>
          </w:p>
        </w:tc>
        <w:tc>
          <w:tcPr>
            <w:tcW w:type="dxa" w:w="26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+3,6%</w:t>
            </w:r>
          </w:p>
        </w:tc>
      </w:tr>
      <w:tr>
        <w:tc>
          <w:tcPr>
            <w:tcW w:type="dxa" w:w="38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 do Trabalho (Labor Day)</w:t>
            </w:r>
          </w:p>
        </w:tc>
        <w:tc>
          <w:tcPr>
            <w:tcW w:type="dxa" w:w="26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1.042.427,00</w:t>
            </w:r>
          </w:p>
        </w:tc>
        <w:tc>
          <w:tcPr>
            <w:tcW w:type="dxa" w:w="26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+0,1%</w:t>
            </w:r>
          </w:p>
        </w:tc>
      </w:tr>
      <w:tr>
        <w:tc>
          <w:tcPr>
            <w:tcW w:type="dxa" w:w="38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Natal (Christmas)</w:t>
            </w:r>
          </w:p>
        </w:tc>
        <w:tc>
          <w:tcPr>
            <w:tcW w:type="dxa" w:w="26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960.833,00</w:t>
            </w:r>
          </w:p>
        </w:tc>
        <w:tc>
          <w:tcPr>
            <w:tcW w:type="dxa" w:w="26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-7,7%</w:t>
            </w:r>
          </w:p>
        </w:tc>
      </w:tr>
    </w:tbl>
    <w:p>
      <w:pPr>
        <w:spacing w:after="100" w:before="100"/>
        <w:jc w:val="center"/>
      </w:pPr>
      <w:r>
        <w:drawing>
          <wp:inline distT="0" distB="0" distL="0" distR="0">
            <wp:extent cx="52387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t xml:space="preserve">Ação de Graças é, disparado, o feriado que mais impulsiona as vendas semanais (+41% acima da média), provavelmente por concentrar as compras de Black Friday na mesma semana no dataset. Super Bowl tem um efeito positivo moderado. Curiosamente, a semana de Natal marcada no dataset apresenta vendas abaixo da média — isso ocorre porque a data marcada (última semana de dezembro) já é pós-Natal, quando o pico de compras já passou.</w:t>
      </w:r>
    </w:p>
    <w:p>
      <w:pPr>
        <w:pStyle w:val="Heading2"/>
        <w:spacing w:after="120" w:before="250"/>
      </w:pPr>
      <w:r>
        <w:t xml:space="preserve">3.2 Quais lojas têm a menor e a maior taxa de desemprego? Quais fatores impactam isso?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3000"/>
      </w:tblGrid>
      <w:tr>
        <w:tc>
          <w:tcPr>
            <w:tcW w:type="dxa" w:w="26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14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Loja</w:t>
            </w:r>
          </w:p>
        </w:tc>
        <w:tc>
          <w:tcPr>
            <w:tcW w:type="dxa" w:w="30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Desemprego médio (%)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desemprego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30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4,80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desemprego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40</w:t>
            </w:r>
          </w:p>
        </w:tc>
        <w:tc>
          <w:tcPr>
            <w:tcW w:type="dxa" w:w="30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4,80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desemprego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5,96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Maior desemprego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30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13,12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Maior desemprego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0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13,12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Maior desemprego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30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13,12</w:t>
            </w:r>
          </w:p>
        </w:tc>
      </w:tr>
    </w:tbl>
    <w:p>
      <w:pPr>
        <w:spacing w:after="100" w:before="100"/>
        <w:jc w:val="center"/>
      </w:pPr>
      <w:r>
        <w:drawing>
          <wp:inline distT="0" distB="0" distL="0" distR="0">
            <wp:extent cx="52387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t xml:space="preserve">As lojas 23 e 40 têm o menor desemprego médio (~4,8%), enquanto as lojas 12, 28 e 38 têm o maior (~13,1%). Como o dataset não traz a localização geográfica das lojas, essas diferenças provavelmente refletem a economia regional de cada loja: cidades/regiões com maior diversificação industrial e mercado de trabalho mais aquecido tendem a ter taxas de desemprego mais baixas, enquanto regiões dependentes de poucas indústrias, ou mais afetadas pela crise financeira de 2008-2009, apresentam taxas mais altas. Isso é uma hipótese razoável, mas exigiria dados adicionais (ex: estado/cidade da loja) para confirmar.</w:t>
      </w:r>
    </w:p>
    <w:p>
      <w:pPr>
        <w:pStyle w:val="Heading2"/>
        <w:spacing w:after="120" w:before="250"/>
      </w:pPr>
      <w:r>
        <w:t xml:space="preserve">3.3 Existe correlação entre CPI e Vendas Semanais? Ela muda com o Holiday_Flag?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500"/>
      </w:tblGrid>
      <w:tr>
        <w:tc>
          <w:tcPr>
            <w:tcW w:type="dxa" w:w="55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Cenário</w:t>
            </w:r>
          </w:p>
        </w:tc>
        <w:tc>
          <w:tcPr>
            <w:tcW w:type="dxa" w:w="35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Correlação de Pearson (CPI x Vendas)</w:t>
            </w:r>
          </w:p>
        </w:tc>
      </w:tr>
      <w:tr>
        <w:tc>
          <w:tcPr>
            <w:tcW w:type="dxa" w:w="55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Geral (todas as semanas)</w:t>
            </w:r>
          </w:p>
        </w:tc>
        <w:tc>
          <w:tcPr>
            <w:tcW w:type="dxa" w:w="35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-0,073</w:t>
            </w:r>
          </w:p>
        </w:tc>
      </w:tr>
      <w:tr>
        <w:tc>
          <w:tcPr>
            <w:tcW w:type="dxa" w:w="55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Sem feriado (Holiday_Flag = 0)</w:t>
            </w:r>
          </w:p>
        </w:tc>
        <w:tc>
          <w:tcPr>
            <w:tcW w:type="dxa" w:w="35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-0,072</w:t>
            </w:r>
          </w:p>
        </w:tc>
      </w:tr>
      <w:tr>
        <w:tc>
          <w:tcPr>
            <w:tcW w:type="dxa" w:w="55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 feriado (Holiday_Flag = 1)</w:t>
            </w:r>
          </w:p>
        </w:tc>
        <w:tc>
          <w:tcPr>
            <w:tcW w:type="dxa" w:w="35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-0,081</w:t>
            </w:r>
          </w:p>
        </w:tc>
      </w:tr>
    </w:tbl>
    <w:p>
      <w:pPr>
        <w:spacing w:after="100" w:before="100"/>
        <w:jc w:val="center"/>
      </w:pPr>
      <w:r>
        <w:drawing>
          <wp:inline distT="0" distB="0" distL="0" distR="0">
            <wp:extent cx="523875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t xml:space="preserve">A correlação entre CPI e vendas semanais é fraca e levemente negativa em todos os cenários (-0,07 a -0,08), ou seja, aumentos no CPI não estão associados a variações relevantes nas vendas. A diferença entre semanas com e sem feriado é mínima (-0,081 vs -0,072), sugerindo que o feriado não altera de forma significativa essa relação. Na prática, isso indica que a inflação (CPI), isoladamente, não é um bom preditor do volume de vendas semanais neste dataset — outros fatores (sazonalidade, feriados, loja) pesam mais.</w:t>
      </w:r>
    </w:p>
    <w:p>
      <w:pPr>
        <w:pStyle w:val="Heading2"/>
        <w:spacing w:after="120" w:before="250"/>
      </w:pPr>
      <w:r>
        <w:t xml:space="preserve">3.4 Por que o preço do combustível está incluído? O que se pode concluir sobre ele?</w:t>
      </w:r>
    </w:p>
    <w:p>
      <w:pPr>
        <w:spacing w:after="100" w:before="100"/>
        <w:jc w:val="center"/>
      </w:pPr>
      <w:r>
        <w:drawing>
          <wp:inline distT="0" distB="0" distL="0" distR="0">
            <wp:extent cx="4762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t xml:space="preserve">O preço do combustível provavelmente foi incluído porque impacta tanto o poder de compra do consumidor (menos dinheiro disponível para outras compras quando o combustível está caro) quanto os custos logísticos e operacionais do próprio Walmart (transporte de mercadorias). É uma variável macroeconômica natural para tentar explicar variações de vendas.</w:t>
      </w:r>
    </w:p>
    <w:p>
      <w:pPr>
        <w:spacing w:after="150"/>
      </w:pPr>
      <w:r>
        <w:t xml:space="preserve">No entanto, os dados mostram que essa hipótese não se confirma fortemente: a correlação entre Fuel_Price e Weekly_Sales é praticamente nula (0,009). Fuel_Price tem correlação fraca com Temperature (0,145) e uma correlação negativa fraca a moderada com CPI (-0,171), o que faz sentido, considerando que ambos refletem condições econômicas mais amplas, mas não necessariamente andam juntos de forma direta. A conclusão é que, isoladamente, o preço do combustível tem pouco poder explicativo sobre as vendas semanais neste conjunto de dados.</w:t>
      </w:r>
    </w:p>
    <w:p>
      <w:pPr>
        <w:pStyle w:val="Heading1"/>
        <w:spacing w:after="150" w:before="300"/>
      </w:pPr>
      <w:r>
        <w:t xml:space="preserve">4. Conclusão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Ação de Graças é o feriado com maior impacto positivo nas vendas; Natal (conforme marcado no dataset) aparece abaixo da média.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 taxas de desemprego variam bastante entre lojas (4,8% a 13,1%), provavelmente refletindo diferenças econômicas regionais não capturadas diretamente no dataset.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CPI tem correlação fraca e negativa com vendas, tanto em semanas normais quanto de feriado.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Fuel_Price tem correlação praticamente nula com vendas, sugerindo que, sozinho, não explica bem o comportamento do consumidor neste dataset.</w:t>
      </w:r>
    </w:p>
    <w:p>
      <w:pPr>
        <w:spacing w:after="150"/>
      </w:pPr>
      <w:r>
        <w:t xml:space="preserve">Limitação: o dataset não identifica o feriado específico por nome, apenas por data, então a atribuição dos feriados (Super Bowl, Labor Day, Thanksgiving, Christmas) foi feita por inferência a partir das datas conhecidas do dataset original do Kaggle.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Projeto de Vendas do Walmart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9eb57a0d062b8f69f7667036f376f5a5fea8748.png"/><Relationship Id="rId10" Type="http://schemas.openxmlformats.org/officeDocument/2006/relationships/image" Target="media/73e970ae26d646619028fafc17cf731c6ba2fb8d.png"/><Relationship Id="rId11" Type="http://schemas.openxmlformats.org/officeDocument/2006/relationships/image" Target="media/386edb8af7de7de3687b8256536d1a723e8e7759.png"/><Relationship Id="rId12" Type="http://schemas.openxmlformats.org/officeDocument/2006/relationships/image" Target="media/2ddcecf9338ddc1f0409ffbb999d81d4861da98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2026-07-14T13:40:20.351Z</dcterms:created>
  <dcterms:modified xsi:type="dcterms:W3CDTF">2026-07-14T13:40:20.366Z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