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3a5e3a8cfc1b747bdb8f74e6ead7fee569a7673"/>
    <w:p>
      <w:pPr>
        <w:pStyle w:val="Heading1"/>
      </w:pPr>
      <w:r>
        <w:t xml:space="preserve">Documento de Diseño y Arquitectura: Sistema Interactivo Smart Money</w:t>
      </w:r>
    </w:p>
    <w:p>
      <w:pPr>
        <w:pStyle w:val="FirstParagraph"/>
      </w:pPr>
      <w:r>
        <w:rPr>
          <w:bCs/>
          <w:b/>
        </w:rPr>
        <w:t xml:space="preserve">Versión: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Autor:</w:t>
      </w:r>
      <w:r>
        <w:t xml:space="preserve"> </w:t>
      </w:r>
      <w:r>
        <w:t xml:space="preserve">MiniMax Agent</w:t>
      </w:r>
      <w:r>
        <w:t xml:space="preserve"> </w:t>
      </w:r>
      <w:r>
        <w:rPr>
          <w:bCs/>
          <w:b/>
        </w:rPr>
        <w:t xml:space="preserve">Fecha:</w:t>
      </w:r>
      <w:r>
        <w:t xml:space="preserve"> </w:t>
      </w:r>
      <w:r>
        <w:t xml:space="preserve">22 de Junio de 2025</w:t>
      </w:r>
    </w:p>
    <w:bookmarkStart w:id="22" w:name="visión-general-y-objetivos-del-proyecto"/>
    <w:p>
      <w:pPr>
        <w:pStyle w:val="Heading2"/>
      </w:pPr>
      <w:r>
        <w:t xml:space="preserve">1. Visión General y Objetivos del Proyecto</w:t>
      </w:r>
    </w:p>
    <w:bookmarkStart w:id="20" w:name="propósito"/>
    <w:p>
      <w:pPr>
        <w:pStyle w:val="Heading3"/>
      </w:pPr>
      <w:r>
        <w:t xml:space="preserve">1.1. Propósito</w:t>
      </w:r>
    </w:p>
    <w:p>
      <w:pPr>
        <w:pStyle w:val="FirstParagraph"/>
      </w:pPr>
      <w:r>
        <w:t xml:space="preserve">El objetivo de este proyecto es diseñar y documentar la arquitectura para una landing page interactiva que proporcione análisis de activos financieros (acciones y criptomonedas) basados en la metodología</w:t>
      </w:r>
      <w:r>
        <w:t xml:space="preserve"> </w:t>
      </w:r>
      <w:r>
        <w:t xml:space="preserve">“</w:t>
      </w:r>
      <w:r>
        <w:t xml:space="preserve">Smart Money</w:t>
      </w:r>
      <w:r>
        <w:t xml:space="preserve">”</w:t>
      </w:r>
      <w:r>
        <w:t xml:space="preserve"> </w:t>
      </w:r>
      <w:r>
        <w:t xml:space="preserve">de Esteban. La herramienta permitirá a los usuarios introducir un ticker, recibir un análisis técnico y fundamental completo, y obtener una recomendación clara de</w:t>
      </w:r>
      <w:r>
        <w:t xml:space="preserve"> </w:t>
      </w:r>
      <w:r>
        <w:t xml:space="preserve">“</w:t>
      </w:r>
      <w:r>
        <w:t xml:space="preserve">Comprar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Vender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Mantener</w:t>
      </w:r>
      <w:r>
        <w:t xml:space="preserve">”</w:t>
      </w:r>
      <w:r>
        <w:t xml:space="preserve">, junto con una explicación didáctica del veredicto.</w:t>
      </w:r>
    </w:p>
    <w:bookmarkEnd w:id="20"/>
    <w:bookmarkStart w:id="21" w:name="criterios-de-éxito-y-métricas"/>
    <w:p>
      <w:pPr>
        <w:pStyle w:val="Heading3"/>
      </w:pPr>
      <w:r>
        <w:t xml:space="preserve">1.2. Criterios de Éxito y Métricas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Técnicos: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Tiempo de Carga de la Página (LCP):</w:t>
      </w:r>
      <w:r>
        <w:t xml:space="preserve"> </w:t>
      </w:r>
      <w:r>
        <w:t xml:space="preserve">&lt; 2.5 segundos.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Disponibilidad del Servicio:</w:t>
      </w:r>
      <w:r>
        <w:t xml:space="preserve"> </w:t>
      </w:r>
      <w:r>
        <w:t xml:space="preserve">99.9%.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Tasa de Éxito de las Peticiones a API:</w:t>
      </w:r>
      <w:r>
        <w:t xml:space="preserve"> </w:t>
      </w:r>
      <w:r>
        <w:t xml:space="preserve">&gt; 99%.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 Usuario: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Tasa de Engagement:</w:t>
      </w:r>
      <w:r>
        <w:t xml:space="preserve"> </w:t>
      </w:r>
      <w:r>
        <w:t xml:space="preserve">&gt; 40% de los usuarios realizan al menos un análisis.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Tiempo Promedio en la Página:</w:t>
      </w:r>
      <w:r>
        <w:t xml:space="preserve"> </w:t>
      </w:r>
      <w:r>
        <w:t xml:space="preserve">&gt; 3 minutos.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Tasa de Retorno:</w:t>
      </w:r>
      <w:r>
        <w:t xml:space="preserve"> </w:t>
      </w:r>
      <w:r>
        <w:t xml:space="preserve">15% de usuarios recurrentes en un mes.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 Negocio: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Generación de Leads:</w:t>
      </w:r>
      <w:r>
        <w:t xml:space="preserve"> </w:t>
      </w:r>
      <w:r>
        <w:t xml:space="preserve">Captura de correos electrónicos a través de un formulario de suscripción (opcional).</w:t>
      </w:r>
    </w:p>
    <w:bookmarkEnd w:id="21"/>
    <w:bookmarkEnd w:id="22"/>
    <w:bookmarkStart w:id="26" w:name="arquitectura-técnica"/>
    <w:p>
      <w:pPr>
        <w:pStyle w:val="Heading2"/>
      </w:pPr>
      <w:r>
        <w:t xml:space="preserve">2. Arquitectura Técnica</w:t>
      </w:r>
    </w:p>
    <w:p>
      <w:pPr>
        <w:pStyle w:val="FirstParagraph"/>
      </w:pPr>
      <w:r>
        <w:t xml:space="preserve">Se ha seleccionado una arquitectura moderna basada en Jamstack, que garantiza un alto rendimiento, seguridad y escalabilidad.</w:t>
      </w:r>
    </w:p>
    <w:bookmarkStart w:id="23" w:name="pila-tecnológica-tech-stack"/>
    <w:p>
      <w:pPr>
        <w:pStyle w:val="Heading3"/>
      </w:pPr>
      <w:r>
        <w:t xml:space="preserve">2.1. Pila Tecnológica (Tech Stack)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Framework Frontend:</w:t>
      </w:r>
      <w:r>
        <w:t xml:space="preserve"> </w:t>
      </w:r>
      <w:r>
        <w:rPr>
          <w:bCs/>
          <w:b/>
        </w:rPr>
        <w:t xml:space="preserve">Next.js 14+</w:t>
      </w:r>
      <w:r>
        <w:t xml:space="preserve"> </w:t>
      </w:r>
      <w:r>
        <w:t xml:space="preserve">(con App Router) - Para renderizado del lado del servidor (SSR) y generación de sitios estáticos (SSG), lo que optimiza el SEO y el rendimiento inicial.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Estilos CSS:</w:t>
      </w:r>
      <w:r>
        <w:t xml:space="preserve"> </w:t>
      </w:r>
      <w:r>
        <w:rPr>
          <w:bCs/>
          <w:b/>
        </w:rPr>
        <w:t xml:space="preserve">Tailwind CSS</w:t>
      </w:r>
      <w:r>
        <w:t xml:space="preserve"> </w:t>
      </w:r>
      <w:r>
        <w:t xml:space="preserve">- Para un desarrollo rápido y un diseño consistente a través de un sistema de utilidades.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Visualización de Datos:</w:t>
      </w:r>
      <w:r>
        <w:t xml:space="preserve"> </w:t>
      </w:r>
      <w:r>
        <w:rPr>
          <w:bCs/>
          <w:b/>
        </w:rPr>
        <w:t xml:space="preserve">Chart.js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react-chartjs-2</w:t>
      </w:r>
      <w:r>
        <w:t xml:space="preserve"> </w:t>
      </w:r>
      <w:r>
        <w:t xml:space="preserve">- Para crear gráficos de velas interactivos, de volumen y otros. Es ligero y altamente personalizable.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Gestión de Estado:</w:t>
      </w:r>
      <w:r>
        <w:t xml:space="preserve"> </w:t>
      </w:r>
      <w:r>
        <w:rPr>
          <w:bCs/>
          <w:b/>
        </w:rPr>
        <w:t xml:space="preserve">React Context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Zustand</w:t>
      </w:r>
      <w:r>
        <w:t xml:space="preserve"> </w:t>
      </w:r>
      <w:r>
        <w:t xml:space="preserve">- Para gestionar el estado global de la aplicación (ticker seleccionado, datos, estado de carga) de manera eficiente.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Despliegue:</w:t>
      </w:r>
      <w:r>
        <w:t xml:space="preserve"> </w:t>
      </w:r>
      <w:r>
        <w:rPr>
          <w:bCs/>
          <w:b/>
        </w:rPr>
        <w:t xml:space="preserve">Vercel</w:t>
      </w:r>
      <w:r>
        <w:t xml:space="preserve"> </w:t>
      </w:r>
      <w:r>
        <w:t xml:space="preserve">- Plataforma nativa para Next.js que ofrece despliegue continuo, funciones serverless y escalabilidad global.</w:t>
      </w:r>
    </w:p>
    <w:bookmarkEnd w:id="23"/>
    <w:bookmarkStart w:id="24" w:name="Xf99559f9d254ae67ef79747ec9ed41c815f530f"/>
    <w:p>
      <w:pPr>
        <w:pStyle w:val="Heading3"/>
      </w:pPr>
      <w:r>
        <w:t xml:space="preserve">2.2. Arquitectura del Backend y Flujo de Datos</w:t>
      </w:r>
    </w:p>
    <w:p>
      <w:pPr>
        <w:pStyle w:val="FirstParagraph"/>
      </w:pPr>
      <w:r>
        <w:t xml:space="preserve">El backend se gestionará a través de</w:t>
      </w:r>
      <w:r>
        <w:t xml:space="preserve"> </w:t>
      </w:r>
      <w:r>
        <w:rPr>
          <w:bCs/>
          <w:b/>
        </w:rPr>
        <w:t xml:space="preserve">Next.js API Routes</w:t>
      </w:r>
      <w:r>
        <w:t xml:space="preserve">, que actuarán como un proxy seguro entre el cliente y las APIs externas.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Solicitud del Cliente:</w:t>
      </w:r>
      <w:r>
        <w:t xml:space="preserve"> </w:t>
      </w:r>
      <w:r>
        <w:t xml:space="preserve">El usuario introduce un ticker (ej.</w:t>
      </w:r>
      <w:r>
        <w:t xml:space="preserve"> </w:t>
      </w:r>
      <w:r>
        <w:rPr>
          <w:rStyle w:val="VerbatimChar"/>
        </w:rPr>
        <w:t xml:space="preserve">AAPL</w:t>
      </w:r>
      <w:r>
        <w:t xml:space="preserve">) en la interfaz.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Llamada a la API Route:</w:t>
      </w:r>
      <w:r>
        <w:t xml:space="preserve"> </w:t>
      </w:r>
      <w:r>
        <w:t xml:space="preserve">El frontend realiza una petición a un endpoint interno, por ejemplo,</w:t>
      </w:r>
      <w:r>
        <w:t xml:space="preserve"> </w:t>
      </w:r>
      <w:r>
        <w:rPr>
          <w:rStyle w:val="VerbatimChar"/>
        </w:rPr>
        <w:t xml:space="preserve">/api/analyze?ticker=AAPL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API Route (Backend):</w:t>
      </w:r>
    </w:p>
    <w:p>
      <w:pPr>
        <w:numPr>
          <w:ilvl w:val="1"/>
          <w:numId w:val="1007"/>
        </w:numPr>
        <w:pStyle w:val="Compact"/>
      </w:pPr>
      <w:r>
        <w:t xml:space="preserve">La API Route recibe la solicitud.</w:t>
      </w:r>
    </w:p>
    <w:p>
      <w:pPr>
        <w:numPr>
          <w:ilvl w:val="1"/>
          <w:numId w:val="1007"/>
        </w:numPr>
        <w:pStyle w:val="Compact"/>
      </w:pPr>
      <w:r>
        <w:t xml:space="preserve">Realiza llamadas seguras a las APIs externas (Yahoo Finance, CoinGecko) utilizando claves de API almacenadas como variables de entorno en el servidor.</w:t>
      </w:r>
    </w:p>
    <w:p>
      <w:pPr>
        <w:numPr>
          <w:ilvl w:val="1"/>
          <w:numId w:val="1007"/>
        </w:numPr>
        <w:pStyle w:val="Compact"/>
      </w:pPr>
      <w:r>
        <w:t xml:space="preserve">Recopila los datos técnicos (precios, volumen) y fundamentales (P/E, etc.).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Motor de Scoring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Smart Money</w:t>
      </w:r>
      <w:r>
        <w:rPr>
          <w:bCs/>
          <w:b/>
        </w:rPr>
        <w:t xml:space="preserve">”</w:t>
      </w:r>
      <w:r>
        <w:rPr>
          <w:bCs/>
          <w:b/>
        </w:rP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Los datos recopilados se pasan al motor de scoring, un módulo de TypeScript/JavaScript que implementa las reglas objetivas definidas en el informe académico.</w:t>
      </w:r>
    </w:p>
    <w:p>
      <w:pPr>
        <w:numPr>
          <w:ilvl w:val="1"/>
          <w:numId w:val="1008"/>
        </w:numPr>
        <w:pStyle w:val="Compact"/>
      </w:pPr>
      <w:r>
        <w:t xml:space="preserve">El motor calcula el</w:t>
      </w:r>
      <w:r>
        <w:t xml:space="preserve"> </w:t>
      </w:r>
      <w:r>
        <w:t xml:space="preserve">“</w:t>
      </w:r>
      <w:r>
        <w:t xml:space="preserve">Scoring de Smart Money</w:t>
      </w:r>
      <w:r>
        <w:t xml:space="preserve">”</w:t>
      </w:r>
      <w:r>
        <w:t xml:space="preserve"> </w:t>
      </w:r>
      <w:r>
        <w:t xml:space="preserve">y genera la recomendación (</w:t>
      </w:r>
      <w:r>
        <w:t xml:space="preserve">“</w:t>
      </w:r>
      <w:r>
        <w:t xml:space="preserve">Comprar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Vender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Mantener</w:t>
      </w:r>
      <w:r>
        <w:t xml:space="preserve">”</w:t>
      </w:r>
      <w:r>
        <w:t xml:space="preserve">) y la explicación textual.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Respuesta al Cliente:</w:t>
      </w:r>
      <w:r>
        <w:t xml:space="preserve"> </w:t>
      </w:r>
      <w:r>
        <w:t xml:space="preserve">La API Route devuelve un objeto JSON consolidado al frontend, que incluye los datos del activo, el scoring y la recomendación.</w:t>
      </w:r>
    </w:p>
    <w:bookmarkEnd w:id="24"/>
    <w:bookmarkStart w:id="25" w:name="X43083737f6055f0f4817f8308de0882a5c3110a"/>
    <w:p>
      <w:pPr>
        <w:pStyle w:val="Heading3"/>
      </w:pPr>
      <w:r>
        <w:t xml:space="preserve">2.3. Especificaciones de APIs y Fuentes de Datos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Datos de Acciones: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Yahoo Finance (a través de una librería como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yahoo-finance2</w:t>
      </w:r>
      <w:r>
        <w:rPr>
          <w:bCs/>
          <w:b/>
        </w:rPr>
        <w:t xml:space="preserve">):</w:t>
      </w:r>
      <w:r>
        <w:t xml:space="preserve"> </w:t>
      </w:r>
      <w:r>
        <w:t xml:space="preserve">Para datos históricos de precios (OHLC), volumen, y datos fundamentales básicos (P/E, ROE, etc.). Es gratuita y no requiere clave de API para datos públicos.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Alpha Vantage (Free Tier):</w:t>
      </w:r>
      <w:r>
        <w:t xml:space="preserve"> </w:t>
      </w:r>
      <w:r>
        <w:t xml:space="preserve">Como fuente secundaria. Requiere clave de API, que se mantendrá segura en el backend. Ofrece datos fundamentales más detallados.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Datos de Criptomonedas: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CoinGecko (API Pública):</w:t>
      </w:r>
      <w:r>
        <w:t xml:space="preserve"> </w:t>
      </w:r>
      <w:r>
        <w:t xml:space="preserve">Para datos de precios, volumen, capitalización de mercado y métricas on-chain básicas. Es gratuita y tiene límites de tasa generosos.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Noticias y Sentimiento:</w:t>
      </w:r>
    </w:p>
    <w:p>
      <w:pPr>
        <w:numPr>
          <w:ilvl w:val="1"/>
          <w:numId w:val="1012"/>
        </w:numPr>
        <w:pStyle w:val="Compact"/>
      </w:pPr>
      <w:r>
        <w:t xml:space="preserve">Se puede integrar una API de noticias como</w:t>
      </w:r>
      <w:r>
        <w:t xml:space="preserve"> </w:t>
      </w:r>
      <w:r>
        <w:rPr>
          <w:bCs/>
          <w:b/>
        </w:rPr>
        <w:t xml:space="preserve">NewsAPI (Free Tier)</w:t>
      </w:r>
      <w:r>
        <w:t xml:space="preserve"> </w:t>
      </w:r>
      <w:r>
        <w:t xml:space="preserve">para obtener titulares relevantes que puedan influir en el sentimiento del mercado.</w:t>
      </w:r>
    </w:p>
    <w:bookmarkEnd w:id="25"/>
    <w:bookmarkEnd w:id="26"/>
    <w:bookmarkStart w:id="30" w:name="Xb725b050e46100c47bf50d7269d34c18c3faee8"/>
    <w:p>
      <w:pPr>
        <w:pStyle w:val="Heading2"/>
      </w:pPr>
      <w:r>
        <w:t xml:space="preserve">3. Diseño de la Interfaz de Usuario (UI) y Experiencia de Usuario (UX)</w:t>
      </w:r>
    </w:p>
    <w:bookmarkStart w:id="27" w:name="principios-de-diseño"/>
    <w:p>
      <w:pPr>
        <w:pStyle w:val="Heading3"/>
      </w:pPr>
      <w:r>
        <w:t xml:space="preserve">3.1. Principios de Diseño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Claridad y Minimalismo:</w:t>
      </w:r>
      <w:r>
        <w:t xml:space="preserve"> </w:t>
      </w:r>
      <w:r>
        <w:t xml:space="preserve">La interfaz será limpia, moderna y libre de desorden. El enfoque estará en presentar la información de manera clara y directa.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Jerarquía Visual:</w:t>
      </w:r>
      <w:r>
        <w:t xml:space="preserve"> </w:t>
      </w:r>
      <w:r>
        <w:t xml:space="preserve">Se utilizará un sistema de tipografía y espaciado consistente para guiar la atención del usuario hacia los elementos más importantes (como el veredicto</w:t>
      </w:r>
      <w:r>
        <w:t xml:space="preserve"> </w:t>
      </w:r>
      <w:r>
        <w:t xml:space="preserve">“</w:t>
      </w:r>
      <w:r>
        <w:t xml:space="preserve">Smart Money</w:t>
      </w:r>
      <w:r>
        <w:t xml:space="preserve">”</w:t>
      </w:r>
      <w:r>
        <w:t xml:space="preserve">).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Diseño Responsivo (Mobile-First):</w:t>
      </w:r>
      <w:r>
        <w:t xml:space="preserve"> </w:t>
      </w:r>
      <w:r>
        <w:t xml:space="preserve">La interfaz se diseñará primero para dispositivos móviles y luego se adaptará a pantallas más grandes, garantizando una experiencia óptima en todos los dispositivos.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Modo Oscuro:</w:t>
      </w:r>
      <w:r>
        <w:t xml:space="preserve"> </w:t>
      </w:r>
      <w:r>
        <w:t xml:space="preserve">Se ofrecerá un modo oscuro opcional para mejorar la legibilidad en condiciones de poca luz y reducir la fatiga visual.</w:t>
      </w:r>
    </w:p>
    <w:bookmarkEnd w:id="27"/>
    <w:bookmarkStart w:id="28" w:name="flujo-de-usuario"/>
    <w:p>
      <w:pPr>
        <w:pStyle w:val="Heading3"/>
      </w:pPr>
      <w:r>
        <w:t xml:space="preserve">3.2. Flujo de Usuario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Llegada a la Página:</w:t>
      </w:r>
      <w:r>
        <w:t xml:space="preserve"> </w:t>
      </w:r>
      <w:r>
        <w:t xml:space="preserve">El usuario aterriza en la landing page. Ve un titular claro, un campo de entrada para el ticker y una breve descripción del servicio.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Introducción del Ticker:</w:t>
      </w:r>
      <w:r>
        <w:t xml:space="preserve"> </w:t>
      </w:r>
      <w:r>
        <w:t xml:space="preserve">El usuario escribe un ticker (ej.</w:t>
      </w:r>
      <w:r>
        <w:t xml:space="preserve"> </w:t>
      </w:r>
      <w:r>
        <w:rPr>
          <w:rStyle w:val="VerbatimChar"/>
        </w:rPr>
        <w:t xml:space="preserve">AAPL</w:t>
      </w:r>
      <w:r>
        <w:t xml:space="preserve">) en el campo de entrada. Un sistema de autocompletado sugiere tickers válidos a medida que escribe.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Inicio del Análisis:</w:t>
      </w:r>
      <w:r>
        <w:t xml:space="preserve"> </w:t>
      </w:r>
      <w:r>
        <w:t xml:space="preserve">El usuario presiona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o hace clic en el botón</w:t>
      </w:r>
      <w:r>
        <w:t xml:space="preserve"> </w:t>
      </w:r>
      <w:r>
        <w:t xml:space="preserve">“</w:t>
      </w:r>
      <w:r>
        <w:t xml:space="preserve">Analizar</w:t>
      </w:r>
      <w:r>
        <w:t xml:space="preserve">”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Estado de Carga:</w:t>
      </w:r>
      <w:r>
        <w:t xml:space="preserve"> </w:t>
      </w:r>
      <w:r>
        <w:t xml:space="preserve">La interfaz muestra un indicador de carga mientras se recopilan y procesan los datos en el backend.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Presentación de Resultados:</w:t>
      </w:r>
      <w:r>
        <w:t xml:space="preserve"> </w:t>
      </w:r>
      <w:r>
        <w:t xml:space="preserve">Una vez que el análisis está completo, la página se actualiza para mostrar los resultados en una disposición de paneles organizada: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Panel Principal: Veredicto Smart Money:</w:t>
      </w:r>
      <w:r>
        <w:t xml:space="preserve"> </w:t>
      </w:r>
      <w:r>
        <w:t xml:space="preserve">Muestra de forma prominente la recomendación (</w:t>
      </w:r>
      <w:r>
        <w:t xml:space="preserve">“</w:t>
      </w:r>
      <w:r>
        <w:t xml:space="preserve">Comprar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Vender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Mantener</w:t>
      </w:r>
      <w:r>
        <w:t xml:space="preserve">”</w:t>
      </w:r>
      <w:r>
        <w:t xml:space="preserve">), el</w:t>
      </w:r>
      <w:r>
        <w:t xml:space="preserve"> </w:t>
      </w:r>
      <w:r>
        <w:t xml:space="preserve">“</w:t>
      </w:r>
      <w:r>
        <w:t xml:space="preserve">Scoring de Smart Money</w:t>
      </w:r>
      <w:r>
        <w:t xml:space="preserve">”</w:t>
      </w:r>
      <w:r>
        <w:t xml:space="preserve"> </w:t>
      </w:r>
      <w:r>
        <w:t xml:space="preserve">y la explicación textual.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Panel de Gráficos:</w:t>
      </w:r>
      <w:r>
        <w:t xml:space="preserve"> </w:t>
      </w:r>
      <w:r>
        <w:t xml:space="preserve">Muestra el gráfico de velas interactivo, con la opción de superponer indicadores técnicos.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Panel de Métricas Técnicas:</w:t>
      </w:r>
      <w:r>
        <w:t xml:space="preserve"> </w:t>
      </w:r>
      <w:r>
        <w:t xml:space="preserve">Presenta los valores de los indicadores técnicos clave (RSI, MACD, etc.).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Panel de Métricas Fundamentales:</w:t>
      </w:r>
      <w:r>
        <w:t xml:space="preserve"> </w:t>
      </w:r>
      <w:r>
        <w:t xml:space="preserve">Muestra los datos fundamentales relevantes (P/E, ROE, etc.).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Panel de Noticias:</w:t>
      </w:r>
      <w:r>
        <w:t xml:space="preserve"> </w:t>
      </w:r>
      <w:r>
        <w:t xml:space="preserve">Muestra los titulares de noticias más recientes para el activo.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Interacción y Exploración:</w:t>
      </w:r>
      <w:r>
        <w:t xml:space="preserve"> </w:t>
      </w:r>
      <w:r>
        <w:t xml:space="preserve">El usuario puede interactuar con los gráficos, leer las explicaciones y explorar los diferentes paneles de datos a su propio ritmo.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Nuevo Análisis:</w:t>
      </w:r>
      <w:r>
        <w:t xml:space="preserve"> </w:t>
      </w:r>
      <w:r>
        <w:t xml:space="preserve">El usuario puede introducir un nuevo ticker en cualquier momento para repetir el proceso.</w:t>
      </w:r>
    </w:p>
    <w:bookmarkEnd w:id="28"/>
    <w:bookmarkStart w:id="29" w:name="wireframes-y-mockups"/>
    <w:p>
      <w:pPr>
        <w:pStyle w:val="Heading3"/>
      </w:pPr>
      <w:r>
        <w:t xml:space="preserve">3.3. Wireframes y Mockups</w:t>
      </w:r>
    </w:p>
    <w:p>
      <w:pPr>
        <w:pStyle w:val="FirstParagraph"/>
      </w:pPr>
      <w:r>
        <w:rPr>
          <w:bCs/>
          <w:b/>
        </w:rPr>
        <w:t xml:space="preserve">Wireframe de la Página Principal (Estado Inicial):</w:t>
      </w:r>
    </w:p>
    <w:p>
      <w:pPr>
        <w:pStyle w:val="BodyText"/>
      </w:pPr>
      <w:r>
        <w:t xml:space="preserve">Wireframe de la Página Principal</w:t>
      </w:r>
    </w:p>
    <w:p>
      <w:pPr>
        <w:pStyle w:val="BodyText"/>
      </w:pPr>
      <w:r>
        <w:rPr>
          <w:bCs/>
          <w:b/>
        </w:rPr>
        <w:t xml:space="preserve">Mockup del Panel de Resultados (Vista General):</w:t>
      </w:r>
    </w:p>
    <w:p>
      <w:pPr>
        <w:pStyle w:val="BodyText"/>
      </w:pPr>
      <w:r>
        <w:t xml:space="preserve">Mockup del Panel de Resultados</w:t>
      </w:r>
    </w:p>
    <w:p>
      <w:pPr>
        <w:pStyle w:val="BodyText"/>
      </w:pPr>
      <w:r>
        <w:rPr>
          <w:bCs/>
          <w:b/>
        </w:rPr>
        <w:t xml:space="preserve">Mockup Detallado del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Veredicto Smart Money</w:t>
      </w:r>
      <w:r>
        <w:rPr>
          <w:bCs/>
          <w:b/>
        </w:rPr>
        <w:t xml:space="preserve">”</w:t>
      </w:r>
      <w:r>
        <w:rPr>
          <w:bCs/>
          <w:b/>
        </w:rPr>
        <w:t xml:space="preserve">:</w:t>
      </w:r>
    </w:p>
    <w:p>
      <w:pPr>
        <w:pStyle w:val="BodyText"/>
      </w:pPr>
      <w:r>
        <w:t xml:space="preserve">Mockup del Veredicto Smart Money</w:t>
      </w:r>
    </w:p>
    <w:bookmarkEnd w:id="29"/>
    <w:bookmarkEnd w:id="30"/>
    <w:bookmarkStart w:id="33" w:name="Xec2cf6cf908921fb7f7bdcb1ebdcd767fd92b79"/>
    <w:p>
      <w:pPr>
        <w:pStyle w:val="Heading2"/>
      </w:pPr>
      <w:r>
        <w:t xml:space="preserve">4. Especificaciones Funcionales del Motor de Señales</w:t>
      </w:r>
    </w:p>
    <w:p>
      <w:pPr>
        <w:pStyle w:val="FirstParagraph"/>
      </w:pPr>
      <w:r>
        <w:t xml:space="preserve">El motor de señales es el corazón de la aplicación. A continuación, se detallan sus especificaciones funcionales.</w:t>
      </w:r>
    </w:p>
    <w:bookmarkStart w:id="31" w:name="lógica-del-scoring-smart-money"/>
    <w:p>
      <w:pPr>
        <w:pStyle w:val="Heading3"/>
      </w:pPr>
      <w:r>
        <w:t xml:space="preserve">4.1. Lógica del Scoring</w:t>
      </w:r>
      <w:r>
        <w:t xml:space="preserve"> </w:t>
      </w:r>
      <w:r>
        <w:t xml:space="preserve">“</w:t>
      </w:r>
      <w:r>
        <w:t xml:space="preserve">Smart Money</w:t>
      </w:r>
      <w:r>
        <w:t xml:space="preserve">”</w:t>
      </w:r>
    </w:p>
    <w:p>
      <w:pPr>
        <w:pStyle w:val="FirstParagraph"/>
      </w:pPr>
      <w:r>
        <w:t xml:space="preserve">El motor implementará el sistema de</w:t>
      </w:r>
      <w:r>
        <w:t xml:space="preserve"> </w:t>
      </w:r>
      <w:r>
        <w:t xml:space="preserve">“</w:t>
      </w:r>
      <w:r>
        <w:t xml:space="preserve">Scoring de Smart Money</w:t>
      </w:r>
      <w:r>
        <w:t xml:space="preserve">”</w:t>
      </w:r>
      <w:r>
        <w:t xml:space="preserve"> </w:t>
      </w:r>
      <w:r>
        <w:t xml:space="preserve">definido en el informe académico. El proceso será el siguiente: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Recopilación de Datos:</w:t>
      </w:r>
      <w:r>
        <w:t xml:space="preserve"> </w:t>
      </w:r>
      <w:r>
        <w:t xml:space="preserve">El motor recibirá los datos técnicos y fundamentales de la API Route.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Cálculo de Indicadores:</w:t>
      </w:r>
      <w:r>
        <w:t xml:space="preserve"> </w:t>
      </w:r>
      <w:r>
        <w:t xml:space="preserve">Calculará los indicadores clave (medias móviles, RSI, MACD, estructura de mercado, etc.).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Evaluación de Condiciones:</w:t>
      </w:r>
      <w:r>
        <w:t xml:space="preserve"> </w:t>
      </w:r>
      <w:r>
        <w:t xml:space="preserve">Evaluará cada uno de los factores del scoring (tendencia, estructura, fase de Wyckoff, etc.) y asignará la puntuación correspondiente.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Cálculo del Scoring Total:</w:t>
      </w:r>
      <w:r>
        <w:t xml:space="preserve"> </w:t>
      </w:r>
      <w:r>
        <w:t xml:space="preserve">Sumará las puntuaciones de todos los factores para obtener el</w:t>
      </w:r>
      <w:r>
        <w:t xml:space="preserve"> </w:t>
      </w:r>
      <w:r>
        <w:t xml:space="preserve">“</w:t>
      </w:r>
      <w:r>
        <w:t xml:space="preserve">Scoring de Smart Money</w:t>
      </w:r>
      <w:r>
        <w:t xml:space="preserve">”</w:t>
      </w:r>
      <w:r>
        <w:t xml:space="preserve"> </w:t>
      </w:r>
      <w:r>
        <w:t xml:space="preserve">final.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Generación de la Recomendación:</w:t>
      </w:r>
      <w:r>
        <w:t xml:space="preserve"> </w:t>
      </w:r>
      <w:r>
        <w:t xml:space="preserve">Basándose en el scoring total, generará la recomendación (</w:t>
      </w:r>
      <w:r>
        <w:t xml:space="preserve">“</w:t>
      </w:r>
      <w:r>
        <w:t xml:space="preserve">Comprar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Vender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Mantener</w:t>
      </w:r>
      <w:r>
        <w:t xml:space="preserve">”</w:t>
      </w:r>
      <w:r>
        <w:t xml:space="preserve">) según los umbrales definidos.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Generación de la Explicación:</w:t>
      </w:r>
      <w:r>
        <w:t xml:space="preserve"> </w:t>
      </w:r>
      <w:r>
        <w:t xml:space="preserve">Creará una explicación textual dinámica que justifique la recomendación, mencionando los factores que más contribuyeron al scoring.</w:t>
      </w:r>
    </w:p>
    <w:bookmarkEnd w:id="31"/>
    <w:bookmarkStart w:id="32" w:name="algoritmo-de-ejemplo-pseudocódigo"/>
    <w:p>
      <w:pPr>
        <w:pStyle w:val="Heading3"/>
      </w:pPr>
      <w:r>
        <w:t xml:space="preserve">4.2. Algoritmo de Ejemplo (Pseudocódigo)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calculateSmartMoneyScore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FinancialData)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AnalysisResult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explanation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Factor: Tendencia Semanal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sma50_weekly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explanation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tendencia a largo plazo es alcista."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(evaluar todos los demás factores)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recommendation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"Mantener"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(score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recommendation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"Comprar"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(score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recommendation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"Vender"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score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recommendation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explanation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explanation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2"/>
    <w:bookmarkEnd w:id="33"/>
    <w:bookmarkStart w:id="34" w:name="plan-de-implementación-por-sprints"/>
    <w:p>
      <w:pPr>
        <w:pStyle w:val="Heading2"/>
      </w:pPr>
      <w:r>
        <w:t xml:space="preserve">5. Plan de Implementación por Sprints</w:t>
      </w:r>
    </w:p>
    <w:p>
      <w:pPr>
        <w:pStyle w:val="FirstParagraph"/>
      </w:pPr>
      <w:r>
        <w:t xml:space="preserve">Se propone un plan de desarrollo ágil de 4 sprints de 2 semanas cada uno.</w:t>
      </w:r>
    </w:p>
    <w:p>
      <w:pPr>
        <w:pStyle w:val="BodyText"/>
      </w:pPr>
      <w:r>
        <w:rPr>
          <w:bCs/>
          <w:b/>
        </w:rPr>
        <w:t xml:space="preserve">Sprint 1: Configuración del Proyecto y Backend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Objetivos:</w:t>
      </w:r>
      <w:r>
        <w:t xml:space="preserve"> </w:t>
      </w:r>
      <w:r>
        <w:t xml:space="preserve">Configurar el proyecto, desarrollar las API Routes y conectar con las fuentes de datos externas.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Entregables:</w:t>
      </w:r>
    </w:p>
    <w:p>
      <w:pPr>
        <w:numPr>
          <w:ilvl w:val="1"/>
          <w:numId w:val="1018"/>
        </w:numPr>
        <w:pStyle w:val="Compact"/>
      </w:pPr>
      <w:r>
        <w:t xml:space="preserve">Repositorio de código en GitHub.</w:t>
      </w:r>
    </w:p>
    <w:p>
      <w:pPr>
        <w:numPr>
          <w:ilvl w:val="1"/>
          <w:numId w:val="1018"/>
        </w:numPr>
        <w:pStyle w:val="Compact"/>
      </w:pPr>
      <w:r>
        <w:t xml:space="preserve">Proyecto Next.js inicializado.</w:t>
      </w:r>
    </w:p>
    <w:p>
      <w:pPr>
        <w:numPr>
          <w:ilvl w:val="1"/>
          <w:numId w:val="1018"/>
        </w:numPr>
        <w:pStyle w:val="Compact"/>
      </w:pPr>
      <w:r>
        <w:t xml:space="preserve">API Routes funcionales para obtener datos de Yahoo Finance y CoinGecko.</w:t>
      </w:r>
    </w:p>
    <w:p>
      <w:pPr>
        <w:pStyle w:val="FirstParagraph"/>
      </w:pPr>
      <w:r>
        <w:rPr>
          <w:bCs/>
          <w:b/>
        </w:rPr>
        <w:t xml:space="preserve">Sprint 2: Motor de Señales y Lógica de Negocio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Objetivos:</w:t>
      </w:r>
      <w:r>
        <w:t xml:space="preserve"> </w:t>
      </w:r>
      <w:r>
        <w:t xml:space="preserve">Desarrollar e implementar el motor de scoring</w:t>
      </w:r>
      <w:r>
        <w:t xml:space="preserve"> </w:t>
      </w:r>
      <w:r>
        <w:t xml:space="preserve">“</w:t>
      </w:r>
      <w:r>
        <w:t xml:space="preserve">Smart Money</w:t>
      </w:r>
      <w:r>
        <w:t xml:space="preserve">”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Entregables:</w:t>
      </w:r>
    </w:p>
    <w:p>
      <w:pPr>
        <w:numPr>
          <w:ilvl w:val="1"/>
          <w:numId w:val="1020"/>
        </w:numPr>
        <w:pStyle w:val="Compact"/>
      </w:pPr>
      <w:r>
        <w:t xml:space="preserve">Módulo del motor de scoring en TypeScript.</w:t>
      </w:r>
    </w:p>
    <w:p>
      <w:pPr>
        <w:numPr>
          <w:ilvl w:val="1"/>
          <w:numId w:val="1020"/>
        </w:numPr>
        <w:pStyle w:val="Compact"/>
      </w:pPr>
      <w:r>
        <w:t xml:space="preserve">Pruebas unitarias para el motor de scoring.</w:t>
      </w:r>
    </w:p>
    <w:p>
      <w:pPr>
        <w:numPr>
          <w:ilvl w:val="1"/>
          <w:numId w:val="1020"/>
        </w:numPr>
        <w:pStyle w:val="Compact"/>
      </w:pPr>
      <w:r>
        <w:t xml:space="preserve">API Route</w:t>
      </w:r>
      <w:r>
        <w:t xml:space="preserve"> </w:t>
      </w:r>
      <w:r>
        <w:rPr>
          <w:rStyle w:val="VerbatimChar"/>
        </w:rPr>
        <w:t xml:space="preserve">/api/analyze</w:t>
      </w:r>
      <w:r>
        <w:t xml:space="preserve"> </w:t>
      </w:r>
      <w:r>
        <w:t xml:space="preserve">que devuelve un análisis completo.</w:t>
      </w:r>
    </w:p>
    <w:p>
      <w:pPr>
        <w:pStyle w:val="FirstParagraph"/>
      </w:pPr>
      <w:r>
        <w:rPr>
          <w:bCs/>
          <w:b/>
        </w:rPr>
        <w:t xml:space="preserve">Sprint 3: Desarrollo del Frontend y UI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Objetivos:</w:t>
      </w:r>
      <w:r>
        <w:t xml:space="preserve"> </w:t>
      </w:r>
      <w:r>
        <w:t xml:space="preserve">Construir la interfaz de usuario con React y Tailwind CSS.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Entregables:</w:t>
      </w:r>
    </w:p>
    <w:p>
      <w:pPr>
        <w:numPr>
          <w:ilvl w:val="1"/>
          <w:numId w:val="1022"/>
        </w:numPr>
        <w:pStyle w:val="Compact"/>
      </w:pPr>
      <w:r>
        <w:t xml:space="preserve">Componentes de React reutilizables (selector de ticker, paneles de métricas, etc.).</w:t>
      </w:r>
    </w:p>
    <w:p>
      <w:pPr>
        <w:numPr>
          <w:ilvl w:val="1"/>
          <w:numId w:val="1022"/>
        </w:numPr>
        <w:pStyle w:val="Compact"/>
      </w:pPr>
      <w:r>
        <w:t xml:space="preserve">Página principal con el formulario de entrada.</w:t>
      </w:r>
    </w:p>
    <w:p>
      <w:pPr>
        <w:numPr>
          <w:ilvl w:val="1"/>
          <w:numId w:val="1022"/>
        </w:numPr>
        <w:pStyle w:val="Compact"/>
      </w:pPr>
      <w:r>
        <w:t xml:space="preserve">Panel de resultados que consume y muestra los datos de la API.</w:t>
      </w:r>
    </w:p>
    <w:p>
      <w:pPr>
        <w:pStyle w:val="FirstParagraph"/>
      </w:pPr>
      <w:r>
        <w:rPr>
          <w:bCs/>
          <w:b/>
        </w:rPr>
        <w:t xml:space="preserve">Sprint 4: Gráficos, Pulido y Despliegue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Objetivos:</w:t>
      </w:r>
      <w:r>
        <w:t xml:space="preserve"> </w:t>
      </w:r>
      <w:r>
        <w:t xml:space="preserve">Integrar los gráficos interactivos, pulir la interfaz y desplegar la aplicación.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Entregables:</w:t>
      </w:r>
    </w:p>
    <w:p>
      <w:pPr>
        <w:numPr>
          <w:ilvl w:val="1"/>
          <w:numId w:val="1024"/>
        </w:numPr>
        <w:pStyle w:val="Compact"/>
      </w:pPr>
      <w:r>
        <w:t xml:space="preserve">Gráfico de velas interactivo con Chart.js.</w:t>
      </w:r>
    </w:p>
    <w:p>
      <w:pPr>
        <w:numPr>
          <w:ilvl w:val="1"/>
          <w:numId w:val="1024"/>
        </w:numPr>
        <w:pStyle w:val="Compact"/>
      </w:pPr>
      <w:r>
        <w:t xml:space="preserve">Implementación del modo oscuro.</w:t>
      </w:r>
    </w:p>
    <w:p>
      <w:pPr>
        <w:numPr>
          <w:ilvl w:val="1"/>
          <w:numId w:val="1024"/>
        </w:numPr>
        <w:pStyle w:val="Compact"/>
      </w:pPr>
      <w:r>
        <w:t xml:space="preserve">Optimización del rendimiento y SEO básico.</w:t>
      </w:r>
    </w:p>
    <w:p>
      <w:pPr>
        <w:numPr>
          <w:ilvl w:val="1"/>
          <w:numId w:val="1024"/>
        </w:numPr>
        <w:pStyle w:val="Compact"/>
      </w:pPr>
      <w:r>
        <w:t xml:space="preserve">Despliegue de la aplicación en Vercel.</w:t>
      </w:r>
    </w:p>
    <w:bookmarkEnd w:id="34"/>
    <w:bookmarkStart w:id="37" w:name="ejemplos-de-salida-mocks"/>
    <w:p>
      <w:pPr>
        <w:pStyle w:val="Heading2"/>
      </w:pPr>
      <w:r>
        <w:t xml:space="preserve">6. Ejemplos de Salida (Mocks)</w:t>
      </w:r>
    </w:p>
    <w:bookmarkStart w:id="35" w:name="ejemplo-de-análisis-para-aapl-apple-inc."/>
    <w:p>
      <w:pPr>
        <w:pStyle w:val="Heading3"/>
      </w:pPr>
      <w:r>
        <w:t xml:space="preserve">6.1. Ejemplo de Análisis para AAPL (Apple Inc.)</w:t>
      </w:r>
    </w:p>
    <w:p>
      <w:pPr>
        <w:pStyle w:val="FirstParagraph"/>
      </w:pPr>
      <w:r>
        <w:t xml:space="preserve">Ejemplo de Análisis para AAPL</w:t>
      </w:r>
    </w:p>
    <w:bookmarkEnd w:id="35"/>
    <w:bookmarkStart w:id="36" w:name="ejemplo-de-análisis-para-btc-usd-bitcoin"/>
    <w:p>
      <w:pPr>
        <w:pStyle w:val="Heading3"/>
      </w:pPr>
      <w:r>
        <w:t xml:space="preserve">6.2. Ejemplo de Análisis para BTC-USD (Bitcoin)</w:t>
      </w:r>
    </w:p>
    <w:p>
      <w:pPr>
        <w:pStyle w:val="FirstParagraph"/>
      </w:pPr>
      <w:r>
        <w:t xml:space="preserve">Ejemplo de Análisis para BTC-USD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2025-06-21T21:40:42Z</dcterms:created>
  <dcterms:modified xsi:type="dcterms:W3CDTF">2025-06-21T21:40:42Z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