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Times New Roman" w:hAnsi="Times New Roman"/>
          <w:b/>
          <w:sz w:val="20"/>
        </w:rPr>
        <w:t>BLOCO PRONTO PARA O CAPÍTULO 4 — colar ao FINAL da Seção 4.3 (Análise Comparativa Consolidada), após o último parágrafo de análise da Tabela 8 e antes do título da Seção 4.4 (Discussão: Determinantes do Desempenho). A tabela entra como Tabela 9; a atual Tabela 9 (Síntese, Cap. 5) e as seguintes renumeram automaticamente ao atualizar os campos (Ctrl+T, F9), pois as legendas usam campo SEQ — recomenda-se recriar esta legenda via Referências &gt; Inserir Legenda para herdar o SEQ.</w:t>
      </w:r>
    </w:p>
    <w:p/>
    <w:p>
      <w:pPr>
        <w:spacing w:after="120"/>
        <w:jc w:val="both"/>
      </w:pPr>
      <w:r>
        <w:rPr>
          <w:rFonts w:ascii="Times New Roman" w:hAnsi="Times New Roman"/>
          <w:b w:val="0"/>
          <w:sz w:val="24"/>
        </w:rPr>
        <w:t>Para decompor a origem dos retornos e isolar a real geração de valor das estratégias, estimou-se a atribuição de desempenho ex-post por meio de regressões dos excessos de retorno diários de cada carteira contra os fatores de risco brasileiros do NEFIN/USP, sob dois arranjos: o modelo de quatro fatores de Carhart (1997) — mercado (Rm−Rf), tamanho (SMB), valor (HML) e momentum (WML) — e o modelo de cinco fatores do NEFIN, que acrescenta o fator de iliquidez (IML), particularmente relevante para o mercado acionário brasileiro. Os erros-padrão são robustos a heterocedasticidade e autocorrelação (HAC de Newey-West). Conforme a Tabela 9, a carteira BL_classico apresenta o maior alfa pontual da amostra (6,12% a.a. no modelo de Carhart e 6,28% a.a. no modelo NEFIN), embora estatisticamente não significativo aos níveis convencionais (t ≈ 1,0) — resultado esperado em séries de horizonte decenal com volatilidade elevada. A única exceção é a EqualWeight_BuyHold, cujo alfa de 4,61% a.a. no modelo de cinco fatores é significativo a 5% (t = 2,02); no extremo oposto, o alfa negativo do MinCDaR (−5,35% a.a.) corrobora o diagnóstico de fragilidade da estratégia.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4"/>
        </w:rPr>
        <w:t>As cargas fatoriais revelam dois padrões centrais. Primeiro, a exposição ao momentum (βWML) é substancialmente positiva apenas na família Black-Litterman (de 0,303 a 0,464), validando empiricamente que as visões construídas a partir do sinal 12-1 se traduzem, de fato, em inclinação efetiva ao fator WML — enquanto as demais estratégias exibem cargas próximas de zero. Segundo, todas as 16 carteiras apresentam exposição positiva ao prêmio de iliquidez (βIML entre 0,16 e 0,31), indicando que a otimização no mercado brasileiro tende a capturar retornos associados a ativos menos líquidos; coerentemente, a inclusão do IML eleva o R² ajustado das regressões (de 0,842 para 0,850 na EqualWeight, por exemplo), reforçando a relevância desse fator local. Em conjunto, os resultados indicam que parte do desempenho das carteiras otimizadas decorre de prêmios de risco sistemáticos — momentum e iliquidez —, e não exclusivamente de habilidade alocativa, nuance que a análise por alfa torna explícita.</w:t>
      </w:r>
    </w:p>
    <w:p/>
    <w:p>
      <w:pPr>
        <w:jc w:val="center"/>
      </w:pPr>
      <w:r>
        <w:rPr>
          <w:rFonts w:ascii="Times New Roman" w:hAnsi="Times New Roman"/>
          <w:b/>
          <w:sz w:val="22"/>
        </w:rPr>
        <w:t>Tabela 9 - Atribuição de desempenho ex-post: alfas anualizados e cargas fatoriais (modelos Carhart 4F e NEFIN 5F), 2015–2025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Estratégia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α C4F</w:t>
              <w:br/>
              <w:t>(% a.a.)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 (NW)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βWML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α N5F</w:t>
              <w:br/>
              <w:t>(% a.a.)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 (NW)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βIML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R² aj.</w:t>
              <w:br/>
              <w:t>(N5F)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EqualWeight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2,55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1,20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−0,099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2,68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1,32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0,210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0,850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EqualWeight_BuyHold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4,49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1,92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−0,008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4,61*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2,02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0,193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0,822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InvVol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3,44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1,70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−0,093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3,56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1,83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0,196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0,851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MinVar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1,96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0,88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0,004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2,06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0,94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0,165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0,626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MinVar_c10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2,16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0,98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0,002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2,26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1,05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0,162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0,645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MaxSharpe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4,41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1,38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0,075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4,53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1,44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0,188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0,592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MaxSharpe_c10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2,78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0,99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0,088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2,92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1,07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0,234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0,647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MaxOmega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1,60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0,42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0,095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1,78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0,48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0,308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0,617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MaxSortino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4,22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1,28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0,070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4,33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1,33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0,180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0,580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MaxKappa3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4,79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1,37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0,058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4,89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1,41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0,168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0,554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MinCVaR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1,82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0,78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0,000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1,92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0,85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0,176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0,574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MinCDaR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−5,49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−1,29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−0,074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−5,35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−1,28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0,230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0,541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BL_classico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6,12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1,00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0,383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6,28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1,04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0,265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0,409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BL_classico_c10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3,19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0,81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0,303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3,35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0,87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0,259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0,618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BL_downside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4,37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0,55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0,464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4,51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0,57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0,221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0,337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BL_downside_c10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−1,04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−0,24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0,338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−0,91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−0,21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0,225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0,621</w:t>
            </w:r>
          </w:p>
        </w:tc>
      </w:tr>
    </w:tbl>
    <w:p>
      <w:pPr>
        <w:jc w:val="center"/>
      </w:pPr>
      <w:r>
        <w:rPr>
          <w:rFonts w:ascii="Times New Roman" w:hAnsi="Times New Roman"/>
          <w:sz w:val="20"/>
        </w:rPr>
        <w:t>Fonte: elaborada pelo autor (2026), a partir dos fatores de risco do NEFIN/USP. Nota: α = intercepto anualizado da regressão dos excessos de retorno diários; estatísticas t com erros-padrão HAC de Newey-West (5 defasagens); * significativo a 5%. C4F = Carhart 4 fatores (Rm−Rf, SMB, HML, WML); N5F = NEFIN 5 fatores (C4F + IML).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