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65BC8" w:rsidRPr="00BC6C39" w:rsidRDefault="00000000" w:rsidP="00BC6C3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O trabalho possui excelente profundidade acadêmica e domínio matemático-econométrico, porém </w:t>
      </w: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não está pronto para a defesa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. Há falhas graves de execução metodológica, contradições internas estruturais e dados omitidos que comprometeriam a aprovação ou exigiriam reformulação completa pós-banca.</w:t>
      </w:r>
    </w:p>
    <w:p w14:paraId="00000002" w14:textId="77777777" w:rsidR="00365BC8" w:rsidRPr="00BC6C39" w:rsidRDefault="00000000" w:rsidP="00BC6C3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Abaixo, elenco os ajustes mandatórios divididos por criticidade.</w:t>
      </w:r>
    </w:p>
    <w:p w14:paraId="00000003" w14:textId="77777777" w:rsidR="00365BC8" w:rsidRPr="00BC6C39" w:rsidRDefault="00000000" w:rsidP="00BC6C39">
      <w:pPr>
        <w:pStyle w:val="Ttulo2"/>
        <w:spacing w:before="0" w:after="0" w:line="275" w:lineRule="auto"/>
        <w:jc w:val="both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1. Inconsistências Críticas (Inviabilizam a Defesa)</w:t>
      </w:r>
    </w:p>
    <w:p w14:paraId="00000004" w14:textId="77777777" w:rsidR="00365BC8" w:rsidRPr="00BC6C39" w:rsidRDefault="00000000" w:rsidP="00BC6C39">
      <w:pPr>
        <w:pStyle w:val="Ttulo3"/>
        <w:spacing w:before="0" w:line="275" w:lineRule="auto"/>
        <w:jc w:val="both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A. O Paradoxo do Erro de Escala no Modelo Black-</w:t>
      </w:r>
      <w:proofErr w:type="spellStart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Litterman</w:t>
      </w:r>
      <w:proofErr w:type="spellEnd"/>
    </w:p>
    <w:p w14:paraId="00000005" w14:textId="77777777" w:rsidR="00365BC8" w:rsidRPr="00BC6C39" w:rsidRDefault="00000000" w:rsidP="00BC6C3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No </w:t>
      </w: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Capítulo 4.3.3 (</w:t>
      </w:r>
      <w:proofErr w:type="spellStart"/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ii</w:t>
      </w:r>
      <w:proofErr w:type="spellEnd"/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)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, o candidato confessa textualmente: </w:t>
      </w:r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 xml:space="preserve">“A covariância utilizada no modelo BL foi </w:t>
      </w:r>
      <w:proofErr w:type="spellStart"/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mensalizada</w:t>
      </w:r>
      <w:proofErr w:type="spellEnd"/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 xml:space="preserve"> (multiplicada por 21 dias) em vez de anualizada (multiplicada por 252)”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.</w:t>
      </w:r>
    </w:p>
    <w:p w14:paraId="00000006" w14:textId="215A9F06" w:rsidR="00365BC8" w:rsidRPr="00BC6C39" w:rsidRDefault="00000000" w:rsidP="00BC6C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A crítica: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Isso invalida completamente a comparação do modelo BL+LSTM com os otimizadores das Seções 3.5.1 e 3.5.2, que utilizam dados explicitamente anualizados. Ao errar a escala de </w:t>
      </w:r>
      <m:oMath>
        <m:acc>
          <m:accPr>
            <m:chr m:val="ˆ"/>
            <m:ctrlPr>
              <w:rPr>
                <w:rFonts w:ascii="Cambria Math" w:eastAsia="Google Sans" w:hAnsi="Cambria Math" w:cs="Google Sans"/>
                <w:color w:val="1F1F1F"/>
                <w:sz w:val="24"/>
                <w:szCs w:val="24"/>
              </w:rPr>
            </m:ctrlPr>
          </m:accPr>
          <m:e>
            <m:r>
              <w:rPr>
                <w:rFonts w:ascii="Cambria Math" w:eastAsia="Google Sans" w:hAnsi="Cambria Math" w:cs="Google Sans"/>
                <w:color w:val="1F1F1F"/>
                <w:sz w:val="24"/>
                <w:szCs w:val="24"/>
              </w:rPr>
              <m:t>Σ</m:t>
            </m:r>
          </m:e>
        </m:acc>
      </m:oMath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, a relação de precisão dada pela Fórmula Mestra Bayesiana foi distorcida, retirando o peso do equilíbrio (Prior) e hipertrofiando o ruído da rede LSTM. O candidato não pode defender um modelo cuja subperformance foi gerada por um erro de programação e não pela falha da teoria em si.</w:t>
      </w:r>
    </w:p>
    <w:p w14:paraId="00000007" w14:textId="77777777" w:rsidR="00365BC8" w:rsidRPr="00BC6C39" w:rsidRDefault="00000000" w:rsidP="00BC6C39">
      <w:pPr>
        <w:pStyle w:val="Ttulo3"/>
        <w:spacing w:before="0" w:line="275" w:lineRule="auto"/>
        <w:jc w:val="both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B. Não Padronização do Período de </w:t>
      </w:r>
      <w:proofErr w:type="spellStart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Backtest</w:t>
      </w:r>
      <w:proofErr w:type="spellEnd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e Benchmarks Flutuantes</w:t>
      </w:r>
    </w:p>
    <w:p w14:paraId="00000008" w14:textId="77777777" w:rsidR="00365BC8" w:rsidRPr="00BC6C39" w:rsidRDefault="00000000" w:rsidP="00BC6C3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A nota de rodapé da </w:t>
      </w: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Tabela 11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aponta que as estratégias L1 iniciam o </w:t>
      </w:r>
      <w:proofErr w:type="spellStart"/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backtest</w:t>
      </w:r>
      <w:proofErr w:type="spellEnd"/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 xml:space="preserve"> out-</w:t>
      </w:r>
      <w:proofErr w:type="spellStart"/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of</w:t>
      </w:r>
      <w:proofErr w:type="spellEnd"/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-sample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em setembro de 2015, enquanto o BL+LSTM inicia em janeiro de 2015.</w:t>
      </w:r>
    </w:p>
    <w:p w14:paraId="00000009" w14:textId="77777777" w:rsidR="00365BC8" w:rsidRPr="00BC6C39" w:rsidRDefault="00000000" w:rsidP="00BC6C3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A crítica: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É metodologicamente inaceitável comparar métricas acumuladas e CAGR de estratégias com janelas temporais distintas. Como o IBOVESPA rendeu +215% em uma janela e +243,49% na outra, a hierarquia de desempenho apresentada na conclusão está corrompida. O período </w:t>
      </w:r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out-</w:t>
      </w:r>
      <w:proofErr w:type="spellStart"/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of</w:t>
      </w:r>
      <w:proofErr w:type="spellEnd"/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-sample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deve ser rigorosamente idêntico para todos os modelos.</w:t>
      </w:r>
    </w:p>
    <w:p w14:paraId="0000000A" w14:textId="77777777" w:rsidR="00365BC8" w:rsidRPr="00BC6C39" w:rsidRDefault="00000000" w:rsidP="00BC6C39">
      <w:pPr>
        <w:pStyle w:val="Ttulo3"/>
        <w:spacing w:before="0" w:line="275" w:lineRule="auto"/>
        <w:jc w:val="both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C. Omissão Completa de Dados no Miolo do Trabalho</w:t>
      </w:r>
    </w:p>
    <w:p w14:paraId="0000000B" w14:textId="77777777" w:rsidR="00365BC8" w:rsidRPr="00BC6C39" w:rsidRDefault="00000000" w:rsidP="00BC6C3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As tabelas de resultados práticos (</w:t>
      </w: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Tabela 8, 9 e 11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) apresentam campos vazios com a nota: </w:t>
      </w:r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“Nota: métricas de risco a serem completadas com os outputs do notebook”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.</w:t>
      </w:r>
    </w:p>
    <w:p w14:paraId="0000000C" w14:textId="77777777" w:rsidR="00365BC8" w:rsidRPr="00BC6C39" w:rsidRDefault="00000000" w:rsidP="00BC6C3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A crítica: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O texto está sem os indicadores mais importantes da pesquisa (Volatilidade, Índice de Sharpe e </w:t>
      </w:r>
      <w:proofErr w:type="spellStart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Maximum</w:t>
      </w:r>
      <w:proofErr w:type="spellEnd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</w:t>
      </w:r>
      <w:proofErr w:type="spellStart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Drawdown</w:t>
      </w:r>
      <w:proofErr w:type="spellEnd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das estratégias L1). Apresentar um trabalho para banca com lacunas de dados nos capítulos de resultados e conclusão configura negligência.</w:t>
      </w:r>
    </w:p>
    <w:p w14:paraId="0000000D" w14:textId="77777777" w:rsidR="00365BC8" w:rsidRPr="00BC6C39" w:rsidRDefault="00000000" w:rsidP="00BC6C39">
      <w:pPr>
        <w:pStyle w:val="Ttulo3"/>
        <w:spacing w:before="0" w:line="275" w:lineRule="auto"/>
        <w:jc w:val="both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D. Contradição no Vetor de Pesos de Mercado do Prior</w:t>
      </w:r>
    </w:p>
    <w:p w14:paraId="0000000E" w14:textId="2AEE0FE9" w:rsidR="00365BC8" w:rsidRPr="00BC6C39" w:rsidRDefault="00000000" w:rsidP="00BC6C3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Na página 76 (</w:t>
      </w: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Seção 3.5.3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), afirma-se que as visões absolutas operaram com </w:t>
      </w:r>
      <m:oMath>
        <m:r>
          <w:rPr>
            <w:rFonts w:ascii="Cambria Math" w:eastAsia="Google Sans" w:hAnsi="Cambria Math" w:cs="Google Sans"/>
            <w:color w:val="1F1F1F"/>
            <w:sz w:val="24"/>
            <w:szCs w:val="24"/>
          </w:rPr>
          <m:t>P=</m:t>
        </m:r>
        <m:sSub>
          <m:sSubPr>
            <m:ctrlPr>
              <w:rPr>
                <w:rFonts w:ascii="Cambria Math" w:eastAsia="Google Sans" w:hAnsi="Cambria Math" w:cs="Google Sans"/>
                <w:color w:val="1F1F1F"/>
                <w:sz w:val="24"/>
                <w:szCs w:val="24"/>
              </w:rPr>
            </m:ctrlPr>
          </m:sSubPr>
          <m:e>
            <m:r>
              <w:rPr>
                <w:rFonts w:ascii="Cambria Math" w:eastAsia="Google Sans" w:hAnsi="Cambria Math" w:cs="Google Sans"/>
                <w:color w:val="1F1F1F"/>
                <w:sz w:val="24"/>
                <w:szCs w:val="24"/>
              </w:rPr>
              <m:t>I</m:t>
            </m:r>
          </m:e>
          <m:sub>
            <m:r>
              <w:rPr>
                <w:rFonts w:ascii="Cambria Math" w:eastAsia="Google Sans" w:hAnsi="Cambria Math" w:cs="Google Sans"/>
                <w:color w:val="1F1F1F"/>
                <w:sz w:val="24"/>
                <w:szCs w:val="24"/>
              </w:rPr>
              <m:t>N</m:t>
            </m:r>
          </m:sub>
        </m:sSub>
      </m:oMath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(matriz identidade) e pesos de mercado $\omega_{mkt}$ via Yahoo Finance em maio de 2026. Porém, no </w:t>
      </w: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Apêndice J (II)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, o texto afirma que foi utilizado um </w:t>
      </w:r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“vetor prior neutro equiponderado”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.</w:t>
      </w:r>
    </w:p>
    <w:p w14:paraId="0000000F" w14:textId="711AE6E7" w:rsidR="00365BC8" w:rsidRPr="00BC6C39" w:rsidRDefault="00000000" w:rsidP="00BC6C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A crítica: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Se o prior foi equiponderado (1/N), não é a carteira de mercado do CAPM reverso clássico, mas sim uma aproximação arbitrária. O candidato precisa unificar o texto: ou usou capitalização de mercado ou usou </w:t>
      </w:r>
      <w:proofErr w:type="spellStart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equiponderação</w:t>
      </w:r>
      <w:proofErr w:type="spellEnd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no Prior. Além disso, usar pesos de maio de 2026 para ancorar um </w:t>
      </w:r>
      <w:proofErr w:type="spellStart"/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backtest</w:t>
      </w:r>
      <w:proofErr w:type="spellEnd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que roda desde 2015 introduz viés de sobrevivência e antecipação (</w:t>
      </w:r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look-</w:t>
      </w:r>
      <w:proofErr w:type="spellStart"/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ahead</w:t>
      </w:r>
      <w:proofErr w:type="spellEnd"/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 xml:space="preserve"> bias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), invalidando o protocolo estatístico pura e simplesmente.</w:t>
      </w:r>
    </w:p>
    <w:p w14:paraId="00000010" w14:textId="77777777" w:rsidR="00365BC8" w:rsidRPr="00BC6C39" w:rsidRDefault="00000000" w:rsidP="00BC6C39">
      <w:pPr>
        <w:pStyle w:val="Ttulo2"/>
        <w:spacing w:before="0" w:after="0" w:line="275" w:lineRule="auto"/>
        <w:jc w:val="both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2. Ajustes Metodológicos e Redacionais</w:t>
      </w:r>
    </w:p>
    <w:p w14:paraId="00000011" w14:textId="77777777" w:rsidR="00365BC8" w:rsidRPr="00BC6C39" w:rsidRDefault="00000000" w:rsidP="00BC6C39">
      <w:pPr>
        <w:pStyle w:val="Ttulo3"/>
        <w:spacing w:before="0" w:line="275" w:lineRule="auto"/>
        <w:jc w:val="both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A. Alinhamento entre Título, Sumário e Execução (O Problema da PMPT)</w:t>
      </w:r>
    </w:p>
    <w:p w14:paraId="00000012" w14:textId="77777777" w:rsidR="00365BC8" w:rsidRPr="00BC6C39" w:rsidRDefault="00000000" w:rsidP="00BC6C3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O resumo e a introdução prometem formalmente o uso de otimizadores da Teoria Pós-Moderna (PMPT), citando especificamente a </w:t>
      </w: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Maximização do Índice de Sortino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e a </w:t>
      </w: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 xml:space="preserve">Minimização do </w:t>
      </w:r>
      <w:proofErr w:type="spellStart"/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Conditional</w:t>
      </w:r>
      <w:proofErr w:type="spellEnd"/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 xml:space="preserve"> </w:t>
      </w:r>
      <w:proofErr w:type="spellStart"/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Value</w:t>
      </w:r>
      <w:proofErr w:type="spellEnd"/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 xml:space="preserve"> </w:t>
      </w:r>
      <w:proofErr w:type="spellStart"/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at</w:t>
      </w:r>
      <w:proofErr w:type="spellEnd"/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 xml:space="preserve"> Risk (</w:t>
      </w:r>
      <w:proofErr w:type="spellStart"/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CVaR</w:t>
      </w:r>
      <w:proofErr w:type="spellEnd"/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)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.</w:t>
      </w:r>
    </w:p>
    <w:p w14:paraId="00000013" w14:textId="77777777" w:rsidR="00365BC8" w:rsidRPr="00BC6C39" w:rsidRDefault="00000000" w:rsidP="00BC6C3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Contudo, ao ler a </w:t>
      </w: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Seção 3.5 (Modelos de Otimização Implementados)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, verifica-se que </w:t>
      </w: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apenas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foram modelados: (3.5.1) Máximo Sharpe L1, (3.5.2) Mínima Variância L1 e (3.5.3) Black-</w:t>
      </w:r>
      <w:proofErr w:type="spellStart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Litterman</w:t>
      </w:r>
      <w:proofErr w:type="spellEnd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+ LSTM.</w:t>
      </w:r>
    </w:p>
    <w:p w14:paraId="00000014" w14:textId="77777777" w:rsidR="00365BC8" w:rsidRPr="00BC6C39" w:rsidRDefault="00000000" w:rsidP="00BC6C3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O Ajuste: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O candidato gastou quase 15 páginas do Referencial Teórico discursando sobre LPM, axiomas de </w:t>
      </w:r>
      <w:proofErr w:type="spellStart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Artzner</w:t>
      </w:r>
      <w:proofErr w:type="spellEnd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e </w:t>
      </w:r>
      <w:proofErr w:type="spellStart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CVaR</w:t>
      </w:r>
      <w:proofErr w:type="spellEnd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(Seções 2.8 a 2.13), mas </w:t>
      </w: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não executou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esses otimizadores na metodologia. Ou ele inclui as carteiras Mínimo-</w:t>
      </w:r>
      <w:proofErr w:type="spellStart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CVaR</w:t>
      </w:r>
      <w:proofErr w:type="spellEnd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e Máximo-Sortino no código e nos resultados, ou deve extirpar essa seção do referencial para evitar que a banca o confronte por propaganda enganosa no sumário.</w:t>
      </w:r>
    </w:p>
    <w:p w14:paraId="00000015" w14:textId="77777777" w:rsidR="00365BC8" w:rsidRPr="00BC6C39" w:rsidRDefault="00000000" w:rsidP="00BC6C39">
      <w:pPr>
        <w:pStyle w:val="Ttulo3"/>
        <w:spacing w:before="0" w:line="275" w:lineRule="auto"/>
        <w:jc w:val="both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B. Erros de Numeração e Digitação Estrutural</w:t>
      </w:r>
    </w:p>
    <w:p w14:paraId="00000016" w14:textId="77777777" w:rsidR="00365BC8" w:rsidRPr="00BC6C39" w:rsidRDefault="00000000" w:rsidP="00BC6C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Repetição de Seções: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No sumário e no corpo do texto, as seções </w:t>
      </w: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4.2.2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e </w:t>
      </w: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4.2.3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possuem exatamente o mesmo título (</w:t>
      </w:r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Estratégia 2 Máximo Índice de Sharpe com L1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), embora a 4.2.3 trate de Black-</w:t>
      </w:r>
      <w:proofErr w:type="spellStart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Litterman</w:t>
      </w:r>
      <w:proofErr w:type="spellEnd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.</w:t>
      </w:r>
    </w:p>
    <w:p w14:paraId="00000017" w14:textId="77777777" w:rsidR="00365BC8" w:rsidRPr="00BC6C39" w:rsidRDefault="00000000" w:rsidP="00BC6C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Tabelas Fantasmas: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A seção 4.1.1 intitula-se </w:t>
      </w:r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Modelo Black-</w:t>
      </w:r>
      <w:proofErr w:type="spellStart"/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Litterman</w:t>
      </w:r>
      <w:proofErr w:type="spellEnd"/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 xml:space="preserve"> com Visões LSTM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, mas abaixo dela encontra-se a caracterização setorial da amostra. Na seção 4.1.3, o texto cita a </w:t>
      </w:r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Tabela 4.3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, mas o título real da tabela impressa está como </w:t>
      </w:r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Tabela 6 - Tabela 4.3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.</w:t>
      </w:r>
    </w:p>
    <w:p w14:paraId="00000018" w14:textId="77777777" w:rsidR="00365BC8" w:rsidRPr="00BC6C39" w:rsidRDefault="00000000" w:rsidP="00BC6C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Divergência no N do Universo: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O título da Tabela 5 cita 130 ativos; a Tabela 7 cita 135 ativos; o Apêndice B (II) cita 136 ativos. Qual é o tamanho exato da amostra final?</w:t>
      </w:r>
    </w:p>
    <w:p w14:paraId="00000019" w14:textId="77777777" w:rsidR="00365BC8" w:rsidRPr="00BC6C39" w:rsidRDefault="00000000" w:rsidP="00BC6C39">
      <w:pPr>
        <w:pStyle w:val="Ttulo2"/>
        <w:spacing w:before="0" w:after="0" w:line="275" w:lineRule="auto"/>
        <w:jc w:val="both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3. Pontos Fortes (A Preservar)</w:t>
      </w:r>
    </w:p>
    <w:p w14:paraId="0000001A" w14:textId="77777777" w:rsidR="00365BC8" w:rsidRPr="00BC6C39" w:rsidRDefault="00000000" w:rsidP="00BC6C3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Rigor do Diagnóstico Econométrico: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A seção 4.1 (com testes de </w:t>
      </w:r>
      <w:proofErr w:type="spellStart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Jarque</w:t>
      </w:r>
      <w:proofErr w:type="spellEnd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-Bera, </w:t>
      </w:r>
      <w:proofErr w:type="spellStart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lastRenderedPageBreak/>
        <w:t>Ljung</w:t>
      </w:r>
      <w:proofErr w:type="spellEnd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-Box, ARCH LM e quebras estruturais via CUSUM) está excelente. Demonstra que o aluno compreende as falhas de premissas da MPT aplicadas ao mercado brasileiro.</w:t>
      </w:r>
    </w:p>
    <w:p w14:paraId="0000001B" w14:textId="77777777" w:rsidR="00365BC8" w:rsidRPr="00BC6C39" w:rsidRDefault="00000000" w:rsidP="00BC6C3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Modelagem de Fricção Transacional: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A introdução da penalidade L1 (norma Lasso) para simular custos de transação e evitar giro excessivo denota maturidade técnica e aproxima o trabalho da realidade de mercado.</w:t>
      </w:r>
    </w:p>
    <w:p w14:paraId="0000001C" w14:textId="77777777" w:rsidR="00365BC8" w:rsidRPr="00BC6C39" w:rsidRDefault="00000000" w:rsidP="00BC6C3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Análise Crítica do Paradoxo da Complexidade: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A discussão do subperíodo fora da amostra (Seção 4.3.2) está bem fundamentada na literatura clássica (</w:t>
      </w:r>
      <w:proofErr w:type="spellStart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DeMiguel</w:t>
      </w:r>
      <w:proofErr w:type="spellEnd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et al., 2009; </w:t>
      </w:r>
      <w:proofErr w:type="spellStart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Welch</w:t>
      </w:r>
      <w:proofErr w:type="spellEnd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&amp; </w:t>
      </w:r>
      <w:proofErr w:type="spellStart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Goyal</w:t>
      </w:r>
      <w:proofErr w:type="spellEnd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, 2008). O aluno soube interpretar o fracasso do modelo mais complexo (LSTM) sem tentar mascarar os dados.</w:t>
      </w:r>
    </w:p>
    <w:p w14:paraId="0000001D" w14:textId="77777777" w:rsidR="00365BC8" w:rsidRPr="00BC6C39" w:rsidRDefault="00000000" w:rsidP="00BC6C39">
      <w:pPr>
        <w:pStyle w:val="Ttulo2"/>
        <w:spacing w:before="0" w:after="0" w:line="275" w:lineRule="auto"/>
        <w:jc w:val="both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Parecer e Recomendação para o Orientador</w:t>
      </w:r>
    </w:p>
    <w:p w14:paraId="0000001E" w14:textId="633ADDB5" w:rsidR="00365BC8" w:rsidRPr="00BC6C39" w:rsidRDefault="00000000" w:rsidP="00BC6C3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O trabalho tem potencial para ser nota máxima devido à complexidade da fusão Bayesiana com Redes Neurais e Otimização Convexa (OSQP/CVXPY). Todavia, enviar o manuscrito no estado atual para a banca resultará em severas críticas e potencial reprovação/readequação interna.</w:t>
      </w:r>
    </w:p>
    <w:p w14:paraId="0000001F" w14:textId="77777777" w:rsidR="00365BC8" w:rsidRPr="00BC6C39" w:rsidRDefault="00000000" w:rsidP="00BC6C3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Ação imediata recomendada: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Barrar a ida para a defesa neste momento e exigir um esforço de mais duas semanas do aluno para:</w:t>
      </w:r>
    </w:p>
    <w:p w14:paraId="00000020" w14:textId="77777777" w:rsidR="00365BC8" w:rsidRPr="00BC6C39" w:rsidRDefault="00000000" w:rsidP="00BC6C3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Rodar novamente o </w:t>
      </w:r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script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do modelo Black-</w:t>
      </w:r>
      <w:proofErr w:type="spellStart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Litterman</w:t>
      </w:r>
      <w:proofErr w:type="spellEnd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utilizando a matriz de covariância </w:t>
      </w: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anualizada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(corrigindo o fator 21 </w:t>
      </w:r>
      <w:proofErr w:type="spellStart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vs</w:t>
      </w:r>
      <w:proofErr w:type="spellEnd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252).</w:t>
      </w:r>
    </w:p>
    <w:p w14:paraId="00000021" w14:textId="77777777" w:rsidR="00365BC8" w:rsidRPr="00BC6C39" w:rsidRDefault="00000000" w:rsidP="00BC6C3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Padronizar a data de início do </w:t>
      </w:r>
      <w:proofErr w:type="spellStart"/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backtest</w:t>
      </w:r>
      <w:proofErr w:type="spellEnd"/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 xml:space="preserve"> out-</w:t>
      </w:r>
      <w:proofErr w:type="spellStart"/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of</w:t>
      </w:r>
      <w:proofErr w:type="spellEnd"/>
      <w:r w:rsidRPr="00BC6C39">
        <w:rPr>
          <w:rFonts w:ascii="Google Sans" w:eastAsia="Google Sans" w:hAnsi="Google Sans" w:cs="Google Sans"/>
          <w:i/>
          <w:iCs/>
          <w:color w:val="1F1F1F"/>
          <w:sz w:val="24"/>
          <w:szCs w:val="24"/>
        </w:rPr>
        <w:t>-sample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de todas as estratégias em </w:t>
      </w:r>
      <w:r w:rsidRPr="00BC6C39">
        <w:rPr>
          <w:rFonts w:ascii="Google Sans" w:eastAsia="Google Sans" w:hAnsi="Google Sans" w:cs="Google Sans"/>
          <w:b/>
          <w:bCs/>
          <w:color w:val="1F1F1F"/>
          <w:sz w:val="24"/>
          <w:szCs w:val="24"/>
        </w:rPr>
        <w:t>01/01/2015</w:t>
      </w: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.</w:t>
      </w:r>
    </w:p>
    <w:p w14:paraId="00000022" w14:textId="77777777" w:rsidR="00365BC8" w:rsidRPr="00BC6C39" w:rsidRDefault="00000000" w:rsidP="00BC6C3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Preencher todas as lacunas quantitativas das Tabelas 8, 9 e 11.</w:t>
      </w:r>
    </w:p>
    <w:p w14:paraId="00000023" w14:textId="77777777" w:rsidR="00365BC8" w:rsidRPr="00BC6C39" w:rsidRDefault="00000000" w:rsidP="00BC6C3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Decidir se remove a discussão teórica sobre PMPT/</w:t>
      </w:r>
      <w:proofErr w:type="spellStart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>CVaR</w:t>
      </w:r>
      <w:proofErr w:type="spellEnd"/>
      <w:r w:rsidRPr="00BC6C39">
        <w:rPr>
          <w:rFonts w:ascii="Google Sans" w:eastAsia="Google Sans" w:hAnsi="Google Sans" w:cs="Google Sans"/>
          <w:color w:val="1F1F1F"/>
          <w:sz w:val="24"/>
          <w:szCs w:val="24"/>
        </w:rPr>
        <w:t xml:space="preserve"> ou se implementa as carteiras correspondentes no código.</w:t>
      </w:r>
    </w:p>
    <w:p w14:paraId="00000026" w14:textId="6458558C" w:rsidR="00365BC8" w:rsidRPr="00BC6C39" w:rsidRDefault="00365BC8" w:rsidP="00BC6C3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" w:eastAsia="Google Sans" w:hAnsi="Google Sans" w:cs="Google Sans"/>
          <w:color w:val="1F1F1F"/>
          <w:sz w:val="24"/>
          <w:szCs w:val="24"/>
        </w:rPr>
      </w:pPr>
    </w:p>
    <w:sectPr w:rsidR="00365BC8" w:rsidRPr="00BC6C3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9A6A6FF-B68D-D04A-9514-18A83F82897A}"/>
    <w:embedBold r:id="rId2" w:fontKey="{6F79FDDE-E99B-024E-A68F-76DA856E971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7424D15-5170-7B47-9823-C8A00841516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409B711-AF2E-F44B-AA6E-044AA3EFBDE5}"/>
  </w:font>
  <w:font w:name="Google Sans">
    <w:panose1 w:val="020B0604020202020204"/>
    <w:charset w:val="00"/>
    <w:family w:val="auto"/>
    <w:pitch w:val="default"/>
    <w:embedRegular r:id="rId5" w:fontKey="{94FDA77E-534B-FE4A-8AAF-B6CB15A312BA}"/>
    <w:embedBold r:id="rId6" w:fontKey="{1EF66742-2C48-D248-B8B3-82407A0F37C4}"/>
    <w:embedItalic r:id="rId7" w:fontKey="{011C3719-002F-0B41-B113-753D4C325313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8" w:fontKey="{55F1BEBB-03E6-974A-AE11-752061B666D9}"/>
    <w:embedItalic r:id="rId9" w:fontKey="{A170BD5C-6B65-7646-83BC-568539371187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10" w:fontKey="{18010931-2F71-B940-A8AC-F8E91E2A7C98}"/>
  </w:font>
  <w:font w:name="Cambria">
    <w:panose1 w:val="02040503050406030204"/>
    <w:charset w:val="00"/>
    <w:family w:val="roman"/>
    <w:notTrueType/>
    <w:pitch w:val="default"/>
    <w:embedRegular r:id="rId11" w:fontKey="{0A68D28C-730D-AF44-9005-0A29F64B43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E3F18"/>
    <w:multiLevelType w:val="multilevel"/>
    <w:tmpl w:val="916E981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3627938"/>
    <w:multiLevelType w:val="multilevel"/>
    <w:tmpl w:val="6570DC1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7054B1A"/>
    <w:multiLevelType w:val="multilevel"/>
    <w:tmpl w:val="EDE63DF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753501B"/>
    <w:multiLevelType w:val="multilevel"/>
    <w:tmpl w:val="C612400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AD26160"/>
    <w:multiLevelType w:val="multilevel"/>
    <w:tmpl w:val="D78CD7B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58E370D"/>
    <w:multiLevelType w:val="multilevel"/>
    <w:tmpl w:val="42287CF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F293661"/>
    <w:multiLevelType w:val="multilevel"/>
    <w:tmpl w:val="C0E82DA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5C42C57"/>
    <w:multiLevelType w:val="multilevel"/>
    <w:tmpl w:val="73502A9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08761581">
    <w:abstractNumId w:val="4"/>
  </w:num>
  <w:num w:numId="2" w16cid:durableId="647705518">
    <w:abstractNumId w:val="1"/>
  </w:num>
  <w:num w:numId="3" w16cid:durableId="357318917">
    <w:abstractNumId w:val="3"/>
  </w:num>
  <w:num w:numId="4" w16cid:durableId="1207764997">
    <w:abstractNumId w:val="0"/>
  </w:num>
  <w:num w:numId="5" w16cid:durableId="1949579264">
    <w:abstractNumId w:val="7"/>
  </w:num>
  <w:num w:numId="6" w16cid:durableId="1154030060">
    <w:abstractNumId w:val="2"/>
  </w:num>
  <w:num w:numId="7" w16cid:durableId="1462767693">
    <w:abstractNumId w:val="6"/>
  </w:num>
  <w:num w:numId="8" w16cid:durableId="94634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BC8"/>
    <w:rsid w:val="00365BC8"/>
    <w:rsid w:val="00BC6C39"/>
    <w:rsid w:val="00F7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E537B6"/>
  <w15:docId w15:val="{48BBB971-00DB-B34E-8E66-8455A58D8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957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Moisés Cunha</cp:lastModifiedBy>
  <cp:revision>2</cp:revision>
  <dcterms:created xsi:type="dcterms:W3CDTF">2026-06-02T17:18:00Z</dcterms:created>
  <dcterms:modified xsi:type="dcterms:W3CDTF">2026-06-02T17:24:00Z</dcterms:modified>
</cp:coreProperties>
</file>