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D26DD" w14:textId="77777777" w:rsidR="00F1611A" w:rsidRPr="001935B7" w:rsidRDefault="00000000" w:rsidP="001935B7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X8cadb761f24ae13fdb0718efab68a92b5977364"/>
      <w:r w:rsidRPr="001935B7">
        <w:rPr>
          <w:rFonts w:ascii="Times New Roman" w:hAnsi="Times New Roman" w:cs="Times New Roman"/>
          <w:sz w:val="24"/>
          <w:szCs w:val="24"/>
        </w:rPr>
        <w:t>(Capítulos 4 e 5 reescritos — versão limpa para inserção no TCC)</w:t>
      </w:r>
    </w:p>
    <w:p w14:paraId="6CB8E884" w14:textId="77777777" w:rsidR="00F1611A" w:rsidRPr="001935B7" w:rsidRDefault="00000000" w:rsidP="001935B7">
      <w:pPr>
        <w:pStyle w:val="Textoembloc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Nota editorial (remover antes da entrega).</w:t>
      </w:r>
      <w:r w:rsidRPr="001935B7">
        <w:rPr>
          <w:rFonts w:ascii="Times New Roman" w:hAnsi="Times New Roman" w:cs="Times New Roman"/>
        </w:rPr>
        <w:t xml:space="preserve"> Este capítulo foi reescrito para refletir exclusivamente as estratégias efetivamente implementadas no pipeline e as métricas confirmadas nos artefatos </w:t>
      </w:r>
      <w:r w:rsidRPr="001935B7">
        <w:rPr>
          <w:rStyle w:val="VerbatimChar"/>
          <w:rFonts w:ascii="Times New Roman" w:hAnsi="Times New Roman" w:cs="Times New Roman"/>
          <w:sz w:val="24"/>
        </w:rPr>
        <w:t>data/Estrategias/apendice_H_painel_metricas.csv</w:t>
      </w:r>
      <w:r w:rsidRPr="001935B7">
        <w:rPr>
          <w:rFonts w:ascii="Times New Roman" w:hAnsi="Times New Roman" w:cs="Times New Roman"/>
        </w:rPr>
        <w:t xml:space="preserve"> e </w:t>
      </w:r>
      <w:r w:rsidRPr="001935B7">
        <w:rPr>
          <w:rStyle w:val="VerbatimChar"/>
          <w:rFonts w:ascii="Times New Roman" w:hAnsi="Times New Roman" w:cs="Times New Roman"/>
          <w:sz w:val="24"/>
        </w:rPr>
        <w:t>data/Estrategias/desempenho_estrategias.csv</w:t>
      </w:r>
      <w:r w:rsidRPr="001935B7">
        <w:rPr>
          <w:rFonts w:ascii="Times New Roman" w:hAnsi="Times New Roman" w:cs="Times New Roman"/>
        </w:rPr>
        <w:t xml:space="preserve"> (período </w:t>
      </w:r>
      <w:r w:rsidRPr="001935B7">
        <w:rPr>
          <w:rFonts w:ascii="Times New Roman" w:hAnsi="Times New Roman" w:cs="Times New Roman"/>
          <w:i/>
          <w:iCs/>
        </w:rPr>
        <w:t>out-of-sample</w:t>
      </w:r>
      <w:r w:rsidRPr="001935B7">
        <w:rPr>
          <w:rFonts w:ascii="Times New Roman" w:hAnsi="Times New Roman" w:cs="Times New Roman"/>
        </w:rPr>
        <w:t xml:space="preserve"> 2015-03-02 a 2025-12-30). Foram eliminadas as estratégias inexistentes (MinVar_L1, MaxSharpe_L1, BL + LSTM) e qualquer menção a LSTM/ARIMA como </w:t>
      </w:r>
      <w:r w:rsidRPr="001935B7">
        <w:rPr>
          <w:rFonts w:ascii="Times New Roman" w:hAnsi="Times New Roman" w:cs="Times New Roman"/>
          <w:i/>
          <w:iCs/>
        </w:rPr>
        <w:t>inputs</w:t>
      </w:r>
      <w:r w:rsidRPr="001935B7">
        <w:rPr>
          <w:rFonts w:ascii="Times New Roman" w:hAnsi="Times New Roman" w:cs="Times New Roman"/>
        </w:rPr>
        <w:t xml:space="preserve"> implementados. As visões do Black-Litterman são de </w:t>
      </w:r>
      <w:r w:rsidRPr="001935B7">
        <w:rPr>
          <w:rFonts w:ascii="Times New Roman" w:hAnsi="Times New Roman" w:cs="Times New Roman"/>
          <w:b/>
          <w:bCs/>
        </w:rPr>
        <w:t>momentum 12-1</w:t>
      </w:r>
      <w:r w:rsidRPr="001935B7">
        <w:rPr>
          <w:rFonts w:ascii="Times New Roman" w:hAnsi="Times New Roman" w:cs="Times New Roman"/>
        </w:rPr>
        <w:t xml:space="preserve">. Dois pontos exigem atenção: (i) a coluna “Ret. Acum.” da Tabela 8 foi </w:t>
      </w:r>
      <w:r w:rsidRPr="001935B7">
        <w:rPr>
          <w:rFonts w:ascii="Times New Roman" w:hAnsi="Times New Roman" w:cs="Times New Roman"/>
          <w:b/>
          <w:bCs/>
        </w:rPr>
        <w:t>derivada do CAGR</w:t>
      </w:r>
      <w:r w:rsidRPr="001935B7">
        <w:rPr>
          <w:rFonts w:ascii="Times New Roman" w:hAnsi="Times New Roman" w:cs="Times New Roman"/>
        </w:rPr>
        <w:t xml:space="preserve"> (capitalização geométrica sobre 2.690 pregões); substitua-a pelos valores exatos da coluna “Retorno Acumulado (%)” de </w:t>
      </w:r>
      <w:r w:rsidRPr="001935B7">
        <w:rPr>
          <w:rStyle w:val="VerbatimChar"/>
          <w:rFonts w:ascii="Times New Roman" w:hAnsi="Times New Roman" w:cs="Times New Roman"/>
          <w:sz w:val="24"/>
        </w:rPr>
        <w:t>apendice_H_painel_metricas.csv</w:t>
      </w:r>
      <w:r w:rsidRPr="001935B7">
        <w:rPr>
          <w:rFonts w:ascii="Times New Roman" w:hAnsi="Times New Roman" w:cs="Times New Roman"/>
        </w:rPr>
        <w:t xml:space="preserve"> se a convenção de anualização do artefato for diferente; (ii) as Tabelas 5–7 (estatísticas descritivas) devem ter o N corrigido para 118. Por fim, </w:t>
      </w:r>
      <w:r w:rsidRPr="001935B7">
        <w:rPr>
          <w:rFonts w:ascii="Times New Roman" w:hAnsi="Times New Roman" w:cs="Times New Roman"/>
          <w:b/>
          <w:bCs/>
        </w:rPr>
        <w:t>a conclusão (Capítulo 5) precisa ser realinhada</w:t>
      </w:r>
      <w:r w:rsidRPr="001935B7">
        <w:rPr>
          <w:rFonts w:ascii="Times New Roman" w:hAnsi="Times New Roman" w:cs="Times New Roman"/>
        </w:rPr>
        <w:t>, pois os dados reais invertem a tese de “paradoxo da complexidade” da versão anterior — aqui o Black-Litterman com momentum é o melhor desempenho ajustado ao risco, não o pior.</w:t>
      </w:r>
    </w:p>
    <w:p w14:paraId="0CBCF017" w14:textId="15E3851C" w:rsidR="00F1611A" w:rsidRPr="001935B7" w:rsidRDefault="00F1611A" w:rsidP="001935B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5357A1" w14:textId="77777777" w:rsidR="00F1611A" w:rsidRPr="001935B7" w:rsidRDefault="00000000" w:rsidP="001935B7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resultados-e-discussão"/>
      <w:bookmarkEnd w:id="0"/>
      <w:r w:rsidRPr="001935B7">
        <w:rPr>
          <w:rFonts w:ascii="Times New Roman" w:hAnsi="Times New Roman" w:cs="Times New Roman"/>
          <w:sz w:val="24"/>
          <w:szCs w:val="24"/>
        </w:rPr>
        <w:t>4. RESULTADOS E DISCUSSÃO</w:t>
      </w:r>
    </w:p>
    <w:p w14:paraId="63559AF2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caracterização-da-amostra-out-of-sample"/>
      <w:r w:rsidRPr="001935B7">
        <w:rPr>
          <w:rFonts w:ascii="Times New Roman" w:hAnsi="Times New Roman" w:cs="Times New Roman"/>
          <w:sz w:val="24"/>
          <w:szCs w:val="24"/>
        </w:rPr>
        <w:t>4.1. Caracterização da Amostra Out-of-Sample</w:t>
      </w:r>
    </w:p>
    <w:p w14:paraId="66261F7C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avaliação empírica das estratégias foi conduzida sobre o universo investível final de </w:t>
      </w:r>
      <w:r w:rsidRPr="001935B7">
        <w:rPr>
          <w:rFonts w:ascii="Times New Roman" w:hAnsi="Times New Roman" w:cs="Times New Roman"/>
          <w:b/>
          <w:bCs/>
        </w:rPr>
        <w:t>118 ativos</w:t>
      </w:r>
      <w:r w:rsidRPr="001935B7">
        <w:rPr>
          <w:rFonts w:ascii="Times New Roman" w:hAnsi="Times New Roman" w:cs="Times New Roman"/>
        </w:rPr>
        <w:t xml:space="preserve"> da B3, selecionados pelos critérios de liquidez e presença descritos no Capítulo 3 e detalhados no Apêndice A. A janela </w:t>
      </w:r>
      <w:r w:rsidRPr="001935B7">
        <w:rPr>
          <w:rFonts w:ascii="Times New Roman" w:hAnsi="Times New Roman" w:cs="Times New Roman"/>
          <w:i/>
          <w:iCs/>
        </w:rPr>
        <w:t>out-of-sample</w:t>
      </w:r>
      <w:r w:rsidRPr="001935B7">
        <w:rPr>
          <w:rFonts w:ascii="Times New Roman" w:hAnsi="Times New Roman" w:cs="Times New Roman"/>
        </w:rPr>
        <w:t xml:space="preserve"> (OOS) compreende </w:t>
      </w:r>
      <w:r w:rsidRPr="001935B7">
        <w:rPr>
          <w:rFonts w:ascii="Times New Roman" w:hAnsi="Times New Roman" w:cs="Times New Roman"/>
          <w:b/>
          <w:bCs/>
        </w:rPr>
        <w:t>2.690 pregões</w:t>
      </w:r>
      <w:r w:rsidRPr="001935B7">
        <w:rPr>
          <w:rFonts w:ascii="Times New Roman" w:hAnsi="Times New Roman" w:cs="Times New Roman"/>
        </w:rPr>
        <w:t>, entre 2 de março de 2015 e 30 de dezembro de 2025 — aproximadamente 10,8 anos —, resultante do período de formação mínima de 60 meses (</w:t>
      </w:r>
      <w:r w:rsidRPr="001935B7">
        <w:rPr>
          <w:rFonts w:ascii="Times New Roman" w:hAnsi="Times New Roman" w:cs="Times New Roman"/>
          <w:i/>
          <w:iCs/>
        </w:rPr>
        <w:t>warm-up</w:t>
      </w:r>
      <w:r w:rsidRPr="001935B7">
        <w:rPr>
          <w:rFonts w:ascii="Times New Roman" w:hAnsi="Times New Roman" w:cs="Times New Roman"/>
        </w:rPr>
        <w:t xml:space="preserve">) aplicado a partir do início do painel de dados (4 de janeiro de 2010). Todas as estratégias foram submetidas a </w:t>
      </w:r>
      <w:r w:rsidRPr="001935B7">
        <w:rPr>
          <w:rFonts w:ascii="Times New Roman" w:hAnsi="Times New Roman" w:cs="Times New Roman"/>
          <w:b/>
          <w:bCs/>
        </w:rPr>
        <w:t>rebalanceamento mensal</w:t>
      </w:r>
      <w:r w:rsidRPr="001935B7">
        <w:rPr>
          <w:rFonts w:ascii="Times New Roman" w:hAnsi="Times New Roman" w:cs="Times New Roman"/>
        </w:rPr>
        <w:t xml:space="preserve">, totalizando cerca de 130 pontos de realocação por estratégia, com custo transacional de 50 </w:t>
      </w:r>
      <w:r w:rsidRPr="001935B7">
        <w:rPr>
          <w:rFonts w:ascii="Times New Roman" w:hAnsi="Times New Roman" w:cs="Times New Roman"/>
          <w:i/>
          <w:iCs/>
        </w:rPr>
        <w:t>basis points</w:t>
      </w:r>
      <w:r w:rsidRPr="001935B7">
        <w:rPr>
          <w:rFonts w:ascii="Times New Roman" w:hAnsi="Times New Roman" w:cs="Times New Roman"/>
        </w:rPr>
        <w:t xml:space="preserve"> (0,5%) incidente sobre o giro de cada rebalanceamento. As estatísticas descritivas dos log-retornos diários e os diagnósticos econométricos da amostra constam nas Tabelas 5 a 7.</w:t>
      </w:r>
    </w:p>
    <w:p w14:paraId="5F92D5A0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lastRenderedPageBreak/>
        <w:t>As 16 estratégias avaliadas distribuem-se em três famílias metodológicas, conforme formalizado no Capítulo 3:</w:t>
      </w:r>
      <w:bookmarkStart w:id="3" w:name="_Hlk231486939"/>
    </w:p>
    <w:p w14:paraId="1F1A4573" w14:textId="77777777" w:rsidR="00F1611A" w:rsidRPr="001935B7" w:rsidRDefault="00000000" w:rsidP="001935B7">
      <w:pPr>
        <w:pStyle w:val="Compact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Família MPT (Teoria Moderna do Portfólio) — 6 estratégias:</w:t>
      </w:r>
      <w:r w:rsidRPr="001935B7">
        <w:rPr>
          <w:rFonts w:ascii="Times New Roman" w:hAnsi="Times New Roman" w:cs="Times New Roman"/>
        </w:rPr>
        <w:t xml:space="preserve"> </w:t>
      </w:r>
      <w:r w:rsidRPr="001935B7">
        <w:rPr>
          <w:rStyle w:val="VerbatimChar"/>
          <w:rFonts w:ascii="Times New Roman" w:hAnsi="Times New Roman" w:cs="Times New Roman"/>
          <w:sz w:val="24"/>
        </w:rPr>
        <w:t>EqualWeight</w:t>
      </w:r>
      <w:r w:rsidRPr="001935B7">
        <w:rPr>
          <w:rFonts w:ascii="Times New Roman" w:hAnsi="Times New Roman" w:cs="Times New Roman"/>
        </w:rPr>
        <w:t xml:space="preserve"> (carteira igualmente ponderada, 1/N, com rebalanceamento mensal), </w:t>
      </w:r>
      <w:r w:rsidRPr="001935B7">
        <w:rPr>
          <w:rStyle w:val="VerbatimChar"/>
          <w:rFonts w:ascii="Times New Roman" w:hAnsi="Times New Roman" w:cs="Times New Roman"/>
          <w:sz w:val="24"/>
        </w:rPr>
        <w:t>InvVol</w:t>
      </w:r>
      <w:r w:rsidRPr="001935B7">
        <w:rPr>
          <w:rFonts w:ascii="Times New Roman" w:hAnsi="Times New Roman" w:cs="Times New Roman"/>
        </w:rPr>
        <w:t xml:space="preserve"> (ponderação inversa à volatilidade), </w:t>
      </w:r>
      <w:r w:rsidRPr="001935B7">
        <w:rPr>
          <w:rStyle w:val="VerbatimChar"/>
          <w:rFonts w:ascii="Times New Roman" w:hAnsi="Times New Roman" w:cs="Times New Roman"/>
          <w:sz w:val="24"/>
        </w:rPr>
        <w:t>MinVar</w:t>
      </w:r>
      <w:r w:rsidRPr="001935B7">
        <w:rPr>
          <w:rFonts w:ascii="Times New Roman" w:hAnsi="Times New Roman" w:cs="Times New Roman"/>
        </w:rPr>
        <w:t xml:space="preserve"> (mínima variância global), </w:t>
      </w:r>
      <w:r w:rsidRPr="001935B7">
        <w:rPr>
          <w:rStyle w:val="VerbatimChar"/>
          <w:rFonts w:ascii="Times New Roman" w:hAnsi="Times New Roman" w:cs="Times New Roman"/>
          <w:sz w:val="24"/>
        </w:rPr>
        <w:t>MinVar_c10</w:t>
      </w:r>
      <w:r w:rsidRPr="001935B7">
        <w:rPr>
          <w:rFonts w:ascii="Times New Roman" w:hAnsi="Times New Roman" w:cs="Times New Roman"/>
        </w:rPr>
        <w:t xml:space="preserve"> (mínima variância com teto de 10% por ativo), </w:t>
      </w:r>
      <w:r w:rsidRPr="001935B7">
        <w:rPr>
          <w:rStyle w:val="VerbatimChar"/>
          <w:rFonts w:ascii="Times New Roman" w:hAnsi="Times New Roman" w:cs="Times New Roman"/>
          <w:sz w:val="24"/>
        </w:rPr>
        <w:t>MaxSharpe</w:t>
      </w:r>
      <w:r w:rsidRPr="001935B7">
        <w:rPr>
          <w:rFonts w:ascii="Times New Roman" w:hAnsi="Times New Roman" w:cs="Times New Roman"/>
        </w:rPr>
        <w:t xml:space="preserve"> (máxima utilidade média-variância) e </w:t>
      </w:r>
      <w:r w:rsidRPr="001935B7">
        <w:rPr>
          <w:rStyle w:val="VerbatimChar"/>
          <w:rFonts w:ascii="Times New Roman" w:hAnsi="Times New Roman" w:cs="Times New Roman"/>
          <w:sz w:val="24"/>
        </w:rPr>
        <w:t>MaxSharpe_c10</w:t>
      </w:r>
      <w:r w:rsidRPr="001935B7">
        <w:rPr>
          <w:rFonts w:ascii="Times New Roman" w:hAnsi="Times New Roman" w:cs="Times New Roman"/>
        </w:rPr>
        <w:t xml:space="preserve"> (com teto de 10%).</w:t>
      </w:r>
    </w:p>
    <w:p w14:paraId="4DE71CF3" w14:textId="77777777" w:rsidR="00F1611A" w:rsidRPr="001935B7" w:rsidRDefault="00000000" w:rsidP="001935B7">
      <w:pPr>
        <w:pStyle w:val="Compact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Família PMPT (Teoria Pós-Moderna do Portfólio) — 5 estratégias:</w:t>
      </w:r>
      <w:r w:rsidRPr="001935B7">
        <w:rPr>
          <w:rFonts w:ascii="Times New Roman" w:hAnsi="Times New Roman" w:cs="Times New Roman"/>
        </w:rPr>
        <w:t xml:space="preserve"> </w:t>
      </w:r>
      <w:r w:rsidRPr="001935B7">
        <w:rPr>
          <w:rStyle w:val="VerbatimChar"/>
          <w:rFonts w:ascii="Times New Roman" w:hAnsi="Times New Roman" w:cs="Times New Roman"/>
          <w:sz w:val="24"/>
        </w:rPr>
        <w:t>MaxOmega</w:t>
      </w:r>
      <w:r w:rsidRPr="001935B7">
        <w:rPr>
          <w:rFonts w:ascii="Times New Roman" w:hAnsi="Times New Roman" w:cs="Times New Roman"/>
        </w:rPr>
        <w:t xml:space="preserve">, </w:t>
      </w:r>
      <w:r w:rsidRPr="001935B7">
        <w:rPr>
          <w:rStyle w:val="VerbatimChar"/>
          <w:rFonts w:ascii="Times New Roman" w:hAnsi="Times New Roman" w:cs="Times New Roman"/>
          <w:sz w:val="24"/>
        </w:rPr>
        <w:t>MaxSortino</w:t>
      </w:r>
      <w:r w:rsidRPr="001935B7">
        <w:rPr>
          <w:rFonts w:ascii="Times New Roman" w:hAnsi="Times New Roman" w:cs="Times New Roman"/>
        </w:rPr>
        <w:t xml:space="preserve">, </w:t>
      </w:r>
      <w:r w:rsidRPr="001935B7">
        <w:rPr>
          <w:rStyle w:val="VerbatimChar"/>
          <w:rFonts w:ascii="Times New Roman" w:hAnsi="Times New Roman" w:cs="Times New Roman"/>
          <w:sz w:val="24"/>
        </w:rPr>
        <w:t>MaxKappa3</w:t>
      </w:r>
      <w:r w:rsidRPr="001935B7">
        <w:rPr>
          <w:rFonts w:ascii="Times New Roman" w:hAnsi="Times New Roman" w:cs="Times New Roman"/>
        </w:rPr>
        <w:t xml:space="preserve">, </w:t>
      </w:r>
      <w:r w:rsidRPr="001935B7">
        <w:rPr>
          <w:rStyle w:val="VerbatimChar"/>
          <w:rFonts w:ascii="Times New Roman" w:hAnsi="Times New Roman" w:cs="Times New Roman"/>
          <w:sz w:val="24"/>
        </w:rPr>
        <w:t>MinCVaR</w:t>
      </w:r>
      <w:r w:rsidRPr="001935B7">
        <w:rPr>
          <w:rFonts w:ascii="Times New Roman" w:hAnsi="Times New Roman" w:cs="Times New Roman"/>
        </w:rPr>
        <w:t xml:space="preserve"> (mínimo </w:t>
      </w:r>
      <w:r w:rsidRPr="001935B7">
        <w:rPr>
          <w:rFonts w:ascii="Times New Roman" w:hAnsi="Times New Roman" w:cs="Times New Roman"/>
          <w:i/>
          <w:iCs/>
        </w:rPr>
        <w:t>Conditional Value at Risk</w:t>
      </w:r>
      <w:r w:rsidRPr="001935B7">
        <w:rPr>
          <w:rFonts w:ascii="Times New Roman" w:hAnsi="Times New Roman" w:cs="Times New Roman"/>
        </w:rPr>
        <w:t xml:space="preserve">) e 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 (mínimo </w:t>
      </w:r>
      <w:r w:rsidRPr="001935B7">
        <w:rPr>
          <w:rFonts w:ascii="Times New Roman" w:hAnsi="Times New Roman" w:cs="Times New Roman"/>
          <w:i/>
          <w:iCs/>
        </w:rPr>
        <w:t>Conditional Drawdown at Risk</w:t>
      </w:r>
      <w:r w:rsidRPr="001935B7">
        <w:rPr>
          <w:rFonts w:ascii="Times New Roman" w:hAnsi="Times New Roman" w:cs="Times New Roman"/>
        </w:rPr>
        <w:t>).</w:t>
      </w:r>
    </w:p>
    <w:p w14:paraId="364E7DC1" w14:textId="77777777" w:rsidR="00F1611A" w:rsidRPr="001935B7" w:rsidRDefault="00000000" w:rsidP="001935B7">
      <w:pPr>
        <w:pStyle w:val="Compact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Família Black-Litterman — 4 estratégias:</w:t>
      </w:r>
      <w:r w:rsidRPr="001935B7">
        <w:rPr>
          <w:rFonts w:ascii="Times New Roman" w:hAnsi="Times New Roman" w:cs="Times New Roman"/>
        </w:rPr>
        <w:t xml:space="preserve"> </w:t>
      </w:r>
      <w:r w:rsidRPr="001935B7">
        <w:rPr>
          <w:rStyle w:val="VerbatimChar"/>
          <w:rFonts w:ascii="Times New Roman" w:hAnsi="Times New Roman" w:cs="Times New Roman"/>
          <w:sz w:val="24"/>
        </w:rPr>
        <w:t>BL_classico</w:t>
      </w:r>
      <w:r w:rsidRPr="001935B7">
        <w:rPr>
          <w:rFonts w:ascii="Times New Roman" w:hAnsi="Times New Roman" w:cs="Times New Roman"/>
        </w:rPr>
        <w:t xml:space="preserve">, </w:t>
      </w:r>
      <w:r w:rsidRPr="001935B7">
        <w:rPr>
          <w:rStyle w:val="VerbatimChar"/>
          <w:rFonts w:ascii="Times New Roman" w:hAnsi="Times New Roman" w:cs="Times New Roman"/>
          <w:sz w:val="24"/>
        </w:rPr>
        <w:t>BL_classico_c10</w:t>
      </w:r>
      <w:r w:rsidRPr="001935B7">
        <w:rPr>
          <w:rFonts w:ascii="Times New Roman" w:hAnsi="Times New Roman" w:cs="Times New Roman"/>
        </w:rPr>
        <w:t xml:space="preserve">, </w:t>
      </w:r>
      <w:r w:rsidRPr="001935B7">
        <w:rPr>
          <w:rStyle w:val="VerbatimChar"/>
          <w:rFonts w:ascii="Times New Roman" w:hAnsi="Times New Roman" w:cs="Times New Roman"/>
          <w:sz w:val="24"/>
        </w:rPr>
        <w:t>BL_downside</w:t>
      </w:r>
      <w:r w:rsidRPr="001935B7">
        <w:rPr>
          <w:rFonts w:ascii="Times New Roman" w:hAnsi="Times New Roman" w:cs="Times New Roman"/>
        </w:rPr>
        <w:t xml:space="preserve"> e </w:t>
      </w:r>
      <w:r w:rsidRPr="001935B7">
        <w:rPr>
          <w:rStyle w:val="VerbatimChar"/>
          <w:rFonts w:ascii="Times New Roman" w:hAnsi="Times New Roman" w:cs="Times New Roman"/>
          <w:sz w:val="24"/>
        </w:rPr>
        <w:t>BL_downside_c10</w:t>
      </w:r>
      <w:r w:rsidRPr="001935B7">
        <w:rPr>
          <w:rFonts w:ascii="Times New Roman" w:hAnsi="Times New Roman" w:cs="Times New Roman"/>
        </w:rPr>
        <w:t xml:space="preserve">, todas com visões geradas pelo fator de </w:t>
      </w:r>
      <w:r w:rsidRPr="001935B7">
        <w:rPr>
          <w:rFonts w:ascii="Times New Roman" w:hAnsi="Times New Roman" w:cs="Times New Roman"/>
          <w:b/>
          <w:bCs/>
        </w:rPr>
        <w:t>momentum 12-1</w:t>
      </w:r>
      <w:r w:rsidRPr="001935B7">
        <w:rPr>
          <w:rFonts w:ascii="Times New Roman" w:hAnsi="Times New Roman" w:cs="Times New Roman"/>
        </w:rPr>
        <w:t>.</w:t>
      </w:r>
    </w:p>
    <w:p w14:paraId="7C3B2908" w14:textId="77777777" w:rsidR="00F1611A" w:rsidRPr="001935B7" w:rsidRDefault="00000000" w:rsidP="001935B7">
      <w:pPr>
        <w:pStyle w:val="FirstParagraph"/>
        <w:spacing w:before="0" w:after="0" w:line="360" w:lineRule="auto"/>
        <w:ind w:firstLine="851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Como referências, utilizam-se o </w:t>
      </w:r>
      <w:r w:rsidRPr="001935B7">
        <w:rPr>
          <w:rFonts w:ascii="Times New Roman" w:hAnsi="Times New Roman" w:cs="Times New Roman"/>
          <w:b/>
          <w:bCs/>
        </w:rPr>
        <w:t>IBOVESPA</w:t>
      </w:r>
      <w:r w:rsidRPr="001935B7">
        <w:rPr>
          <w:rFonts w:ascii="Times New Roman" w:hAnsi="Times New Roman" w:cs="Times New Roman"/>
        </w:rPr>
        <w:t xml:space="preserve"> (índice passivo ponderado por capitalização) e o </w:t>
      </w:r>
      <w:r w:rsidRPr="001935B7">
        <w:rPr>
          <w:rFonts w:ascii="Times New Roman" w:hAnsi="Times New Roman" w:cs="Times New Roman"/>
          <w:b/>
          <w:bCs/>
        </w:rPr>
        <w:t>CDI</w:t>
      </w:r>
      <w:r w:rsidRPr="001935B7">
        <w:rPr>
          <w:rFonts w:ascii="Times New Roman" w:hAnsi="Times New Roman" w:cs="Times New Roman"/>
        </w:rPr>
        <w:t xml:space="preserve"> (proxy da taxa livre de risco, empregada no cálculo dos excessos de retorno). Inclui-se ainda a estratégia </w:t>
      </w:r>
      <w:r w:rsidRPr="001935B7">
        <w:rPr>
          <w:rStyle w:val="VerbatimChar"/>
          <w:rFonts w:ascii="Times New Roman" w:hAnsi="Times New Roman" w:cs="Times New Roman"/>
          <w:sz w:val="24"/>
        </w:rPr>
        <w:t>EqualWeight_BuyHold</w:t>
      </w:r>
      <w:r w:rsidRPr="001935B7">
        <w:rPr>
          <w:rFonts w:ascii="Times New Roman" w:hAnsi="Times New Roman" w:cs="Times New Roman"/>
        </w:rPr>
        <w:t xml:space="preserve"> — carteira 1/N constituída uma única vez e mantida sem rebalanceamento — como contraponto à carteira 1/N rebalanceada, permitindo isolar o efeito do custo de rebalanceamento.</w:t>
      </w:r>
    </w:p>
    <w:p w14:paraId="04A20288" w14:textId="77777777" w:rsidR="00F1611A" w:rsidRPr="001935B7" w:rsidRDefault="00000000" w:rsidP="001935B7">
      <w:pPr>
        <w:pStyle w:val="Corpodetexto"/>
        <w:spacing w:before="0" w:after="0" w:line="360" w:lineRule="auto"/>
        <w:ind w:firstLine="851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Observação metodológica relevante: a estratégia </w:t>
      </w:r>
      <w:r w:rsidRPr="001935B7">
        <w:rPr>
          <w:rStyle w:val="VerbatimChar"/>
          <w:rFonts w:ascii="Times New Roman" w:hAnsi="Times New Roman" w:cs="Times New Roman"/>
          <w:sz w:val="24"/>
        </w:rPr>
        <w:t>MaxSharpe</w:t>
      </w:r>
      <w:r w:rsidRPr="001935B7">
        <w:rPr>
          <w:rFonts w:ascii="Times New Roman" w:hAnsi="Times New Roman" w:cs="Times New Roman"/>
        </w:rPr>
        <w:t xml:space="preserve"> é implementada como </w:t>
      </w:r>
      <w:r w:rsidRPr="001935B7">
        <w:rPr>
          <w:rFonts w:ascii="Times New Roman" w:hAnsi="Times New Roman" w:cs="Times New Roman"/>
          <w:b/>
          <w:bCs/>
        </w:rPr>
        <w:t>maximização de utilidade média-variância</w:t>
      </w:r>
      <w:r w:rsidRPr="001935B7">
        <w:rPr>
          <w:rFonts w:ascii="Times New Roman" w:hAnsi="Times New Roman" w:cs="Times New Roman"/>
        </w:rPr>
        <w:t xml:space="preserve"> com coeficiente de aversão ao risco λ = 2,5, e não como maximização direta e não-convexa do índice de Sharpe </w:t>
      </w:r>
      <w:r w:rsidRPr="001935B7">
        <w:rPr>
          <w:rFonts w:ascii="Times New Roman" w:hAnsi="Times New Roman" w:cs="Times New Roman"/>
          <w:i/>
          <w:iCs/>
        </w:rPr>
        <w:t>ex-post</w:t>
      </w:r>
      <w:r w:rsidRPr="001935B7">
        <w:rPr>
          <w:rFonts w:ascii="Times New Roman" w:hAnsi="Times New Roman" w:cs="Times New Roman"/>
        </w:rPr>
        <w:t>. O resultado, portanto, é o portfólio de máxima utilidade no plano média-variância, e não necessariamente o de maior Sharpe realizado no período.</w:t>
      </w:r>
    </w:p>
    <w:p w14:paraId="5647E12A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desempenho-por-família-de-estratégias"/>
      <w:bookmarkEnd w:id="2"/>
      <w:bookmarkEnd w:id="3"/>
      <w:r w:rsidRPr="001935B7">
        <w:rPr>
          <w:rFonts w:ascii="Times New Roman" w:hAnsi="Times New Roman" w:cs="Times New Roman"/>
          <w:sz w:val="24"/>
          <w:szCs w:val="24"/>
        </w:rPr>
        <w:t>4.2. Desempenho por Família de Estratégias</w:t>
      </w:r>
    </w:p>
    <w:p w14:paraId="1E95E638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>Esta seção analisa o desempenho de cada família a partir das métricas anualizadas do período OOS. Todos os indicadores de retorno são líquidos do custo transacional de 50 bps. Os valores completos encontram-se consolidados na Tabela 8 (Seção 4.3).</w:t>
      </w:r>
    </w:p>
    <w:p w14:paraId="77ADC3A3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5" w:name="família-mpt"/>
      <w:r w:rsidRPr="001935B7">
        <w:rPr>
          <w:rFonts w:ascii="Times New Roman" w:hAnsi="Times New Roman" w:cs="Times New Roman"/>
        </w:rPr>
        <w:t>4.2.1. Família MPT</w:t>
      </w:r>
    </w:p>
    <w:p w14:paraId="6037477D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Dentro da Teoria Moderna do Portfólio observa-se forte dispersão de resultados. As carteiras de </w:t>
      </w:r>
      <w:r w:rsidRPr="001935B7">
        <w:rPr>
          <w:rFonts w:ascii="Times New Roman" w:hAnsi="Times New Roman" w:cs="Times New Roman"/>
          <w:b/>
          <w:bCs/>
        </w:rPr>
        <w:t>mínima variância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MinVar</w:t>
      </w:r>
      <w:r w:rsidRPr="001935B7">
        <w:rPr>
          <w:rFonts w:ascii="Times New Roman" w:hAnsi="Times New Roman" w:cs="Times New Roman"/>
        </w:rPr>
        <w:t xml:space="preserve"> e </w:t>
      </w:r>
      <w:r w:rsidRPr="001935B7">
        <w:rPr>
          <w:rStyle w:val="VerbatimChar"/>
          <w:rFonts w:ascii="Times New Roman" w:hAnsi="Times New Roman" w:cs="Times New Roman"/>
          <w:sz w:val="24"/>
        </w:rPr>
        <w:t>MinVar_c10</w:t>
      </w:r>
      <w:r w:rsidRPr="001935B7">
        <w:rPr>
          <w:rFonts w:ascii="Times New Roman" w:hAnsi="Times New Roman" w:cs="Times New Roman"/>
        </w:rPr>
        <w:t xml:space="preserve">) destacam-se pela estabilidade: registram a </w:t>
      </w:r>
      <w:r w:rsidRPr="001935B7">
        <w:rPr>
          <w:rFonts w:ascii="Times New Roman" w:hAnsi="Times New Roman" w:cs="Times New Roman"/>
          <w:b/>
          <w:bCs/>
        </w:rPr>
        <w:t>menor volatilidade de todo o painel</w:t>
      </w:r>
      <w:r w:rsidRPr="001935B7">
        <w:rPr>
          <w:rFonts w:ascii="Times New Roman" w:hAnsi="Times New Roman" w:cs="Times New Roman"/>
        </w:rPr>
        <w:t xml:space="preserve"> (12,96% e 12,99% a.a., respectivamente) e os menores </w:t>
      </w:r>
      <w:r w:rsidRPr="001935B7">
        <w:rPr>
          <w:rFonts w:ascii="Times New Roman" w:hAnsi="Times New Roman" w:cs="Times New Roman"/>
          <w:i/>
          <w:iCs/>
        </w:rPr>
        <w:lastRenderedPageBreak/>
        <w:t>drawdowns</w:t>
      </w:r>
      <w:r w:rsidRPr="001935B7">
        <w:rPr>
          <w:rFonts w:ascii="Times New Roman" w:hAnsi="Times New Roman" w:cs="Times New Roman"/>
        </w:rPr>
        <w:t xml:space="preserve"> da família (−25,62% e −25,63%), com CAGR de aproximadamente 11,9% a.a. e índice de Sharpe de 0,217–0,219. O resultado corrobora empiricamente, no mercado brasileiro, o argumento de DeMiguel, Garlappi e Uppal (2009): ao eliminar a dependência do vetor de retornos esperados — o </w:t>
      </w:r>
      <w:r w:rsidRPr="001935B7">
        <w:rPr>
          <w:rFonts w:ascii="Times New Roman" w:hAnsi="Times New Roman" w:cs="Times New Roman"/>
          <w:i/>
          <w:iCs/>
        </w:rPr>
        <w:t>input</w:t>
      </w:r>
      <w:r w:rsidRPr="001935B7">
        <w:rPr>
          <w:rFonts w:ascii="Times New Roman" w:hAnsi="Times New Roman" w:cs="Times New Roman"/>
        </w:rPr>
        <w:t xml:space="preserve"> mais ruidoso e instável do processo de otimização —, a mínima variância evita a propagação de erro de estimação para a alocação, produzindo carteiras mais estáveis. A imposição do teto de 10% (</w:t>
      </w:r>
      <w:r w:rsidRPr="001935B7">
        <w:rPr>
          <w:rStyle w:val="VerbatimChar"/>
          <w:rFonts w:ascii="Times New Roman" w:hAnsi="Times New Roman" w:cs="Times New Roman"/>
          <w:sz w:val="24"/>
        </w:rPr>
        <w:t>MinVar_c10</w:t>
      </w:r>
      <w:r w:rsidRPr="001935B7">
        <w:rPr>
          <w:rFonts w:ascii="Times New Roman" w:hAnsi="Times New Roman" w:cs="Times New Roman"/>
        </w:rPr>
        <w:t>) praticamente não altera o perfil, indicando que a solução de mínima variância já era naturalmente diversificada.</w:t>
      </w:r>
    </w:p>
    <w:p w14:paraId="43BE693E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As carteiras de </w:t>
      </w:r>
      <w:r w:rsidRPr="001935B7">
        <w:rPr>
          <w:rFonts w:ascii="Times New Roman" w:hAnsi="Times New Roman" w:cs="Times New Roman"/>
          <w:b/>
          <w:bCs/>
        </w:rPr>
        <w:t>máxima utilidade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MaxSharpe</w:t>
      </w:r>
      <w:r w:rsidRPr="001935B7">
        <w:rPr>
          <w:rFonts w:ascii="Times New Roman" w:hAnsi="Times New Roman" w:cs="Times New Roman"/>
        </w:rPr>
        <w:t xml:space="preserve"> e </w:t>
      </w:r>
      <w:r w:rsidRPr="001935B7">
        <w:rPr>
          <w:rStyle w:val="VerbatimChar"/>
          <w:rFonts w:ascii="Times New Roman" w:hAnsi="Times New Roman" w:cs="Times New Roman"/>
          <w:sz w:val="24"/>
        </w:rPr>
        <w:t>MaxSharpe_c10</w:t>
      </w:r>
      <w:r w:rsidRPr="001935B7">
        <w:rPr>
          <w:rFonts w:ascii="Times New Roman" w:hAnsi="Times New Roman" w:cs="Times New Roman"/>
        </w:rPr>
        <w:t xml:space="preserve">) entregaram o melhor desempenho ajustado ao risco da família MPT: </w:t>
      </w:r>
      <w:r w:rsidRPr="001935B7">
        <w:rPr>
          <w:rStyle w:val="VerbatimChar"/>
          <w:rFonts w:ascii="Times New Roman" w:hAnsi="Times New Roman" w:cs="Times New Roman"/>
          <w:sz w:val="24"/>
        </w:rPr>
        <w:t>MaxSharpe</w:t>
      </w:r>
      <w:r w:rsidRPr="001935B7">
        <w:rPr>
          <w:rFonts w:ascii="Times New Roman" w:hAnsi="Times New Roman" w:cs="Times New Roman"/>
        </w:rPr>
        <w:t xml:space="preserve"> apresentou Sharpe de 0,287 e CAGR de 13,60% a.a., com o segundo menor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do painel (−22,76%). A versão com teto (</w:t>
      </w:r>
      <w:r w:rsidRPr="001935B7">
        <w:rPr>
          <w:rStyle w:val="VerbatimChar"/>
          <w:rFonts w:ascii="Times New Roman" w:hAnsi="Times New Roman" w:cs="Times New Roman"/>
          <w:sz w:val="24"/>
        </w:rPr>
        <w:t>MaxSharpe_c10</w:t>
      </w:r>
      <w:r w:rsidRPr="001935B7">
        <w:rPr>
          <w:rFonts w:ascii="Times New Roman" w:hAnsi="Times New Roman" w:cs="Times New Roman"/>
        </w:rPr>
        <w:t>) reduziu ligeiramente o retorno (CAGR 12,66%) e o Sharpe (0,243), em troca de menor volatilidade.</w:t>
      </w:r>
    </w:p>
    <w:p w14:paraId="7AD83966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Os dois resultados mais fracos da família advêm das ponderações ingênuas. A </w:t>
      </w:r>
      <w:r w:rsidRPr="001935B7">
        <w:rPr>
          <w:rFonts w:ascii="Times New Roman" w:hAnsi="Times New Roman" w:cs="Times New Roman"/>
          <w:b/>
          <w:bCs/>
        </w:rPr>
        <w:t>carteira de paridade de volatilidade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InvVol</w:t>
      </w:r>
      <w:r w:rsidRPr="001935B7">
        <w:rPr>
          <w:rFonts w:ascii="Times New Roman" w:hAnsi="Times New Roman" w:cs="Times New Roman"/>
        </w:rPr>
        <w:t xml:space="preserve">) obteve Sharpe de apenas 0,070, ficando aquém do próprio IBOVESPA. E a </w:t>
      </w:r>
      <w:r w:rsidRPr="001935B7">
        <w:rPr>
          <w:rFonts w:ascii="Times New Roman" w:hAnsi="Times New Roman" w:cs="Times New Roman"/>
          <w:b/>
          <w:bCs/>
        </w:rPr>
        <w:t>carteira 1/N rebalanceada mensalmente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EqualWeight</w:t>
      </w:r>
      <w:r w:rsidRPr="001935B7">
        <w:rPr>
          <w:rFonts w:ascii="Times New Roman" w:hAnsi="Times New Roman" w:cs="Times New Roman"/>
        </w:rPr>
        <w:t xml:space="preserve">) registrou Sharpe </w:t>
      </w:r>
      <w:r w:rsidRPr="001935B7">
        <w:rPr>
          <w:rFonts w:ascii="Times New Roman" w:hAnsi="Times New Roman" w:cs="Times New Roman"/>
          <w:b/>
          <w:bCs/>
        </w:rPr>
        <w:t>negativo</w:t>
      </w:r>
      <w:r w:rsidRPr="001935B7">
        <w:rPr>
          <w:rFonts w:ascii="Times New Roman" w:hAnsi="Times New Roman" w:cs="Times New Roman"/>
        </w:rPr>
        <w:t xml:space="preserve"> (−0,075) e CAGR de 5,97% a.a. — desempenho que contrasta de forma marcante com sua versão </w:t>
      </w:r>
      <w:r w:rsidRPr="001935B7">
        <w:rPr>
          <w:rFonts w:ascii="Times New Roman" w:hAnsi="Times New Roman" w:cs="Times New Roman"/>
          <w:i/>
          <w:iCs/>
        </w:rPr>
        <w:t>buy-and-hold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EqualWeight_BuyHold</w:t>
      </w:r>
      <w:r w:rsidRPr="001935B7">
        <w:rPr>
          <w:rFonts w:ascii="Times New Roman" w:hAnsi="Times New Roman" w:cs="Times New Roman"/>
        </w:rPr>
        <w:t xml:space="preserve">: Sharpe 0,372, CAGR 15,71% a.a.). Como a única diferença entre as duas é o rebalanceamento mensal e o custo de 50 bps associado, a comparação documenta empiricamente o </w:t>
      </w:r>
      <w:r w:rsidRPr="001935B7">
        <w:rPr>
          <w:rFonts w:ascii="Times New Roman" w:hAnsi="Times New Roman" w:cs="Times New Roman"/>
          <w:b/>
          <w:bCs/>
        </w:rPr>
        <w:t>custo de fricção da realocação periódica</w:t>
      </w:r>
      <w:r w:rsidRPr="001935B7">
        <w:rPr>
          <w:rFonts w:ascii="Times New Roman" w:hAnsi="Times New Roman" w:cs="Times New Roman"/>
        </w:rPr>
        <w:t>: a diversificação ingênua, quando submetida a rebalanceamento custoso, perde toda a vantagem que possui em regime de compra e manutenção. Esse achado matiza a leitura usual do “paradoxo do 1/N”: no presente experimento, a carteira 1/N só supera o índice passivo quando mantida sem rebalanceamento.</w:t>
      </w:r>
    </w:p>
    <w:p w14:paraId="541F0201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6" w:name="família-pmpt"/>
      <w:bookmarkEnd w:id="5"/>
      <w:r w:rsidRPr="001935B7">
        <w:rPr>
          <w:rFonts w:ascii="Times New Roman" w:hAnsi="Times New Roman" w:cs="Times New Roman"/>
        </w:rPr>
        <w:t>4.2.2. Família PMPT</w:t>
      </w:r>
    </w:p>
    <w:p w14:paraId="449CB542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família pós-moderna, orientada a métricas de risco assimétrico, apresentou desempenho heterogêneo. As estratégias baseadas em risco de </w:t>
      </w:r>
      <w:r w:rsidRPr="001935B7">
        <w:rPr>
          <w:rFonts w:ascii="Times New Roman" w:hAnsi="Times New Roman" w:cs="Times New Roman"/>
          <w:i/>
          <w:iCs/>
        </w:rPr>
        <w:t>downside</w:t>
      </w:r>
      <w:r w:rsidRPr="001935B7">
        <w:rPr>
          <w:rFonts w:ascii="Times New Roman" w:hAnsi="Times New Roman" w:cs="Times New Roman"/>
        </w:rPr>
        <w:t xml:space="preserve"> — </w:t>
      </w:r>
      <w:r w:rsidRPr="001935B7">
        <w:rPr>
          <w:rStyle w:val="VerbatimChar"/>
          <w:rFonts w:ascii="Times New Roman" w:hAnsi="Times New Roman" w:cs="Times New Roman"/>
          <w:sz w:val="24"/>
        </w:rPr>
        <w:t>MaxSortino</w:t>
      </w:r>
      <w:r w:rsidRPr="001935B7">
        <w:rPr>
          <w:rFonts w:ascii="Times New Roman" w:hAnsi="Times New Roman" w:cs="Times New Roman"/>
        </w:rPr>
        <w:t xml:space="preserve"> (Sharpe 0,263; Sortino 0,371) e </w:t>
      </w:r>
      <w:r w:rsidRPr="001935B7">
        <w:rPr>
          <w:rStyle w:val="VerbatimChar"/>
          <w:rFonts w:ascii="Times New Roman" w:hAnsi="Times New Roman" w:cs="Times New Roman"/>
          <w:sz w:val="24"/>
        </w:rPr>
        <w:t>MaxKappa3</w:t>
      </w:r>
      <w:r w:rsidRPr="001935B7">
        <w:rPr>
          <w:rFonts w:ascii="Times New Roman" w:hAnsi="Times New Roman" w:cs="Times New Roman"/>
        </w:rPr>
        <w:t xml:space="preserve"> (Sharpe 0,269; Sortino 0,381) — situaram-se logo abaixo da </w:t>
      </w:r>
      <w:r w:rsidRPr="001935B7">
        <w:rPr>
          <w:rStyle w:val="VerbatimChar"/>
          <w:rFonts w:ascii="Times New Roman" w:hAnsi="Times New Roman" w:cs="Times New Roman"/>
          <w:sz w:val="24"/>
        </w:rPr>
        <w:t>MaxSharpe</w:t>
      </w:r>
      <w:r w:rsidRPr="001935B7">
        <w:rPr>
          <w:rFonts w:ascii="Times New Roman" w:hAnsi="Times New Roman" w:cs="Times New Roman"/>
        </w:rPr>
        <w:t xml:space="preserve"> em desempenho ajustado ao risco, mas exibiram os </w:t>
      </w:r>
      <w:r w:rsidRPr="001935B7">
        <w:rPr>
          <w:rFonts w:ascii="Times New Roman" w:hAnsi="Times New Roman" w:cs="Times New Roman"/>
          <w:b/>
          <w:bCs/>
        </w:rPr>
        <w:t xml:space="preserve">menores </w:t>
      </w:r>
      <w:r w:rsidRPr="001935B7">
        <w:rPr>
          <w:rFonts w:ascii="Times New Roman" w:hAnsi="Times New Roman" w:cs="Times New Roman"/>
          <w:b/>
          <w:bCs/>
          <w:i/>
          <w:iCs/>
        </w:rPr>
        <w:t>drawdowns</w:t>
      </w:r>
      <w:r w:rsidRPr="001935B7">
        <w:rPr>
          <w:rFonts w:ascii="Times New Roman" w:hAnsi="Times New Roman" w:cs="Times New Roman"/>
          <w:b/>
          <w:bCs/>
        </w:rPr>
        <w:t xml:space="preserve"> de todo o painel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MaxKappa3</w:t>
      </w:r>
      <w:r w:rsidRPr="001935B7">
        <w:rPr>
          <w:rFonts w:ascii="Times New Roman" w:hAnsi="Times New Roman" w:cs="Times New Roman"/>
        </w:rPr>
        <w:t xml:space="preserve">: −22,55%; </w:t>
      </w:r>
      <w:r w:rsidRPr="001935B7">
        <w:rPr>
          <w:rStyle w:val="VerbatimChar"/>
          <w:rFonts w:ascii="Times New Roman" w:hAnsi="Times New Roman" w:cs="Times New Roman"/>
          <w:sz w:val="24"/>
        </w:rPr>
        <w:t>MaxSortino</w:t>
      </w:r>
      <w:r w:rsidRPr="001935B7">
        <w:rPr>
          <w:rFonts w:ascii="Times New Roman" w:hAnsi="Times New Roman" w:cs="Times New Roman"/>
        </w:rPr>
        <w:t>: −23,26%). Esse é o principal mérito empírico da abordagem PMPT no período: os objetivos focados na penalização de perdas entregaram o melhor controle de risco de cauda, ainda que sem maximizar o Sharpe.</w:t>
      </w:r>
    </w:p>
    <w:p w14:paraId="4AE27719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lastRenderedPageBreak/>
        <w:t xml:space="preserve">A estratégia de </w:t>
      </w:r>
      <w:r w:rsidRPr="001935B7">
        <w:rPr>
          <w:rFonts w:ascii="Times New Roman" w:hAnsi="Times New Roman" w:cs="Times New Roman"/>
          <w:b/>
          <w:bCs/>
        </w:rPr>
        <w:t>mínimo CVaR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MinCVaR</w:t>
      </w:r>
      <w:r w:rsidRPr="001935B7">
        <w:rPr>
          <w:rFonts w:ascii="Times New Roman" w:hAnsi="Times New Roman" w:cs="Times New Roman"/>
        </w:rPr>
        <w:t xml:space="preserve">) produziu métricas quase idênticas às da mínima variância (Sharpe 0,214; volatilidade 12,96%;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−26,26%). A convergência entre o objetivo de mínima variância simétrico e o de risco de cauda CVaR sugere que, neste universo, a estrutura de risco capturada por ambos é semelhante — o refinamento de cauda adicionou pouco sobre a variância simples.</w:t>
      </w:r>
    </w:p>
    <w:p w14:paraId="6CFFD6EA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Dois resultados destoam. A </w:t>
      </w:r>
      <w:r w:rsidRPr="001935B7">
        <w:rPr>
          <w:rFonts w:ascii="Times New Roman" w:hAnsi="Times New Roman" w:cs="Times New Roman"/>
          <w:b/>
          <w:bCs/>
        </w:rPr>
        <w:t>máxima razão Ômega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MaxOmega</w:t>
      </w:r>
      <w:r w:rsidRPr="001935B7">
        <w:rPr>
          <w:rFonts w:ascii="Times New Roman" w:hAnsi="Times New Roman" w:cs="Times New Roman"/>
        </w:rPr>
        <w:t xml:space="preserve">) obteve Sharpe de apenas 0,111 com volatilidade elevada (21,21%), inferior ao IBOVESPA. E a estratégia de </w:t>
      </w:r>
      <w:r w:rsidRPr="001935B7">
        <w:rPr>
          <w:rFonts w:ascii="Times New Roman" w:hAnsi="Times New Roman" w:cs="Times New Roman"/>
          <w:b/>
          <w:bCs/>
        </w:rPr>
        <w:t>mínimo CDaR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) constituiu o </w:t>
      </w:r>
      <w:r w:rsidRPr="001935B7">
        <w:rPr>
          <w:rFonts w:ascii="Times New Roman" w:hAnsi="Times New Roman" w:cs="Times New Roman"/>
          <w:b/>
          <w:bCs/>
        </w:rPr>
        <w:t>pior resultado de todo o estudo</w:t>
      </w:r>
      <w:r w:rsidRPr="001935B7">
        <w:rPr>
          <w:rFonts w:ascii="Times New Roman" w:hAnsi="Times New Roman" w:cs="Times New Roman"/>
        </w:rPr>
        <w:t xml:space="preserve">: CAGR de −1,75% a.a., Sharpe de −0,417 e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máximo de −81,81% — ou seja, a carteira chegou a perder mais de quatro quintos de seu valor. Esse comportamento, discutido em detalhe na Seção 4.4, configura um caso de </w:t>
      </w:r>
      <w:r w:rsidRPr="001935B7">
        <w:rPr>
          <w:rFonts w:ascii="Times New Roman" w:hAnsi="Times New Roman" w:cs="Times New Roman"/>
          <w:b/>
          <w:bCs/>
        </w:rPr>
        <w:t>degeneração da otimização</w:t>
      </w:r>
      <w:r w:rsidRPr="001935B7">
        <w:rPr>
          <w:rFonts w:ascii="Times New Roman" w:hAnsi="Times New Roman" w:cs="Times New Roman"/>
        </w:rPr>
        <w:t xml:space="preserve"> e tem valor pedagógico para a compreensão dos limites das formulações de risco dependentes da trajetória.</w:t>
      </w:r>
    </w:p>
    <w:p w14:paraId="2DE4D13C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7" w:name="X577152f483a7c2f01af861ef79b990fb97d88b3"/>
      <w:bookmarkEnd w:id="6"/>
      <w:r w:rsidRPr="001935B7">
        <w:rPr>
          <w:rFonts w:ascii="Times New Roman" w:hAnsi="Times New Roman" w:cs="Times New Roman"/>
        </w:rPr>
        <w:t>4.2.3. Família Black-Litterman (Visões de Momentum 12-1)</w:t>
      </w:r>
    </w:p>
    <w:p w14:paraId="3E3BB8F3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família Black-Litterman, que combina um prior de equilíbrio de mercado a visões absolutas de retorno geradas pelo fator de momentum 12-1, foi a de </w:t>
      </w:r>
      <w:r w:rsidRPr="001935B7">
        <w:rPr>
          <w:rFonts w:ascii="Times New Roman" w:hAnsi="Times New Roman" w:cs="Times New Roman"/>
          <w:b/>
          <w:bCs/>
        </w:rPr>
        <w:t>melhor desempenho ajustado ao risco do estudo</w:t>
      </w:r>
      <w:r w:rsidRPr="001935B7">
        <w:rPr>
          <w:rFonts w:ascii="Times New Roman" w:hAnsi="Times New Roman" w:cs="Times New Roman"/>
        </w:rPr>
        <w:t>. A configuração clássica (</w:t>
      </w:r>
      <w:r w:rsidRPr="001935B7">
        <w:rPr>
          <w:rStyle w:val="VerbatimChar"/>
          <w:rFonts w:ascii="Times New Roman" w:hAnsi="Times New Roman" w:cs="Times New Roman"/>
          <w:sz w:val="24"/>
        </w:rPr>
        <w:t>BL_classico</w:t>
      </w:r>
      <w:r w:rsidRPr="001935B7">
        <w:rPr>
          <w:rFonts w:ascii="Times New Roman" w:hAnsi="Times New Roman" w:cs="Times New Roman"/>
        </w:rPr>
        <w:t>) liderou simultaneamente o CAGR (</w:t>
      </w:r>
      <w:r w:rsidRPr="001935B7">
        <w:rPr>
          <w:rFonts w:ascii="Times New Roman" w:hAnsi="Times New Roman" w:cs="Times New Roman"/>
          <w:b/>
          <w:bCs/>
        </w:rPr>
        <w:t>21,12% a.a.</w:t>
      </w:r>
      <w:r w:rsidRPr="001935B7">
        <w:rPr>
          <w:rFonts w:ascii="Times New Roman" w:hAnsi="Times New Roman" w:cs="Times New Roman"/>
        </w:rPr>
        <w:t>) e o índice de Sharpe (</w:t>
      </w:r>
      <w:r w:rsidRPr="001935B7">
        <w:rPr>
          <w:rFonts w:ascii="Times New Roman" w:hAnsi="Times New Roman" w:cs="Times New Roman"/>
          <w:b/>
          <w:bCs/>
        </w:rPr>
        <w:t>0,511</w:t>
      </w:r>
      <w:r w:rsidRPr="001935B7">
        <w:rPr>
          <w:rFonts w:ascii="Times New Roman" w:hAnsi="Times New Roman" w:cs="Times New Roman"/>
        </w:rPr>
        <w:t xml:space="preserve">) de todo o painel, com Sortino de 0,740 — superando o IBOVESPA em quase três vezes em termos de Sharpe (0,178). A variante de </w:t>
      </w:r>
      <w:r w:rsidRPr="001935B7">
        <w:rPr>
          <w:rFonts w:ascii="Times New Roman" w:hAnsi="Times New Roman" w:cs="Times New Roman"/>
          <w:i/>
          <w:iCs/>
        </w:rPr>
        <w:t>downside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BL_downside</w:t>
      </w:r>
      <w:r w:rsidRPr="001935B7">
        <w:rPr>
          <w:rFonts w:ascii="Times New Roman" w:hAnsi="Times New Roman" w:cs="Times New Roman"/>
        </w:rPr>
        <w:t>), que substitui a covariância completa pela semicovariância, alcançou CAGR de 20,66% a.a. e Sharpe de 0,456.</w:t>
      </w:r>
    </w:p>
    <w:p w14:paraId="14330711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Esse desempenho superior, contudo, </w:t>
      </w:r>
      <w:r w:rsidRPr="001935B7">
        <w:rPr>
          <w:rFonts w:ascii="Times New Roman" w:hAnsi="Times New Roman" w:cs="Times New Roman"/>
          <w:b/>
          <w:bCs/>
        </w:rPr>
        <w:t>não decorre de menor risco, mas de maior retorno</w:t>
      </w:r>
      <w:r w:rsidRPr="001935B7">
        <w:rPr>
          <w:rFonts w:ascii="Times New Roman" w:hAnsi="Times New Roman" w:cs="Times New Roman"/>
        </w:rPr>
        <w:t>: as duas variantes plenas apresentam a maior volatilidade do painel (</w:t>
      </w:r>
      <w:r w:rsidRPr="001935B7">
        <w:rPr>
          <w:rStyle w:val="VerbatimChar"/>
          <w:rFonts w:ascii="Times New Roman" w:hAnsi="Times New Roman" w:cs="Times New Roman"/>
          <w:sz w:val="24"/>
        </w:rPr>
        <w:t>BL_classico</w:t>
      </w:r>
      <w:r w:rsidRPr="001935B7">
        <w:rPr>
          <w:rFonts w:ascii="Times New Roman" w:hAnsi="Times New Roman" w:cs="Times New Roman"/>
        </w:rPr>
        <w:t xml:space="preserve">: 25,99%; </w:t>
      </w:r>
      <w:r w:rsidRPr="001935B7">
        <w:rPr>
          <w:rStyle w:val="VerbatimChar"/>
          <w:rFonts w:ascii="Times New Roman" w:hAnsi="Times New Roman" w:cs="Times New Roman"/>
          <w:sz w:val="24"/>
        </w:rPr>
        <w:t>BL_downside</w:t>
      </w:r>
      <w:r w:rsidRPr="001935B7">
        <w:rPr>
          <w:rFonts w:ascii="Times New Roman" w:hAnsi="Times New Roman" w:cs="Times New Roman"/>
        </w:rPr>
        <w:t xml:space="preserve">: 32,36%) e </w:t>
      </w:r>
      <w:r w:rsidRPr="001935B7">
        <w:rPr>
          <w:rFonts w:ascii="Times New Roman" w:hAnsi="Times New Roman" w:cs="Times New Roman"/>
          <w:i/>
          <w:iCs/>
        </w:rPr>
        <w:t>drawdowns</w:t>
      </w:r>
      <w:r w:rsidRPr="001935B7">
        <w:rPr>
          <w:rFonts w:ascii="Times New Roman" w:hAnsi="Times New Roman" w:cs="Times New Roman"/>
        </w:rPr>
        <w:t xml:space="preserve"> profundos (−43,78% e −59,82%, respectivamente, este último o segundo pior do estudo). O Sharpe elevado é, portanto, fruto de um numerador (retorno) expressivo, e não de um denominador (risco) contido.</w:t>
      </w:r>
    </w:p>
    <w:p w14:paraId="04A2C0EA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É aqui que a </w:t>
      </w:r>
      <w:r w:rsidRPr="001935B7">
        <w:rPr>
          <w:rFonts w:ascii="Times New Roman" w:hAnsi="Times New Roman" w:cs="Times New Roman"/>
          <w:b/>
          <w:bCs/>
        </w:rPr>
        <w:t>imposição do teto de 10% por ativo</w:t>
      </w:r>
      <w:r w:rsidRPr="001935B7">
        <w:rPr>
          <w:rFonts w:ascii="Times New Roman" w:hAnsi="Times New Roman" w:cs="Times New Roman"/>
        </w:rPr>
        <w:t xml:space="preserve"> (variantes </w:t>
      </w:r>
      <w:r w:rsidRPr="001935B7">
        <w:rPr>
          <w:rStyle w:val="VerbatimChar"/>
          <w:rFonts w:ascii="Times New Roman" w:hAnsi="Times New Roman" w:cs="Times New Roman"/>
          <w:sz w:val="24"/>
        </w:rPr>
        <w:t>c10</w:t>
      </w:r>
      <w:r w:rsidRPr="001935B7">
        <w:rPr>
          <w:rFonts w:ascii="Times New Roman" w:hAnsi="Times New Roman" w:cs="Times New Roman"/>
        </w:rPr>
        <w:t xml:space="preserve">) revela seu papel de instrumento de gestão de risco. A </w:t>
      </w:r>
      <w:r w:rsidRPr="001935B7">
        <w:rPr>
          <w:rStyle w:val="VerbatimChar"/>
          <w:rFonts w:ascii="Times New Roman" w:hAnsi="Times New Roman" w:cs="Times New Roman"/>
          <w:sz w:val="24"/>
        </w:rPr>
        <w:t>BL_classico_c10</w:t>
      </w:r>
      <w:r w:rsidRPr="001935B7">
        <w:rPr>
          <w:rFonts w:ascii="Times New Roman" w:hAnsi="Times New Roman" w:cs="Times New Roman"/>
        </w:rPr>
        <w:t xml:space="preserve"> reduziu a volatilidade de 25,99% para 20,30% e o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de −43,78% para −34,33%, ao custo de apenas 0,05 ponto de Sharpe (0,511 → 0,460) e cerca de 3 pontos percentuais de CAGR (21,12% → 17,99%). O efeito é ainda mais pronunciado na </w:t>
      </w:r>
      <w:r w:rsidRPr="001935B7">
        <w:rPr>
          <w:rStyle w:val="VerbatimChar"/>
          <w:rFonts w:ascii="Times New Roman" w:hAnsi="Times New Roman" w:cs="Times New Roman"/>
          <w:sz w:val="24"/>
        </w:rPr>
        <w:t>BL_downside_c10</w:t>
      </w:r>
      <w:r w:rsidRPr="001935B7">
        <w:rPr>
          <w:rFonts w:ascii="Times New Roman" w:hAnsi="Times New Roman" w:cs="Times New Roman"/>
        </w:rPr>
        <w:t xml:space="preserve">, que domou uma volatilidade quase patológica de 32,36% para 22,32% e um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de −59,82% para −37,13%. O teto converte, assim, </w:t>
      </w:r>
      <w:r w:rsidRPr="001935B7">
        <w:rPr>
          <w:rFonts w:ascii="Times New Roman" w:hAnsi="Times New Roman" w:cs="Times New Roman"/>
        </w:rPr>
        <w:lastRenderedPageBreak/>
        <w:t>o retorno bruto das visões de momentum em um perfil risco-retorno substancialmente mais defensável para aplicação prática.</w:t>
      </w:r>
    </w:p>
    <w:p w14:paraId="72CF8B26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Cabe registrar que as variantes BL apresentam </w:t>
      </w:r>
      <w:r w:rsidRPr="001935B7">
        <w:rPr>
          <w:rFonts w:ascii="Times New Roman" w:hAnsi="Times New Roman" w:cs="Times New Roman"/>
          <w:i/>
          <w:iCs/>
        </w:rPr>
        <w:t>turnover</w:t>
      </w:r>
      <w:r w:rsidRPr="001935B7">
        <w:rPr>
          <w:rFonts w:ascii="Times New Roman" w:hAnsi="Times New Roman" w:cs="Times New Roman"/>
        </w:rPr>
        <w:t xml:space="preserve"> muito elevado — entre </w:t>
      </w:r>
      <w:r w:rsidRPr="001935B7">
        <w:rPr>
          <w:rFonts w:ascii="Times New Roman" w:hAnsi="Times New Roman" w:cs="Times New Roman"/>
          <w:b/>
          <w:bCs/>
        </w:rPr>
        <w:t>646% e 990% ao ano</w:t>
      </w:r>
      <w:r w:rsidRPr="001935B7">
        <w:rPr>
          <w:rFonts w:ascii="Times New Roman" w:hAnsi="Times New Roman" w:cs="Times New Roman"/>
        </w:rPr>
        <w:t xml:space="preserve"> (</w:t>
      </w:r>
      <w:r w:rsidRPr="001935B7">
        <w:rPr>
          <w:rStyle w:val="VerbatimChar"/>
          <w:rFonts w:ascii="Times New Roman" w:hAnsi="Times New Roman" w:cs="Times New Roman"/>
          <w:sz w:val="24"/>
        </w:rPr>
        <w:t>BL_classico</w:t>
      </w:r>
      <w:r w:rsidRPr="001935B7">
        <w:rPr>
          <w:rFonts w:ascii="Times New Roman" w:hAnsi="Times New Roman" w:cs="Times New Roman"/>
        </w:rPr>
        <w:t xml:space="preserve">: 825%; </w:t>
      </w:r>
      <w:r w:rsidRPr="001935B7">
        <w:rPr>
          <w:rStyle w:val="VerbatimChar"/>
          <w:rFonts w:ascii="Times New Roman" w:hAnsi="Times New Roman" w:cs="Times New Roman"/>
          <w:sz w:val="24"/>
        </w:rPr>
        <w:t>BL_downside</w:t>
      </w:r>
      <w:r w:rsidRPr="001935B7">
        <w:rPr>
          <w:rFonts w:ascii="Times New Roman" w:hAnsi="Times New Roman" w:cs="Times New Roman"/>
        </w:rPr>
        <w:t>: 990%) —, reflexo da sensibilidade dos pesos ao fator de momentum mensal. Esses valores são uma a duas ordens de grandeza superiores aos das estratégias de mínima variância (≈81% a.a.) e implicam que a carteira é integralmente renovada de seis a dez vezes por ano. Como o custo de 50 bps já está incorporado às séries de retorno reportadas, o CAGR de 21,12% é líquido desse custo; entretanto, custos adicionais de impacto de mercado em aplicação real reduziriam esse desempenho, constituindo limitação prática reconhecida na Seção 4.4.</w:t>
      </w:r>
    </w:p>
    <w:p w14:paraId="1F1A2F36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análise-comparativa-consolidada"/>
      <w:bookmarkEnd w:id="4"/>
      <w:bookmarkEnd w:id="7"/>
      <w:r w:rsidRPr="001935B7">
        <w:rPr>
          <w:rFonts w:ascii="Times New Roman" w:hAnsi="Times New Roman" w:cs="Times New Roman"/>
          <w:sz w:val="24"/>
          <w:szCs w:val="24"/>
        </w:rPr>
        <w:t>4.3. Análise Comparativa Consolidada</w:t>
      </w:r>
    </w:p>
    <w:p w14:paraId="4A91EE94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Tabela 8 reúne as métricas anualizadas das 16 estratégias e do </w:t>
      </w:r>
      <w:r w:rsidRPr="001935B7">
        <w:rPr>
          <w:rFonts w:ascii="Times New Roman" w:hAnsi="Times New Roman" w:cs="Times New Roman"/>
          <w:i/>
          <w:iCs/>
        </w:rPr>
        <w:t>benchmark</w:t>
      </w:r>
      <w:r w:rsidRPr="001935B7">
        <w:rPr>
          <w:rFonts w:ascii="Times New Roman" w:hAnsi="Times New Roman" w:cs="Times New Roman"/>
        </w:rPr>
        <w:t xml:space="preserve"> IBOVESPA para o período </w:t>
      </w:r>
      <w:r w:rsidRPr="001935B7">
        <w:rPr>
          <w:rFonts w:ascii="Times New Roman" w:hAnsi="Times New Roman" w:cs="Times New Roman"/>
          <w:i/>
          <w:iCs/>
        </w:rPr>
        <w:t>out-of-sample</w:t>
      </w:r>
      <w:r w:rsidRPr="001935B7">
        <w:rPr>
          <w:rFonts w:ascii="Times New Roman" w:hAnsi="Times New Roman" w:cs="Times New Roman"/>
        </w:rPr>
        <w:t>. Todas as métricas de retorno são líquidas de custo transacional.</w:t>
      </w:r>
    </w:p>
    <w:p w14:paraId="5B7A73F0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Tabela 8 — Desempenho Out-of-Sample das 16 Estratégias e Benchmark (2015-03-02 a 2025-12-30)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9"/>
        <w:gridCol w:w="1116"/>
        <w:gridCol w:w="786"/>
        <w:gridCol w:w="779"/>
        <w:gridCol w:w="672"/>
        <w:gridCol w:w="786"/>
        <w:gridCol w:w="813"/>
        <w:gridCol w:w="787"/>
        <w:gridCol w:w="970"/>
      </w:tblGrid>
      <w:tr w:rsidR="00F1611A" w:rsidRPr="001935B7" w14:paraId="580F9C81" w14:textId="77777777" w:rsidTr="00F161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BEA5A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Estratégia</w:t>
            </w:r>
          </w:p>
        </w:tc>
        <w:tc>
          <w:tcPr>
            <w:tcW w:w="0" w:type="auto"/>
          </w:tcPr>
          <w:p w14:paraId="43E63EA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Família</w:t>
            </w:r>
          </w:p>
        </w:tc>
        <w:tc>
          <w:tcPr>
            <w:tcW w:w="0" w:type="auto"/>
          </w:tcPr>
          <w:p w14:paraId="72FF5D7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Ret. Acum. (%)†</w:t>
            </w:r>
          </w:p>
        </w:tc>
        <w:tc>
          <w:tcPr>
            <w:tcW w:w="0" w:type="auto"/>
          </w:tcPr>
          <w:p w14:paraId="49B1B0A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CAGR (% a.a.)</w:t>
            </w:r>
          </w:p>
        </w:tc>
        <w:tc>
          <w:tcPr>
            <w:tcW w:w="0" w:type="auto"/>
          </w:tcPr>
          <w:p w14:paraId="40D25AB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Vol. (% a.a.)</w:t>
            </w:r>
          </w:p>
        </w:tc>
        <w:tc>
          <w:tcPr>
            <w:tcW w:w="0" w:type="auto"/>
          </w:tcPr>
          <w:p w14:paraId="60EF283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Sharpe</w:t>
            </w:r>
          </w:p>
        </w:tc>
        <w:tc>
          <w:tcPr>
            <w:tcW w:w="0" w:type="auto"/>
          </w:tcPr>
          <w:p w14:paraId="51E600D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Sortino</w:t>
            </w:r>
          </w:p>
        </w:tc>
        <w:tc>
          <w:tcPr>
            <w:tcW w:w="0" w:type="auto"/>
          </w:tcPr>
          <w:p w14:paraId="7FBA5F6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Max. DD (%)</w:t>
            </w:r>
          </w:p>
        </w:tc>
        <w:tc>
          <w:tcPr>
            <w:tcW w:w="0" w:type="auto"/>
          </w:tcPr>
          <w:p w14:paraId="2BEA56C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Turnover (% a.a.)</w:t>
            </w:r>
          </w:p>
        </w:tc>
      </w:tr>
      <w:tr w:rsidR="00F1611A" w:rsidRPr="001935B7" w14:paraId="44CC666B" w14:textId="77777777">
        <w:tc>
          <w:tcPr>
            <w:tcW w:w="0" w:type="auto"/>
          </w:tcPr>
          <w:p w14:paraId="69F3F20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BL_classico</w:t>
            </w:r>
          </w:p>
        </w:tc>
        <w:tc>
          <w:tcPr>
            <w:tcW w:w="0" w:type="auto"/>
          </w:tcPr>
          <w:p w14:paraId="4E97F4D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3698CC3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+673,5</w:t>
            </w:r>
          </w:p>
        </w:tc>
        <w:tc>
          <w:tcPr>
            <w:tcW w:w="0" w:type="auto"/>
          </w:tcPr>
          <w:p w14:paraId="1EDE902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21,12</w:t>
            </w:r>
          </w:p>
        </w:tc>
        <w:tc>
          <w:tcPr>
            <w:tcW w:w="0" w:type="auto"/>
          </w:tcPr>
          <w:p w14:paraId="5B4DEB6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25,99</w:t>
            </w:r>
          </w:p>
        </w:tc>
        <w:tc>
          <w:tcPr>
            <w:tcW w:w="0" w:type="auto"/>
          </w:tcPr>
          <w:p w14:paraId="574CE58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  <w:b/>
                <w:bCs/>
              </w:rPr>
              <w:t>0,511</w:t>
            </w:r>
          </w:p>
        </w:tc>
        <w:tc>
          <w:tcPr>
            <w:tcW w:w="0" w:type="auto"/>
          </w:tcPr>
          <w:p w14:paraId="3C0F13D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0,740</w:t>
            </w:r>
          </w:p>
        </w:tc>
        <w:tc>
          <w:tcPr>
            <w:tcW w:w="0" w:type="auto"/>
          </w:tcPr>
          <w:p w14:paraId="2979BD4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−43,78</w:t>
            </w:r>
          </w:p>
        </w:tc>
        <w:tc>
          <w:tcPr>
            <w:tcW w:w="0" w:type="auto"/>
          </w:tcPr>
          <w:p w14:paraId="3E5E5AC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824,9</w:t>
            </w:r>
          </w:p>
        </w:tc>
      </w:tr>
      <w:tr w:rsidR="00F1611A" w:rsidRPr="001935B7" w14:paraId="455D6B7A" w14:textId="77777777">
        <w:tc>
          <w:tcPr>
            <w:tcW w:w="0" w:type="auto"/>
          </w:tcPr>
          <w:p w14:paraId="7081FB9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BL_classico_c10</w:t>
            </w:r>
          </w:p>
        </w:tc>
        <w:tc>
          <w:tcPr>
            <w:tcW w:w="0" w:type="auto"/>
          </w:tcPr>
          <w:p w14:paraId="459D150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363CE3F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+484,7</w:t>
            </w:r>
          </w:p>
        </w:tc>
        <w:tc>
          <w:tcPr>
            <w:tcW w:w="0" w:type="auto"/>
          </w:tcPr>
          <w:p w14:paraId="59036C6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17,99</w:t>
            </w:r>
          </w:p>
        </w:tc>
        <w:tc>
          <w:tcPr>
            <w:tcW w:w="0" w:type="auto"/>
          </w:tcPr>
          <w:p w14:paraId="736373A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20,30</w:t>
            </w:r>
          </w:p>
        </w:tc>
        <w:tc>
          <w:tcPr>
            <w:tcW w:w="0" w:type="auto"/>
          </w:tcPr>
          <w:p w14:paraId="4959AB2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0,460</w:t>
            </w:r>
          </w:p>
        </w:tc>
        <w:tc>
          <w:tcPr>
            <w:tcW w:w="0" w:type="auto"/>
          </w:tcPr>
          <w:p w14:paraId="100717C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0,643</w:t>
            </w:r>
          </w:p>
        </w:tc>
        <w:tc>
          <w:tcPr>
            <w:tcW w:w="0" w:type="auto"/>
          </w:tcPr>
          <w:p w14:paraId="7B284B1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−34,33</w:t>
            </w:r>
          </w:p>
        </w:tc>
        <w:tc>
          <w:tcPr>
            <w:tcW w:w="0" w:type="auto"/>
          </w:tcPr>
          <w:p w14:paraId="53D59FB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646,5</w:t>
            </w:r>
          </w:p>
        </w:tc>
      </w:tr>
      <w:tr w:rsidR="00F1611A" w:rsidRPr="001935B7" w14:paraId="5F166983" w14:textId="77777777">
        <w:tc>
          <w:tcPr>
            <w:tcW w:w="0" w:type="auto"/>
          </w:tcPr>
          <w:p w14:paraId="2BF0F70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BL_downside</w:t>
            </w:r>
          </w:p>
        </w:tc>
        <w:tc>
          <w:tcPr>
            <w:tcW w:w="0" w:type="auto"/>
          </w:tcPr>
          <w:p w14:paraId="5642450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475EE3D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+642,4</w:t>
            </w:r>
          </w:p>
        </w:tc>
        <w:tc>
          <w:tcPr>
            <w:tcW w:w="0" w:type="auto"/>
          </w:tcPr>
          <w:p w14:paraId="1E56FE0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20,66</w:t>
            </w:r>
          </w:p>
        </w:tc>
        <w:tc>
          <w:tcPr>
            <w:tcW w:w="0" w:type="auto"/>
          </w:tcPr>
          <w:p w14:paraId="0A5C2D5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32,36</w:t>
            </w:r>
          </w:p>
        </w:tc>
        <w:tc>
          <w:tcPr>
            <w:tcW w:w="0" w:type="auto"/>
          </w:tcPr>
          <w:p w14:paraId="0D44DB9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0,456</w:t>
            </w:r>
          </w:p>
        </w:tc>
        <w:tc>
          <w:tcPr>
            <w:tcW w:w="0" w:type="auto"/>
          </w:tcPr>
          <w:p w14:paraId="25A9206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0,666</w:t>
            </w:r>
          </w:p>
        </w:tc>
        <w:tc>
          <w:tcPr>
            <w:tcW w:w="0" w:type="auto"/>
          </w:tcPr>
          <w:p w14:paraId="644CBC2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−59,82</w:t>
            </w:r>
          </w:p>
        </w:tc>
        <w:tc>
          <w:tcPr>
            <w:tcW w:w="0" w:type="auto"/>
          </w:tcPr>
          <w:p w14:paraId="6EDAE88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990,2</w:t>
            </w:r>
          </w:p>
        </w:tc>
      </w:tr>
      <w:tr w:rsidR="00F1611A" w:rsidRPr="001935B7" w14:paraId="20874434" w14:textId="77777777">
        <w:tc>
          <w:tcPr>
            <w:tcW w:w="0" w:type="auto"/>
          </w:tcPr>
          <w:p w14:paraId="79DABFE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EqualWeight_BuyHold</w:t>
            </w:r>
          </w:p>
        </w:tc>
        <w:tc>
          <w:tcPr>
            <w:tcW w:w="0" w:type="auto"/>
          </w:tcPr>
          <w:p w14:paraId="5800B75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MPT (ref.)</w:t>
            </w:r>
          </w:p>
        </w:tc>
        <w:tc>
          <w:tcPr>
            <w:tcW w:w="0" w:type="auto"/>
          </w:tcPr>
          <w:p w14:paraId="2E85737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+374,6</w:t>
            </w:r>
          </w:p>
        </w:tc>
        <w:tc>
          <w:tcPr>
            <w:tcW w:w="0" w:type="auto"/>
          </w:tcPr>
          <w:p w14:paraId="50ABA2A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15,71</w:t>
            </w:r>
          </w:p>
        </w:tc>
        <w:tc>
          <w:tcPr>
            <w:tcW w:w="0" w:type="auto"/>
          </w:tcPr>
          <w:p w14:paraId="638BB54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19,30</w:t>
            </w:r>
          </w:p>
        </w:tc>
        <w:tc>
          <w:tcPr>
            <w:tcW w:w="0" w:type="auto"/>
          </w:tcPr>
          <w:p w14:paraId="01B5A7F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0,372</w:t>
            </w:r>
          </w:p>
        </w:tc>
        <w:tc>
          <w:tcPr>
            <w:tcW w:w="0" w:type="auto"/>
          </w:tcPr>
          <w:p w14:paraId="30F9029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0,520</w:t>
            </w:r>
          </w:p>
        </w:tc>
        <w:tc>
          <w:tcPr>
            <w:tcW w:w="0" w:type="auto"/>
          </w:tcPr>
          <w:p w14:paraId="5BE581F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−34,50</w:t>
            </w:r>
          </w:p>
        </w:tc>
        <w:tc>
          <w:tcPr>
            <w:tcW w:w="0" w:type="auto"/>
          </w:tcPr>
          <w:p w14:paraId="0EB7140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0,0</w:t>
            </w:r>
          </w:p>
        </w:tc>
      </w:tr>
      <w:tr w:rsidR="00F1611A" w:rsidRPr="001935B7" w14:paraId="144BBDF9" w14:textId="77777777">
        <w:tc>
          <w:tcPr>
            <w:tcW w:w="0" w:type="auto"/>
          </w:tcPr>
          <w:p w14:paraId="0050509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BL_downside_c10</w:t>
            </w:r>
          </w:p>
        </w:tc>
        <w:tc>
          <w:tcPr>
            <w:tcW w:w="0" w:type="auto"/>
          </w:tcPr>
          <w:p w14:paraId="242F7DB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4CF6309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+322,3</w:t>
            </w:r>
          </w:p>
        </w:tc>
        <w:tc>
          <w:tcPr>
            <w:tcW w:w="0" w:type="auto"/>
          </w:tcPr>
          <w:p w14:paraId="1BB3F78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14,45</w:t>
            </w:r>
          </w:p>
        </w:tc>
        <w:tc>
          <w:tcPr>
            <w:tcW w:w="0" w:type="auto"/>
          </w:tcPr>
          <w:p w14:paraId="622C305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22,32</w:t>
            </w:r>
          </w:p>
        </w:tc>
        <w:tc>
          <w:tcPr>
            <w:tcW w:w="0" w:type="auto"/>
          </w:tcPr>
          <w:p w14:paraId="54465C5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0,301</w:t>
            </w:r>
          </w:p>
        </w:tc>
        <w:tc>
          <w:tcPr>
            <w:tcW w:w="0" w:type="auto"/>
          </w:tcPr>
          <w:p w14:paraId="2A50F89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0,421</w:t>
            </w:r>
          </w:p>
        </w:tc>
        <w:tc>
          <w:tcPr>
            <w:tcW w:w="0" w:type="auto"/>
          </w:tcPr>
          <w:p w14:paraId="7F5E0FF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−37,13</w:t>
            </w:r>
          </w:p>
        </w:tc>
        <w:tc>
          <w:tcPr>
            <w:tcW w:w="0" w:type="auto"/>
          </w:tcPr>
          <w:p w14:paraId="5697B01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781,2</w:t>
            </w:r>
          </w:p>
        </w:tc>
      </w:tr>
      <w:tr w:rsidR="00F1611A" w:rsidRPr="001935B7" w14:paraId="4CB8A022" w14:textId="77777777">
        <w:tc>
          <w:tcPr>
            <w:tcW w:w="0" w:type="auto"/>
          </w:tcPr>
          <w:p w14:paraId="38C3BBD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MaxSharpe</w:t>
            </w:r>
          </w:p>
        </w:tc>
        <w:tc>
          <w:tcPr>
            <w:tcW w:w="0" w:type="auto"/>
          </w:tcPr>
          <w:p w14:paraId="480A24C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483117C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+290,2</w:t>
            </w:r>
          </w:p>
        </w:tc>
        <w:tc>
          <w:tcPr>
            <w:tcW w:w="0" w:type="auto"/>
          </w:tcPr>
          <w:p w14:paraId="1E69AC9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13,60</w:t>
            </w:r>
          </w:p>
        </w:tc>
        <w:tc>
          <w:tcPr>
            <w:tcW w:w="0" w:type="auto"/>
          </w:tcPr>
          <w:p w14:paraId="5710113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17,53</w:t>
            </w:r>
          </w:p>
        </w:tc>
        <w:tc>
          <w:tcPr>
            <w:tcW w:w="0" w:type="auto"/>
          </w:tcPr>
          <w:p w14:paraId="1E7294A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0,287</w:t>
            </w:r>
          </w:p>
        </w:tc>
        <w:tc>
          <w:tcPr>
            <w:tcW w:w="0" w:type="auto"/>
          </w:tcPr>
          <w:p w14:paraId="2CBD7A5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0,404</w:t>
            </w:r>
          </w:p>
        </w:tc>
        <w:tc>
          <w:tcPr>
            <w:tcW w:w="0" w:type="auto"/>
          </w:tcPr>
          <w:p w14:paraId="7C0A89B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−22,76</w:t>
            </w:r>
          </w:p>
        </w:tc>
        <w:tc>
          <w:tcPr>
            <w:tcW w:w="0" w:type="auto"/>
          </w:tcPr>
          <w:p w14:paraId="3B51D08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122,4</w:t>
            </w:r>
          </w:p>
        </w:tc>
      </w:tr>
      <w:tr w:rsidR="00F1611A" w:rsidRPr="001935B7" w14:paraId="21C4D45D" w14:textId="77777777">
        <w:tc>
          <w:tcPr>
            <w:tcW w:w="0" w:type="auto"/>
          </w:tcPr>
          <w:p w14:paraId="61E405D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lastRenderedPageBreak/>
              <w:t>MaxKappa3</w:t>
            </w:r>
          </w:p>
        </w:tc>
        <w:tc>
          <w:tcPr>
            <w:tcW w:w="0" w:type="auto"/>
          </w:tcPr>
          <w:p w14:paraId="03C068D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0781C26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+280,0</w:t>
            </w:r>
          </w:p>
        </w:tc>
        <w:tc>
          <w:tcPr>
            <w:tcW w:w="0" w:type="auto"/>
          </w:tcPr>
          <w:p w14:paraId="180B2D1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13,32</w:t>
            </w:r>
          </w:p>
        </w:tc>
        <w:tc>
          <w:tcPr>
            <w:tcW w:w="0" w:type="auto"/>
          </w:tcPr>
          <w:p w14:paraId="7FCE0FD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18,26</w:t>
            </w:r>
          </w:p>
        </w:tc>
        <w:tc>
          <w:tcPr>
            <w:tcW w:w="0" w:type="auto"/>
          </w:tcPr>
          <w:p w14:paraId="1F41A8C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0,269</w:t>
            </w:r>
          </w:p>
        </w:tc>
        <w:tc>
          <w:tcPr>
            <w:tcW w:w="0" w:type="auto"/>
          </w:tcPr>
          <w:p w14:paraId="34F5C59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0,381</w:t>
            </w:r>
          </w:p>
        </w:tc>
        <w:tc>
          <w:tcPr>
            <w:tcW w:w="0" w:type="auto"/>
          </w:tcPr>
          <w:p w14:paraId="53AB35F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  <w:b/>
                <w:bCs/>
              </w:rPr>
              <w:t>−22,55</w:t>
            </w:r>
          </w:p>
        </w:tc>
        <w:tc>
          <w:tcPr>
            <w:tcW w:w="0" w:type="auto"/>
          </w:tcPr>
          <w:p w14:paraId="6A42DA7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134,8</w:t>
            </w:r>
          </w:p>
        </w:tc>
      </w:tr>
      <w:tr w:rsidR="00F1611A" w:rsidRPr="001935B7" w14:paraId="3E77DED6" w14:textId="77777777">
        <w:tc>
          <w:tcPr>
            <w:tcW w:w="0" w:type="auto"/>
          </w:tcPr>
          <w:p w14:paraId="1713BD4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MaxSortino</w:t>
            </w:r>
          </w:p>
        </w:tc>
        <w:tc>
          <w:tcPr>
            <w:tcW w:w="0" w:type="auto"/>
          </w:tcPr>
          <w:p w14:paraId="6B51A0F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3599F35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+274,2</w:t>
            </w:r>
          </w:p>
        </w:tc>
        <w:tc>
          <w:tcPr>
            <w:tcW w:w="0" w:type="auto"/>
          </w:tcPr>
          <w:p w14:paraId="6E18F39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13,16</w:t>
            </w:r>
          </w:p>
        </w:tc>
        <w:tc>
          <w:tcPr>
            <w:tcW w:w="0" w:type="auto"/>
          </w:tcPr>
          <w:p w14:paraId="4E4607C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17,78</w:t>
            </w:r>
          </w:p>
        </w:tc>
        <w:tc>
          <w:tcPr>
            <w:tcW w:w="0" w:type="auto"/>
          </w:tcPr>
          <w:p w14:paraId="6FA4429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0,263</w:t>
            </w:r>
          </w:p>
        </w:tc>
        <w:tc>
          <w:tcPr>
            <w:tcW w:w="0" w:type="auto"/>
          </w:tcPr>
          <w:p w14:paraId="0B9A8B2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0,371</w:t>
            </w:r>
          </w:p>
        </w:tc>
        <w:tc>
          <w:tcPr>
            <w:tcW w:w="0" w:type="auto"/>
          </w:tcPr>
          <w:p w14:paraId="42D8D59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−23,26</w:t>
            </w:r>
          </w:p>
        </w:tc>
        <w:tc>
          <w:tcPr>
            <w:tcW w:w="0" w:type="auto"/>
          </w:tcPr>
          <w:p w14:paraId="1387092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132,0</w:t>
            </w:r>
          </w:p>
        </w:tc>
      </w:tr>
      <w:tr w:rsidR="00F1611A" w:rsidRPr="001935B7" w14:paraId="48F789DD" w14:textId="77777777">
        <w:tc>
          <w:tcPr>
            <w:tcW w:w="0" w:type="auto"/>
          </w:tcPr>
          <w:p w14:paraId="17AC894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MaxSharpe_c10</w:t>
            </w:r>
          </w:p>
        </w:tc>
        <w:tc>
          <w:tcPr>
            <w:tcW w:w="0" w:type="auto"/>
          </w:tcPr>
          <w:p w14:paraId="511AC12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0A70F20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+257,1</w:t>
            </w:r>
          </w:p>
        </w:tc>
        <w:tc>
          <w:tcPr>
            <w:tcW w:w="0" w:type="auto"/>
          </w:tcPr>
          <w:p w14:paraId="2A00B50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12,66</w:t>
            </w:r>
          </w:p>
        </w:tc>
        <w:tc>
          <w:tcPr>
            <w:tcW w:w="0" w:type="auto"/>
          </w:tcPr>
          <w:p w14:paraId="782CBA6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16,55</w:t>
            </w:r>
          </w:p>
        </w:tc>
        <w:tc>
          <w:tcPr>
            <w:tcW w:w="0" w:type="auto"/>
          </w:tcPr>
          <w:p w14:paraId="66F7255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0,243</w:t>
            </w:r>
          </w:p>
        </w:tc>
        <w:tc>
          <w:tcPr>
            <w:tcW w:w="0" w:type="auto"/>
          </w:tcPr>
          <w:p w14:paraId="325FFEB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0,340</w:t>
            </w:r>
          </w:p>
        </w:tc>
        <w:tc>
          <w:tcPr>
            <w:tcW w:w="0" w:type="auto"/>
          </w:tcPr>
          <w:p w14:paraId="27BBFF0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−23,90</w:t>
            </w:r>
          </w:p>
        </w:tc>
        <w:tc>
          <w:tcPr>
            <w:tcW w:w="0" w:type="auto"/>
          </w:tcPr>
          <w:p w14:paraId="7233D17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150,5</w:t>
            </w:r>
          </w:p>
        </w:tc>
      </w:tr>
      <w:tr w:rsidR="00F1611A" w:rsidRPr="001935B7" w14:paraId="2649E7BB" w14:textId="77777777">
        <w:tc>
          <w:tcPr>
            <w:tcW w:w="0" w:type="auto"/>
          </w:tcPr>
          <w:p w14:paraId="5B70AFA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MinVar_c10</w:t>
            </w:r>
          </w:p>
        </w:tc>
        <w:tc>
          <w:tcPr>
            <w:tcW w:w="0" w:type="auto"/>
          </w:tcPr>
          <w:p w14:paraId="0D0EDD9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0E5736A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+233,1</w:t>
            </w:r>
          </w:p>
        </w:tc>
        <w:tc>
          <w:tcPr>
            <w:tcW w:w="0" w:type="auto"/>
          </w:tcPr>
          <w:p w14:paraId="42D988B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11,93</w:t>
            </w:r>
          </w:p>
        </w:tc>
        <w:tc>
          <w:tcPr>
            <w:tcW w:w="0" w:type="auto"/>
          </w:tcPr>
          <w:p w14:paraId="2E5F276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12,99</w:t>
            </w:r>
          </w:p>
        </w:tc>
        <w:tc>
          <w:tcPr>
            <w:tcW w:w="0" w:type="auto"/>
          </w:tcPr>
          <w:p w14:paraId="1377807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0,219</w:t>
            </w:r>
          </w:p>
        </w:tc>
        <w:tc>
          <w:tcPr>
            <w:tcW w:w="0" w:type="auto"/>
          </w:tcPr>
          <w:p w14:paraId="6A88649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0,298</w:t>
            </w:r>
          </w:p>
        </w:tc>
        <w:tc>
          <w:tcPr>
            <w:tcW w:w="0" w:type="auto"/>
          </w:tcPr>
          <w:p w14:paraId="0D86FAE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−25,63</w:t>
            </w:r>
          </w:p>
        </w:tc>
        <w:tc>
          <w:tcPr>
            <w:tcW w:w="0" w:type="auto"/>
          </w:tcPr>
          <w:p w14:paraId="0E5321F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80,3</w:t>
            </w:r>
          </w:p>
        </w:tc>
      </w:tr>
      <w:tr w:rsidR="00F1611A" w:rsidRPr="001935B7" w14:paraId="758551E9" w14:textId="77777777">
        <w:tc>
          <w:tcPr>
            <w:tcW w:w="0" w:type="auto"/>
          </w:tcPr>
          <w:p w14:paraId="7C4BA7D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MinVar</w:t>
            </w:r>
          </w:p>
        </w:tc>
        <w:tc>
          <w:tcPr>
            <w:tcW w:w="0" w:type="auto"/>
          </w:tcPr>
          <w:p w14:paraId="7D735BD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4D982F4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+231,8</w:t>
            </w:r>
          </w:p>
        </w:tc>
        <w:tc>
          <w:tcPr>
            <w:tcW w:w="0" w:type="auto"/>
          </w:tcPr>
          <w:p w14:paraId="625AE30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11,89</w:t>
            </w:r>
          </w:p>
        </w:tc>
        <w:tc>
          <w:tcPr>
            <w:tcW w:w="0" w:type="auto"/>
          </w:tcPr>
          <w:p w14:paraId="53C55A4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  <w:b/>
                <w:bCs/>
              </w:rPr>
              <w:t>12,96</w:t>
            </w:r>
          </w:p>
        </w:tc>
        <w:tc>
          <w:tcPr>
            <w:tcW w:w="0" w:type="auto"/>
          </w:tcPr>
          <w:p w14:paraId="5524B5C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0,217</w:t>
            </w:r>
          </w:p>
        </w:tc>
        <w:tc>
          <w:tcPr>
            <w:tcW w:w="0" w:type="auto"/>
          </w:tcPr>
          <w:p w14:paraId="7C5F3DC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0,295</w:t>
            </w:r>
          </w:p>
        </w:tc>
        <w:tc>
          <w:tcPr>
            <w:tcW w:w="0" w:type="auto"/>
          </w:tcPr>
          <w:p w14:paraId="6CD2FAD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−25,62</w:t>
            </w:r>
          </w:p>
        </w:tc>
        <w:tc>
          <w:tcPr>
            <w:tcW w:w="0" w:type="auto"/>
          </w:tcPr>
          <w:p w14:paraId="74EE502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80,9</w:t>
            </w:r>
          </w:p>
        </w:tc>
      </w:tr>
      <w:tr w:rsidR="00F1611A" w:rsidRPr="001935B7" w14:paraId="4F0054BE" w14:textId="77777777">
        <w:tc>
          <w:tcPr>
            <w:tcW w:w="0" w:type="auto"/>
          </w:tcPr>
          <w:p w14:paraId="16A459F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MinCVaR</w:t>
            </w:r>
          </w:p>
        </w:tc>
        <w:tc>
          <w:tcPr>
            <w:tcW w:w="0" w:type="auto"/>
          </w:tcPr>
          <w:p w14:paraId="3A1B6DF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4956301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+230,6</w:t>
            </w:r>
          </w:p>
        </w:tc>
        <w:tc>
          <w:tcPr>
            <w:tcW w:w="0" w:type="auto"/>
          </w:tcPr>
          <w:p w14:paraId="0A7EAA6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11,85</w:t>
            </w:r>
          </w:p>
        </w:tc>
        <w:tc>
          <w:tcPr>
            <w:tcW w:w="0" w:type="auto"/>
          </w:tcPr>
          <w:p w14:paraId="385C346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12,96</w:t>
            </w:r>
          </w:p>
        </w:tc>
        <w:tc>
          <w:tcPr>
            <w:tcW w:w="0" w:type="auto"/>
          </w:tcPr>
          <w:p w14:paraId="4452CDA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0,214</w:t>
            </w:r>
          </w:p>
        </w:tc>
        <w:tc>
          <w:tcPr>
            <w:tcW w:w="0" w:type="auto"/>
          </w:tcPr>
          <w:p w14:paraId="37A833A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0,293</w:t>
            </w:r>
          </w:p>
        </w:tc>
        <w:tc>
          <w:tcPr>
            <w:tcW w:w="0" w:type="auto"/>
          </w:tcPr>
          <w:p w14:paraId="4AD3033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−26,26</w:t>
            </w:r>
          </w:p>
        </w:tc>
        <w:tc>
          <w:tcPr>
            <w:tcW w:w="0" w:type="auto"/>
          </w:tcPr>
          <w:p w14:paraId="1C2EEB2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124,3</w:t>
            </w:r>
          </w:p>
        </w:tc>
      </w:tr>
      <w:tr w:rsidR="00F1611A" w:rsidRPr="001935B7" w14:paraId="48517835" w14:textId="77777777">
        <w:tc>
          <w:tcPr>
            <w:tcW w:w="0" w:type="auto"/>
          </w:tcPr>
          <w:p w14:paraId="5ABFD67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  <w:b/>
                <w:bCs/>
              </w:rPr>
              <w:t>IBOVESPA</w:t>
            </w:r>
          </w:p>
        </w:tc>
        <w:tc>
          <w:tcPr>
            <w:tcW w:w="0" w:type="auto"/>
          </w:tcPr>
          <w:p w14:paraId="0C944E9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  <w:i/>
                <w:iCs/>
              </w:rPr>
              <w:t>benchmark</w:t>
            </w:r>
          </w:p>
        </w:tc>
        <w:tc>
          <w:tcPr>
            <w:tcW w:w="0" w:type="auto"/>
          </w:tcPr>
          <w:p w14:paraId="309857F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+212,4</w:t>
            </w:r>
          </w:p>
        </w:tc>
        <w:tc>
          <w:tcPr>
            <w:tcW w:w="0" w:type="auto"/>
          </w:tcPr>
          <w:p w14:paraId="5F7284E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11,26</w:t>
            </w:r>
          </w:p>
        </w:tc>
        <w:tc>
          <w:tcPr>
            <w:tcW w:w="0" w:type="auto"/>
          </w:tcPr>
          <w:p w14:paraId="47616F4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23,32</w:t>
            </w:r>
          </w:p>
        </w:tc>
        <w:tc>
          <w:tcPr>
            <w:tcW w:w="0" w:type="auto"/>
          </w:tcPr>
          <w:p w14:paraId="7FF6DD1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0,178</w:t>
            </w:r>
          </w:p>
        </w:tc>
        <w:tc>
          <w:tcPr>
            <w:tcW w:w="0" w:type="auto"/>
          </w:tcPr>
          <w:p w14:paraId="3C8BD30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0,245</w:t>
            </w:r>
          </w:p>
        </w:tc>
        <w:tc>
          <w:tcPr>
            <w:tcW w:w="0" w:type="auto"/>
          </w:tcPr>
          <w:p w14:paraId="5B2C9FE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−46,82</w:t>
            </w:r>
          </w:p>
        </w:tc>
        <w:tc>
          <w:tcPr>
            <w:tcW w:w="0" w:type="auto"/>
          </w:tcPr>
          <w:p w14:paraId="59FFE06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—</w:t>
            </w:r>
          </w:p>
        </w:tc>
      </w:tr>
      <w:tr w:rsidR="00F1611A" w:rsidRPr="001935B7" w14:paraId="082079F8" w14:textId="77777777">
        <w:tc>
          <w:tcPr>
            <w:tcW w:w="0" w:type="auto"/>
          </w:tcPr>
          <w:p w14:paraId="787D757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MaxOmega</w:t>
            </w:r>
          </w:p>
        </w:tc>
        <w:tc>
          <w:tcPr>
            <w:tcW w:w="0" w:type="auto"/>
          </w:tcPr>
          <w:p w14:paraId="000FA1B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72BB6A0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+171,9</w:t>
            </w:r>
          </w:p>
        </w:tc>
        <w:tc>
          <w:tcPr>
            <w:tcW w:w="0" w:type="auto"/>
          </w:tcPr>
          <w:p w14:paraId="1ADE8C9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9,82</w:t>
            </w:r>
          </w:p>
        </w:tc>
        <w:tc>
          <w:tcPr>
            <w:tcW w:w="0" w:type="auto"/>
          </w:tcPr>
          <w:p w14:paraId="66C5725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21,21</w:t>
            </w:r>
          </w:p>
        </w:tc>
        <w:tc>
          <w:tcPr>
            <w:tcW w:w="0" w:type="auto"/>
          </w:tcPr>
          <w:p w14:paraId="3FC192B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0,111</w:t>
            </w:r>
          </w:p>
        </w:tc>
        <w:tc>
          <w:tcPr>
            <w:tcW w:w="0" w:type="auto"/>
          </w:tcPr>
          <w:p w14:paraId="00260EB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0,157</w:t>
            </w:r>
          </w:p>
        </w:tc>
        <w:tc>
          <w:tcPr>
            <w:tcW w:w="0" w:type="auto"/>
          </w:tcPr>
          <w:p w14:paraId="4F0E1CC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−30,61</w:t>
            </w:r>
          </w:p>
        </w:tc>
        <w:tc>
          <w:tcPr>
            <w:tcW w:w="0" w:type="auto"/>
          </w:tcPr>
          <w:p w14:paraId="6B71CF0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228,7</w:t>
            </w:r>
          </w:p>
        </w:tc>
      </w:tr>
      <w:tr w:rsidR="00F1611A" w:rsidRPr="001935B7" w14:paraId="2BA0E306" w14:textId="77777777">
        <w:tc>
          <w:tcPr>
            <w:tcW w:w="0" w:type="auto"/>
          </w:tcPr>
          <w:p w14:paraId="60F3CF9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InvVol</w:t>
            </w:r>
          </w:p>
        </w:tc>
        <w:tc>
          <w:tcPr>
            <w:tcW w:w="0" w:type="auto"/>
          </w:tcPr>
          <w:p w14:paraId="046F01E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31A81FE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+154,9</w:t>
            </w:r>
          </w:p>
        </w:tc>
        <w:tc>
          <w:tcPr>
            <w:tcW w:w="0" w:type="auto"/>
          </w:tcPr>
          <w:p w14:paraId="19DBE05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9,16</w:t>
            </w:r>
          </w:p>
        </w:tc>
        <w:tc>
          <w:tcPr>
            <w:tcW w:w="0" w:type="auto"/>
          </w:tcPr>
          <w:p w14:paraId="233A4F2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19,11</w:t>
            </w:r>
          </w:p>
        </w:tc>
        <w:tc>
          <w:tcPr>
            <w:tcW w:w="0" w:type="auto"/>
          </w:tcPr>
          <w:p w14:paraId="0EFAA9E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0,070</w:t>
            </w:r>
          </w:p>
        </w:tc>
        <w:tc>
          <w:tcPr>
            <w:tcW w:w="0" w:type="auto"/>
          </w:tcPr>
          <w:p w14:paraId="4155325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0,095</w:t>
            </w:r>
          </w:p>
        </w:tc>
        <w:tc>
          <w:tcPr>
            <w:tcW w:w="0" w:type="auto"/>
          </w:tcPr>
          <w:p w14:paraId="7C787C7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−37,35</w:t>
            </w:r>
          </w:p>
        </w:tc>
        <w:tc>
          <w:tcPr>
            <w:tcW w:w="0" w:type="auto"/>
          </w:tcPr>
          <w:p w14:paraId="354B7A5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84,4</w:t>
            </w:r>
          </w:p>
        </w:tc>
      </w:tr>
      <w:tr w:rsidR="00F1611A" w:rsidRPr="001935B7" w14:paraId="108AF9D7" w14:textId="77777777">
        <w:tc>
          <w:tcPr>
            <w:tcW w:w="0" w:type="auto"/>
          </w:tcPr>
          <w:p w14:paraId="5632365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EqualWeight</w:t>
            </w:r>
          </w:p>
        </w:tc>
        <w:tc>
          <w:tcPr>
            <w:tcW w:w="0" w:type="auto"/>
          </w:tcPr>
          <w:p w14:paraId="5F5BADA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5B21B7C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+85,7</w:t>
            </w:r>
          </w:p>
        </w:tc>
        <w:tc>
          <w:tcPr>
            <w:tcW w:w="0" w:type="auto"/>
          </w:tcPr>
          <w:p w14:paraId="379464E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5,97</w:t>
            </w:r>
          </w:p>
        </w:tc>
        <w:tc>
          <w:tcPr>
            <w:tcW w:w="0" w:type="auto"/>
          </w:tcPr>
          <w:p w14:paraId="52EEAA7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19,84</w:t>
            </w:r>
          </w:p>
        </w:tc>
        <w:tc>
          <w:tcPr>
            <w:tcW w:w="0" w:type="auto"/>
          </w:tcPr>
          <w:p w14:paraId="290E367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−0,075</w:t>
            </w:r>
          </w:p>
        </w:tc>
        <w:tc>
          <w:tcPr>
            <w:tcW w:w="0" w:type="auto"/>
          </w:tcPr>
          <w:p w14:paraId="214CB65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−0,102</w:t>
            </w:r>
          </w:p>
        </w:tc>
        <w:tc>
          <w:tcPr>
            <w:tcW w:w="0" w:type="auto"/>
          </w:tcPr>
          <w:p w14:paraId="16FC278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−41,97</w:t>
            </w:r>
          </w:p>
        </w:tc>
        <w:tc>
          <w:tcPr>
            <w:tcW w:w="0" w:type="auto"/>
          </w:tcPr>
          <w:p w14:paraId="6284826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90,7</w:t>
            </w:r>
          </w:p>
        </w:tc>
      </w:tr>
      <w:tr w:rsidR="00F1611A" w:rsidRPr="001935B7" w14:paraId="59FCB112" w14:textId="77777777">
        <w:tc>
          <w:tcPr>
            <w:tcW w:w="0" w:type="auto"/>
          </w:tcPr>
          <w:p w14:paraId="3E9F79D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MinCDaR</w:t>
            </w:r>
          </w:p>
        </w:tc>
        <w:tc>
          <w:tcPr>
            <w:tcW w:w="0" w:type="auto"/>
          </w:tcPr>
          <w:p w14:paraId="0711BA3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4E21C80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−17,2</w:t>
            </w:r>
          </w:p>
        </w:tc>
        <w:tc>
          <w:tcPr>
            <w:tcW w:w="0" w:type="auto"/>
          </w:tcPr>
          <w:p w14:paraId="01031AD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−1,75</w:t>
            </w:r>
          </w:p>
        </w:tc>
        <w:tc>
          <w:tcPr>
            <w:tcW w:w="0" w:type="auto"/>
          </w:tcPr>
          <w:p w14:paraId="6F299EB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21,09</w:t>
            </w:r>
          </w:p>
        </w:tc>
        <w:tc>
          <w:tcPr>
            <w:tcW w:w="0" w:type="auto"/>
          </w:tcPr>
          <w:p w14:paraId="2AB9DE6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−0,417</w:t>
            </w:r>
          </w:p>
        </w:tc>
        <w:tc>
          <w:tcPr>
            <w:tcW w:w="0" w:type="auto"/>
          </w:tcPr>
          <w:p w14:paraId="3796867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−0,565</w:t>
            </w:r>
          </w:p>
        </w:tc>
        <w:tc>
          <w:tcPr>
            <w:tcW w:w="0" w:type="auto"/>
          </w:tcPr>
          <w:p w14:paraId="24B143A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−81,81</w:t>
            </w:r>
          </w:p>
        </w:tc>
        <w:tc>
          <w:tcPr>
            <w:tcW w:w="0" w:type="auto"/>
          </w:tcPr>
          <w:p w14:paraId="3F7DD90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153,3</w:t>
            </w:r>
          </w:p>
        </w:tc>
      </w:tr>
    </w:tbl>
    <w:p w14:paraId="4E21E837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i/>
          <w:iCs/>
        </w:rPr>
        <w:t xml:space="preserve">Fonte: elaboração própria a partir de </w:t>
      </w:r>
      <w:r w:rsidRPr="001935B7">
        <w:rPr>
          <w:rStyle w:val="VerbatimChar"/>
          <w:rFonts w:ascii="Times New Roman" w:hAnsi="Times New Roman" w:cs="Times New Roman"/>
          <w:i/>
          <w:iCs/>
          <w:sz w:val="24"/>
        </w:rPr>
        <w:t>data/Estrategias/apendice_H_painel_metricas.csv</w:t>
      </w:r>
      <w:r w:rsidRPr="001935B7">
        <w:rPr>
          <w:rFonts w:ascii="Times New Roman" w:hAnsi="Times New Roman" w:cs="Times New Roman"/>
          <w:i/>
          <w:iCs/>
        </w:rPr>
        <w:t xml:space="preserve"> (CAGR, volatilidade, Sharpe, Sortino, Max. Drawdown) e </w:t>
      </w:r>
      <w:r w:rsidRPr="001935B7">
        <w:rPr>
          <w:rStyle w:val="VerbatimChar"/>
          <w:rFonts w:ascii="Times New Roman" w:hAnsi="Times New Roman" w:cs="Times New Roman"/>
          <w:i/>
          <w:iCs/>
          <w:sz w:val="24"/>
        </w:rPr>
        <w:t>data/Estrategias/desempenho_estrategias.csv</w:t>
      </w:r>
      <w:r w:rsidRPr="001935B7">
        <w:rPr>
          <w:rFonts w:ascii="Times New Roman" w:hAnsi="Times New Roman" w:cs="Times New Roman"/>
          <w:i/>
          <w:iCs/>
        </w:rPr>
        <w:t xml:space="preserve"> (turnover anualizado). Estratégias ordenadas por índice de Sharpe decrescente. Valores em negrito indicam o melhor desempenho da coluna. O CDI é a proxy da taxa livre de risco utilizada no cálculo dos excessos de retorno. </w:t>
      </w:r>
      <w:r w:rsidRPr="001935B7">
        <w:rPr>
          <w:rFonts w:ascii="Times New Roman" w:hAnsi="Times New Roman" w:cs="Times New Roman"/>
          <w:i/>
          <w:iCs/>
        </w:rPr>
        <w:lastRenderedPageBreak/>
        <w:t xml:space="preserve">O turnover é expresso em base anual (100% = renovação integral da carteira ao longo de um ano); a </w:t>
      </w:r>
      <w:r w:rsidRPr="001935B7">
        <w:rPr>
          <w:rStyle w:val="VerbatimChar"/>
          <w:rFonts w:ascii="Times New Roman" w:hAnsi="Times New Roman" w:cs="Times New Roman"/>
          <w:i/>
          <w:iCs/>
          <w:sz w:val="24"/>
        </w:rPr>
        <w:t>EqualWeight_BuyHold</w:t>
      </w:r>
      <w:r w:rsidRPr="001935B7">
        <w:rPr>
          <w:rFonts w:ascii="Times New Roman" w:hAnsi="Times New Roman" w:cs="Times New Roman"/>
          <w:i/>
          <w:iCs/>
        </w:rPr>
        <w:t>, por não rebalancear, apresenta turnover nulo.</w:t>
      </w:r>
    </w:p>
    <w:p w14:paraId="05D6564F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i/>
          <w:iCs/>
        </w:rPr>
        <w:t xml:space="preserve">† O retorno acumulado foi </w:t>
      </w:r>
      <w:r w:rsidRPr="001935B7">
        <w:rPr>
          <w:rFonts w:ascii="Times New Roman" w:hAnsi="Times New Roman" w:cs="Times New Roman"/>
          <w:b/>
          <w:bCs/>
          <w:i/>
          <w:iCs/>
        </w:rPr>
        <w:t>derivado do CAGR</w:t>
      </w:r>
      <w:r w:rsidRPr="001935B7">
        <w:rPr>
          <w:rFonts w:ascii="Times New Roman" w:hAnsi="Times New Roman" w:cs="Times New Roman"/>
          <w:i/>
          <w:iCs/>
        </w:rPr>
        <w:t xml:space="preserve"> sobre a janela de 2.690 pregões (≈10,67 anos = 2.690/252), assumindo capitalização geométrica; os valores devem ser substituídos pelos da coluna “Retorno Acumulado (%)” de </w:t>
      </w:r>
      <w:r w:rsidRPr="001935B7">
        <w:rPr>
          <w:rStyle w:val="VerbatimChar"/>
          <w:rFonts w:ascii="Times New Roman" w:hAnsi="Times New Roman" w:cs="Times New Roman"/>
          <w:i/>
          <w:iCs/>
          <w:sz w:val="24"/>
        </w:rPr>
        <w:t>apendice_H_painel_metricas.csv</w:t>
      </w:r>
      <w:r w:rsidRPr="001935B7">
        <w:rPr>
          <w:rFonts w:ascii="Times New Roman" w:hAnsi="Times New Roman" w:cs="Times New Roman"/>
          <w:i/>
          <w:iCs/>
        </w:rPr>
        <w:t xml:space="preserve"> na versão final, caso a convenção de anualização do artefato difira.</w:t>
      </w:r>
    </w:p>
    <w:p w14:paraId="0AB9BD64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9" w:name="hierarquia-de-desempenho"/>
      <w:r w:rsidRPr="001935B7">
        <w:rPr>
          <w:rFonts w:ascii="Times New Roman" w:hAnsi="Times New Roman" w:cs="Times New Roman"/>
        </w:rPr>
        <w:t>4.3.1. Hierarquia de Desempenho</w:t>
      </w:r>
    </w:p>
    <w:p w14:paraId="12A34AA5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 ordenamento por índice de Sharpe revela uma hierarquia que </w:t>
      </w:r>
      <w:r w:rsidRPr="001935B7">
        <w:rPr>
          <w:rFonts w:ascii="Times New Roman" w:hAnsi="Times New Roman" w:cs="Times New Roman"/>
          <w:b/>
          <w:bCs/>
        </w:rPr>
        <w:t>contraria a hipótese de superioridade incondicional das estratégias simples</w:t>
      </w:r>
      <w:r w:rsidRPr="001935B7">
        <w:rPr>
          <w:rFonts w:ascii="Times New Roman" w:hAnsi="Times New Roman" w:cs="Times New Roman"/>
        </w:rPr>
        <w:t xml:space="preserve">. As quatro primeiras posições ajustadas ao risco são ocupadas por três variantes Black-Litterman e pela carteira 1/N </w:t>
      </w:r>
      <w:r w:rsidRPr="001935B7">
        <w:rPr>
          <w:rFonts w:ascii="Times New Roman" w:hAnsi="Times New Roman" w:cs="Times New Roman"/>
          <w:i/>
          <w:iCs/>
        </w:rPr>
        <w:t>buy-and-hold</w:t>
      </w:r>
      <w:r w:rsidRPr="001935B7">
        <w:rPr>
          <w:rFonts w:ascii="Times New Roman" w:hAnsi="Times New Roman" w:cs="Times New Roman"/>
        </w:rPr>
        <w:t xml:space="preserve">; a família BL, em sua totalidade, supera todas as estratégias MPT e PMPT no critério de Sharpe. A mínima variância — apontada na literatura como a referência robusta — situa-se na </w:t>
      </w:r>
      <w:r w:rsidRPr="001935B7">
        <w:rPr>
          <w:rFonts w:ascii="Times New Roman" w:hAnsi="Times New Roman" w:cs="Times New Roman"/>
          <w:b/>
          <w:bCs/>
        </w:rPr>
        <w:t>metade inferior</w:t>
      </w:r>
      <w:r w:rsidRPr="001935B7">
        <w:rPr>
          <w:rFonts w:ascii="Times New Roman" w:hAnsi="Times New Roman" w:cs="Times New Roman"/>
        </w:rPr>
        <w:t xml:space="preserve"> do ranking (Sharpe 0,217), acima do IBOVESPA, porém abaixo de toda a família BL, da família de máxima utilidade e das estratégias PMPT de </w:t>
      </w:r>
      <w:r w:rsidRPr="001935B7">
        <w:rPr>
          <w:rFonts w:ascii="Times New Roman" w:hAnsi="Times New Roman" w:cs="Times New Roman"/>
          <w:i/>
          <w:iCs/>
        </w:rPr>
        <w:t>downside</w:t>
      </w:r>
      <w:r w:rsidRPr="001935B7">
        <w:rPr>
          <w:rFonts w:ascii="Times New Roman" w:hAnsi="Times New Roman" w:cs="Times New Roman"/>
        </w:rPr>
        <w:t>.</w:t>
      </w:r>
    </w:p>
    <w:p w14:paraId="1D7360F4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>No extremo oposto, os piores desempenhos não correspondem às estratégias mais sofisticadas, e sim a duas formulações específicas: a carteira 1/N rebalanceada (</w:t>
      </w:r>
      <w:r w:rsidRPr="001935B7">
        <w:rPr>
          <w:rStyle w:val="VerbatimChar"/>
          <w:rFonts w:ascii="Times New Roman" w:hAnsi="Times New Roman" w:cs="Times New Roman"/>
          <w:sz w:val="24"/>
        </w:rPr>
        <w:t>EqualWeight</w:t>
      </w:r>
      <w:r w:rsidRPr="001935B7">
        <w:rPr>
          <w:rFonts w:ascii="Times New Roman" w:hAnsi="Times New Roman" w:cs="Times New Roman"/>
        </w:rPr>
        <w:t>, Sharpe −0,075) e o mínimo CDaR (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, Sharpe −0,417). A coexistência, nas posições inferiores, de uma estratégia trivial e de uma estratégia complexa indica que </w:t>
      </w:r>
      <w:r w:rsidRPr="001935B7">
        <w:rPr>
          <w:rFonts w:ascii="Times New Roman" w:hAnsi="Times New Roman" w:cs="Times New Roman"/>
          <w:b/>
          <w:bCs/>
        </w:rPr>
        <w:t>o eixo determinante do desempenho não é a complexidade do modelo</w:t>
      </w:r>
      <w:r w:rsidRPr="001935B7">
        <w:rPr>
          <w:rFonts w:ascii="Times New Roman" w:hAnsi="Times New Roman" w:cs="Times New Roman"/>
        </w:rPr>
        <w:t>, mas sim a combinação de três fatores: a qualidade e a estabilidade do sinal de retorno utilizado, a presença de uma estrutura estabilizadora (prior de equilíbrio, teto de pesos) e a ausência de regimes degenerados de otimização.</w:t>
      </w:r>
    </w:p>
    <w:p w14:paraId="6E5B2F47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10" w:name="desempenho-relativo-ao-ibovespa"/>
      <w:bookmarkEnd w:id="9"/>
      <w:r w:rsidRPr="001935B7">
        <w:rPr>
          <w:rFonts w:ascii="Times New Roman" w:hAnsi="Times New Roman" w:cs="Times New Roman"/>
        </w:rPr>
        <w:t>4.3.2. Desempenho Relativo ao IBOVESPA</w:t>
      </w:r>
    </w:p>
    <w:p w14:paraId="3B31B14D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Treze das dezesseis estratégias superaram o índice passivo em termos de Sharpe. A superação é mais expressiva na família BL (Sharpe até 2,9 vezes o do IBOVESPA) e consistente em toda a família de máxima utilidade e nas estratégias PMPT de </w:t>
      </w:r>
      <w:r w:rsidRPr="001935B7">
        <w:rPr>
          <w:rFonts w:ascii="Times New Roman" w:hAnsi="Times New Roman" w:cs="Times New Roman"/>
          <w:i/>
          <w:iCs/>
        </w:rPr>
        <w:t>downside</w:t>
      </w:r>
      <w:r w:rsidRPr="001935B7">
        <w:rPr>
          <w:rFonts w:ascii="Times New Roman" w:hAnsi="Times New Roman" w:cs="Times New Roman"/>
        </w:rPr>
        <w:t xml:space="preserve">. As exceções — </w:t>
      </w:r>
      <w:r w:rsidRPr="001935B7">
        <w:rPr>
          <w:rStyle w:val="VerbatimChar"/>
          <w:rFonts w:ascii="Times New Roman" w:hAnsi="Times New Roman" w:cs="Times New Roman"/>
          <w:sz w:val="24"/>
        </w:rPr>
        <w:t>MaxOmega</w:t>
      </w:r>
      <w:r w:rsidRPr="001935B7">
        <w:rPr>
          <w:rFonts w:ascii="Times New Roman" w:hAnsi="Times New Roman" w:cs="Times New Roman"/>
        </w:rPr>
        <w:t xml:space="preserve">, </w:t>
      </w:r>
      <w:r w:rsidRPr="001935B7">
        <w:rPr>
          <w:rStyle w:val="VerbatimChar"/>
          <w:rFonts w:ascii="Times New Roman" w:hAnsi="Times New Roman" w:cs="Times New Roman"/>
          <w:sz w:val="24"/>
        </w:rPr>
        <w:t>InvVol</w:t>
      </w:r>
      <w:r w:rsidRPr="001935B7">
        <w:rPr>
          <w:rFonts w:ascii="Times New Roman" w:hAnsi="Times New Roman" w:cs="Times New Roman"/>
        </w:rPr>
        <w:t xml:space="preserve">, </w:t>
      </w:r>
      <w:r w:rsidRPr="001935B7">
        <w:rPr>
          <w:rStyle w:val="VerbatimChar"/>
          <w:rFonts w:ascii="Times New Roman" w:hAnsi="Times New Roman" w:cs="Times New Roman"/>
          <w:sz w:val="24"/>
        </w:rPr>
        <w:t>EqualWeight</w:t>
      </w:r>
      <w:r w:rsidRPr="001935B7">
        <w:rPr>
          <w:rFonts w:ascii="Times New Roman" w:hAnsi="Times New Roman" w:cs="Times New Roman"/>
        </w:rPr>
        <w:t xml:space="preserve"> e 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 — ficaram abaixo do </w:t>
      </w:r>
      <w:r w:rsidRPr="001935B7">
        <w:rPr>
          <w:rFonts w:ascii="Times New Roman" w:hAnsi="Times New Roman" w:cs="Times New Roman"/>
          <w:i/>
          <w:iCs/>
        </w:rPr>
        <w:t>benchmark</w:t>
      </w:r>
      <w:r w:rsidRPr="001935B7">
        <w:rPr>
          <w:rFonts w:ascii="Times New Roman" w:hAnsi="Times New Roman" w:cs="Times New Roman"/>
        </w:rPr>
        <w:t xml:space="preserve">. O resultado é coerente com Santos e Tessari (2012), que documentaram superioridade de estratégias quantitativas de otimização sobre o índice passivo no mercado brasileiro, sobretudo em cenários de alta volatilidade. Vale notar que o IBOVESPA, embora supere a maioria das </w:t>
      </w:r>
      <w:r w:rsidRPr="001935B7">
        <w:rPr>
          <w:rFonts w:ascii="Times New Roman" w:hAnsi="Times New Roman" w:cs="Times New Roman"/>
        </w:rPr>
        <w:lastRenderedPageBreak/>
        <w:t xml:space="preserve">estratégias em CAGR bruto entre os piores colocados, apresenta volatilidade (23,32%) e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(−46,82%) elevados, o que deprime seu índice de Sharpe.</w:t>
      </w:r>
    </w:p>
    <w:p w14:paraId="7C6BB035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11" w:name="o-efeito-do-teto-de-peso-variantes-c10"/>
      <w:bookmarkEnd w:id="10"/>
      <w:r w:rsidRPr="001935B7">
        <w:rPr>
          <w:rFonts w:ascii="Times New Roman" w:hAnsi="Times New Roman" w:cs="Times New Roman"/>
        </w:rPr>
        <w:t>4.3.3. O Efeito do Teto de Peso (Variantes c10)</w:t>
      </w:r>
    </w:p>
    <w:p w14:paraId="4A53EE45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comparação sistemática entre as estratégias plenas e suas versões com teto de 10% evidencia um </w:t>
      </w:r>
      <w:r w:rsidRPr="001935B7">
        <w:rPr>
          <w:rFonts w:ascii="Times New Roman" w:hAnsi="Times New Roman" w:cs="Times New Roman"/>
          <w:i/>
          <w:iCs/>
        </w:rPr>
        <w:t>trade-off</w:t>
      </w:r>
      <w:r w:rsidRPr="001935B7">
        <w:rPr>
          <w:rFonts w:ascii="Times New Roman" w:hAnsi="Times New Roman" w:cs="Times New Roman"/>
        </w:rPr>
        <w:t xml:space="preserve"> consistente entre retorno bruto e robustez. Nas estratégias já naturalmente diversificadas (mínima variância), o teto é praticamente inócuo. Nas estratégias concentradas pelo sinal de momentum (família BL), o teto atua como um </w:t>
      </w:r>
      <w:r w:rsidRPr="001935B7">
        <w:rPr>
          <w:rFonts w:ascii="Times New Roman" w:hAnsi="Times New Roman" w:cs="Times New Roman"/>
          <w:b/>
          <w:bCs/>
        </w:rPr>
        <w:t>mecanismo de contenção de risco de alta eficiência marginal</w:t>
      </w:r>
      <w:r w:rsidRPr="001935B7">
        <w:rPr>
          <w:rFonts w:ascii="Times New Roman" w:hAnsi="Times New Roman" w:cs="Times New Roman"/>
        </w:rPr>
        <w:t xml:space="preserve">: reduz volatilidade e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de forma significativa sacrificando pouco do desempenho ajustado ao risco. O teto reduz, adicionalmente, o </w:t>
      </w:r>
      <w:r w:rsidRPr="001935B7">
        <w:rPr>
          <w:rFonts w:ascii="Times New Roman" w:hAnsi="Times New Roman" w:cs="Times New Roman"/>
          <w:i/>
          <w:iCs/>
        </w:rPr>
        <w:t>turnover</w:t>
      </w:r>
      <w:r w:rsidRPr="001935B7">
        <w:rPr>
          <w:rFonts w:ascii="Times New Roman" w:hAnsi="Times New Roman" w:cs="Times New Roman"/>
        </w:rPr>
        <w:t xml:space="preserve"> — de 825% para 646% a.a. no caso clássico e de 990% para 781% a.a. na variante de </w:t>
      </w:r>
      <w:r w:rsidRPr="001935B7">
        <w:rPr>
          <w:rFonts w:ascii="Times New Roman" w:hAnsi="Times New Roman" w:cs="Times New Roman"/>
          <w:i/>
          <w:iCs/>
        </w:rPr>
        <w:t>downside</w:t>
      </w:r>
      <w:r w:rsidRPr="001935B7">
        <w:rPr>
          <w:rFonts w:ascii="Times New Roman" w:hAnsi="Times New Roman" w:cs="Times New Roman"/>
        </w:rPr>
        <w:t xml:space="preserve"> —, atenuando a fragilidade da família BL a custos de transação. Para fins de aplicação prática, as variantes </w:t>
      </w:r>
      <w:r w:rsidRPr="001935B7">
        <w:rPr>
          <w:rStyle w:val="VerbatimChar"/>
          <w:rFonts w:ascii="Times New Roman" w:hAnsi="Times New Roman" w:cs="Times New Roman"/>
          <w:sz w:val="24"/>
        </w:rPr>
        <w:t>c10</w:t>
      </w:r>
      <w:r w:rsidRPr="001935B7">
        <w:rPr>
          <w:rFonts w:ascii="Times New Roman" w:hAnsi="Times New Roman" w:cs="Times New Roman"/>
        </w:rPr>
        <w:t xml:space="preserve"> da família BL representam, portanto, um compromisso superior ao das versões plenas, ainda que estas detenham os recordes absolutos de retorno e Sharpe.</w:t>
      </w:r>
    </w:p>
    <w:p w14:paraId="10E8A137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X7c01679f08231000571481397de3e33f64fa8b6"/>
      <w:bookmarkEnd w:id="8"/>
      <w:bookmarkEnd w:id="11"/>
      <w:r w:rsidRPr="001935B7">
        <w:rPr>
          <w:rFonts w:ascii="Times New Roman" w:hAnsi="Times New Roman" w:cs="Times New Roman"/>
          <w:sz w:val="24"/>
          <w:szCs w:val="24"/>
        </w:rPr>
        <w:t>4.4. Discussão: Determinantes do Desempenho e Confronto com a Literatura</w:t>
      </w:r>
    </w:p>
    <w:p w14:paraId="477D6DC8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13" w:name="X9ae1bbd9d25b2e8dd0b9ab8a31867c5ee63fa26"/>
      <w:r w:rsidRPr="001935B7">
        <w:rPr>
          <w:rFonts w:ascii="Times New Roman" w:hAnsi="Times New Roman" w:cs="Times New Roman"/>
        </w:rPr>
        <w:t>4.4.1. O Papel do Sinal de Momentum no Black-Litterman</w:t>
      </w:r>
    </w:p>
    <w:p w14:paraId="31E97157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 melhor resultado do estudo — </w:t>
      </w:r>
      <w:r w:rsidRPr="001935B7">
        <w:rPr>
          <w:rStyle w:val="VerbatimChar"/>
          <w:rFonts w:ascii="Times New Roman" w:hAnsi="Times New Roman" w:cs="Times New Roman"/>
          <w:sz w:val="24"/>
        </w:rPr>
        <w:t>BL_classico</w:t>
      </w:r>
      <w:r w:rsidRPr="001935B7">
        <w:rPr>
          <w:rFonts w:ascii="Times New Roman" w:hAnsi="Times New Roman" w:cs="Times New Roman"/>
        </w:rPr>
        <w:t xml:space="preserve"> — combina um prior de equilíbrio de mercado, ancorado na covariância regularizada por Ledoit-Wolf (2004) e no portfólio de referência equiponderado, a uma visão de retorno derivada do fator de momentum 12-1. A superioridade dessa configuração sugere que, no mercado brasileiro do período analisado, o sinal de momentum carregou informação economicamente relevante, e que a estrutura bayesiana do Black-Litterman foi capaz de incorporá-la sem degenerar em alocações instáveis — graças à âncora de equilíbrio que limita o afastamento das visões em relação ao consenso de mercado. Esse achado dialoga com a evidência de persistência de momentum em mercados emergentes e contrasta com a leitura pessimista de Welch e Goyal (2008) sobre a previsibilidade de retornos: a diferença é que o momentum não pretende prever o retorno futuro de forma incondicional, mas apenas ordenar relativamente os ativos, tarefa para a qual a relação sinal-ruído é mais favorável.</w:t>
      </w:r>
    </w:p>
    <w:p w14:paraId="63ADEEB8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Ressalva importante: o poder preditivo das visões </w:t>
      </w:r>
      <w:r w:rsidRPr="001935B7">
        <w:rPr>
          <w:rFonts w:ascii="Times New Roman" w:hAnsi="Times New Roman" w:cs="Times New Roman"/>
          <w:b/>
          <w:bCs/>
        </w:rPr>
        <w:t>não foi formalmente validado</w:t>
      </w:r>
      <w:r w:rsidRPr="001935B7">
        <w:rPr>
          <w:rFonts w:ascii="Times New Roman" w:hAnsi="Times New Roman" w:cs="Times New Roman"/>
        </w:rPr>
        <w:t xml:space="preserve"> por </w:t>
      </w:r>
      <w:r w:rsidRPr="001935B7">
        <w:rPr>
          <w:rFonts w:ascii="Times New Roman" w:hAnsi="Times New Roman" w:cs="Times New Roman"/>
          <w:i/>
          <w:iCs/>
        </w:rPr>
        <w:t>backtesting</w:t>
      </w:r>
      <w:r w:rsidRPr="001935B7">
        <w:rPr>
          <w:rFonts w:ascii="Times New Roman" w:hAnsi="Times New Roman" w:cs="Times New Roman"/>
        </w:rPr>
        <w:t xml:space="preserve"> independente do sinal, e o elevado </w:t>
      </w:r>
      <w:r w:rsidRPr="001935B7">
        <w:rPr>
          <w:rFonts w:ascii="Times New Roman" w:hAnsi="Times New Roman" w:cs="Times New Roman"/>
          <w:i/>
          <w:iCs/>
        </w:rPr>
        <w:t>turnover</w:t>
      </w:r>
      <w:r w:rsidRPr="001935B7">
        <w:rPr>
          <w:rFonts w:ascii="Times New Roman" w:hAnsi="Times New Roman" w:cs="Times New Roman"/>
        </w:rPr>
        <w:t xml:space="preserve"> da família BL (entre 646% e 990% a.a.) implica forte sensibilidade a custos de transação não plenamente capturados pelo </w:t>
      </w:r>
      <w:r w:rsidRPr="001935B7">
        <w:rPr>
          <w:rFonts w:ascii="Times New Roman" w:hAnsi="Times New Roman" w:cs="Times New Roman"/>
        </w:rPr>
        <w:lastRenderedPageBreak/>
        <w:t>modelo de 50 bps. Ambos constituem limitações reconhecidas, retomadas na Seção de limitações.</w:t>
      </w:r>
    </w:p>
    <w:p w14:paraId="22ABFA10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14" w:name="a-robustez-da-mínima-variância"/>
      <w:bookmarkEnd w:id="13"/>
      <w:r w:rsidRPr="001935B7">
        <w:rPr>
          <w:rFonts w:ascii="Times New Roman" w:hAnsi="Times New Roman" w:cs="Times New Roman"/>
        </w:rPr>
        <w:t>4.4.2. A Robustez da Mínima Variância</w:t>
      </w:r>
    </w:p>
    <w:p w14:paraId="3AA4FCE6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mínima variância confirmou seu papel de </w:t>
      </w:r>
      <w:r w:rsidRPr="001935B7">
        <w:rPr>
          <w:rFonts w:ascii="Times New Roman" w:hAnsi="Times New Roman" w:cs="Times New Roman"/>
          <w:b/>
          <w:bCs/>
        </w:rPr>
        <w:t>referência de robustez</w:t>
      </w:r>
      <w:r w:rsidRPr="001935B7">
        <w:rPr>
          <w:rFonts w:ascii="Times New Roman" w:hAnsi="Times New Roman" w:cs="Times New Roman"/>
        </w:rPr>
        <w:t xml:space="preserve">: menor volatilidade e </w:t>
      </w:r>
      <w:r w:rsidRPr="001935B7">
        <w:rPr>
          <w:rFonts w:ascii="Times New Roman" w:hAnsi="Times New Roman" w:cs="Times New Roman"/>
          <w:i/>
          <w:iCs/>
        </w:rPr>
        <w:t>drawdowns</w:t>
      </w:r>
      <w:r w:rsidRPr="001935B7">
        <w:rPr>
          <w:rFonts w:ascii="Times New Roman" w:hAnsi="Times New Roman" w:cs="Times New Roman"/>
        </w:rPr>
        <w:t xml:space="preserve"> contidos, com Sharpe estável e positivo, sem depender de qualquer estimativa de retorno esperado. Seu desempenho corrobora a tese de Markowitz (1959), formalizada por DeMiguel et al. (2009), de que a estimação confiável da covariância é mais factível do que a do vetor de retornos. O fato de não ter liderado o ranking — sendo superada pela família BL — não contradiz esse argumento: a mínima variância otimiza risco, não retorno; sua função no estudo é a de piso seguro de desempenho, e não a de maximizadora de resultado.</w:t>
      </w:r>
    </w:p>
    <w:p w14:paraId="6686C929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15" w:name="o-caso-de-degeneração-do-mínimo-cdar"/>
      <w:bookmarkEnd w:id="14"/>
      <w:r w:rsidRPr="001935B7">
        <w:rPr>
          <w:rFonts w:ascii="Times New Roman" w:hAnsi="Times New Roman" w:cs="Times New Roman"/>
        </w:rPr>
        <w:t>4.4.3. O Caso de Degeneração do Mínimo CDaR</w:t>
      </w:r>
    </w:p>
    <w:p w14:paraId="5BE02048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 desempenho catastrófico do 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 (CAGR −1,75%;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−81,81%) merece análise específica. O </w:t>
      </w:r>
      <w:r w:rsidRPr="001935B7">
        <w:rPr>
          <w:rFonts w:ascii="Times New Roman" w:hAnsi="Times New Roman" w:cs="Times New Roman"/>
          <w:i/>
          <w:iCs/>
        </w:rPr>
        <w:t>Conditional Drawdown at Risk</w:t>
      </w:r>
      <w:r w:rsidRPr="001935B7">
        <w:rPr>
          <w:rFonts w:ascii="Times New Roman" w:hAnsi="Times New Roman" w:cs="Times New Roman"/>
        </w:rPr>
        <w:t xml:space="preserve"> penaliza perdas acumuladas dependentes da trajetória, formuladas como um problema de programação linear. Em horizontes longos marcados por múltiplos choques (2015–2016, 2020, 2022) e em regime de janela expansiva, essa formulação tende a produzir soluções degeneradas — concentração em poucos ativos ou alocações instáveis entre rebalanceamentos — quando a distribuição histórica passa a ser dominada por um número reduzido de eventos extremos. O resultado evidencia que a sofisticação do objetivo de risco, desacompanhada de estrutura estabilizadora, pode ser contraproducente, e ilustra empiricamente os limites das métricas de risco dependentes da trajetória neste universo.</w:t>
      </w:r>
    </w:p>
    <w:p w14:paraId="404343B2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16" w:name="X45bdd5a764055426a2da831f876ac80b5bca68d"/>
      <w:bookmarkEnd w:id="15"/>
      <w:r w:rsidRPr="001935B7">
        <w:rPr>
          <w:rFonts w:ascii="Times New Roman" w:hAnsi="Times New Roman" w:cs="Times New Roman"/>
        </w:rPr>
        <w:t>4.4.4. O Custo do Rebalanceamento e o Paradoxo do 1/N</w:t>
      </w:r>
    </w:p>
    <w:p w14:paraId="6F88DFD3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diferença de quase 10 pontos percentuais de CAGR entre a carteira 1/N </w:t>
      </w:r>
      <w:r w:rsidRPr="001935B7">
        <w:rPr>
          <w:rFonts w:ascii="Times New Roman" w:hAnsi="Times New Roman" w:cs="Times New Roman"/>
          <w:i/>
          <w:iCs/>
        </w:rPr>
        <w:t>buy-and-hold</w:t>
      </w:r>
      <w:r w:rsidRPr="001935B7">
        <w:rPr>
          <w:rFonts w:ascii="Times New Roman" w:hAnsi="Times New Roman" w:cs="Times New Roman"/>
        </w:rPr>
        <w:t xml:space="preserve"> (15,71%) e a 1/N rebalanceada mensalmente (5,97%) documenta o impacto material do custo de fricção. A versão </w:t>
      </w:r>
      <w:r w:rsidRPr="001935B7">
        <w:rPr>
          <w:rFonts w:ascii="Times New Roman" w:hAnsi="Times New Roman" w:cs="Times New Roman"/>
          <w:i/>
          <w:iCs/>
        </w:rPr>
        <w:t>buy-and-hold</w:t>
      </w:r>
      <w:r w:rsidRPr="001935B7">
        <w:rPr>
          <w:rFonts w:ascii="Times New Roman" w:hAnsi="Times New Roman" w:cs="Times New Roman"/>
        </w:rPr>
        <w:t xml:space="preserve"> beneficia-se ainda do efeito de deriva natural dos pesos, em que ativos vencedores ganham participação ao longo do tempo. O achado reposiciona o “paradoxo do 1/N” de DeMiguel et al. (2009) no contexto brasileiro: a dificuldade de superar a carteira ingênua refere-se à sua versão de baixa rotatividade; quando o 1/N é rebalanceado a custo não desprezível, várias estratégias de otimização — em especial as da família BL — o superam de forma consistente.</w:t>
      </w:r>
    </w:p>
    <w:p w14:paraId="70FF8B86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17" w:name="síntese"/>
      <w:bookmarkEnd w:id="16"/>
      <w:r w:rsidRPr="001935B7">
        <w:rPr>
          <w:rFonts w:ascii="Times New Roman" w:hAnsi="Times New Roman" w:cs="Times New Roman"/>
        </w:rPr>
        <w:lastRenderedPageBreak/>
        <w:t>4.4.5. Síntese</w:t>
      </w:r>
    </w:p>
    <w:p w14:paraId="169886D9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Em resposta à questão de pesquisa, os resultados indicam que, no mercado acionário brasileiro entre 2015 e 2025, </w:t>
      </w:r>
      <w:r w:rsidRPr="001935B7">
        <w:rPr>
          <w:rFonts w:ascii="Times New Roman" w:hAnsi="Times New Roman" w:cs="Times New Roman"/>
          <w:b/>
          <w:bCs/>
        </w:rPr>
        <w:t>não houve superioridade incondicional de simplicidade nem de sofisticação</w:t>
      </w:r>
      <w:r w:rsidRPr="001935B7">
        <w:rPr>
          <w:rFonts w:ascii="Times New Roman" w:hAnsi="Times New Roman" w:cs="Times New Roman"/>
        </w:rPr>
        <w:t xml:space="preserve">; o desempenho </w:t>
      </w:r>
      <w:r w:rsidRPr="001935B7">
        <w:rPr>
          <w:rFonts w:ascii="Times New Roman" w:hAnsi="Times New Roman" w:cs="Times New Roman"/>
          <w:i/>
          <w:iCs/>
        </w:rPr>
        <w:t>out-of-sample</w:t>
      </w:r>
      <w:r w:rsidRPr="001935B7">
        <w:rPr>
          <w:rFonts w:ascii="Times New Roman" w:hAnsi="Times New Roman" w:cs="Times New Roman"/>
        </w:rPr>
        <w:t xml:space="preserve"> foi determinado pela qualidade do sinal de retorno e pela presença de estruturas estabilizadoras. A combinação mais eficaz uniu um prior de equilíbrio a uma visão de momentum disciplinada (Black-Litterman), enquanto a contenção de pesos (variantes </w:t>
      </w:r>
      <w:r w:rsidRPr="001935B7">
        <w:rPr>
          <w:rStyle w:val="VerbatimChar"/>
          <w:rFonts w:ascii="Times New Roman" w:hAnsi="Times New Roman" w:cs="Times New Roman"/>
          <w:sz w:val="24"/>
        </w:rPr>
        <w:t>c10</w:t>
      </w:r>
      <w:r w:rsidRPr="001935B7">
        <w:rPr>
          <w:rFonts w:ascii="Times New Roman" w:hAnsi="Times New Roman" w:cs="Times New Roman"/>
        </w:rPr>
        <w:t xml:space="preserve">) converteu retorno bruto em perfil de risco mais defensável. A mínima variância confirmou-se como alternativa robusta de menor risco, e os casos de 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 e da carteira 1/N rebalanceada delimitaram, por contraste, as condições sob as quais a otimização destrói valor.</w:t>
      </w:r>
    </w:p>
    <w:p w14:paraId="7479ED59" w14:textId="77777777" w:rsidR="00F1611A" w:rsidRPr="001935B7" w:rsidRDefault="00000000" w:rsidP="001935B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pict w14:anchorId="281BE5F1">
          <v:rect id="_x0000_i1025" style="width:0;height:1.5pt" o:hralign="center" o:hrstd="t" o:hr="t"/>
        </w:pict>
      </w:r>
    </w:p>
    <w:p w14:paraId="04936A38" w14:textId="77777777" w:rsidR="00F1611A" w:rsidRPr="001935B7" w:rsidRDefault="00000000" w:rsidP="001935B7">
      <w:pPr>
        <w:pStyle w:val="Textoembloc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Nota editorial (remover antes da entrega).</w:t>
      </w:r>
      <w:r w:rsidRPr="001935B7">
        <w:rPr>
          <w:rFonts w:ascii="Times New Roman" w:hAnsi="Times New Roman" w:cs="Times New Roman"/>
        </w:rPr>
        <w:t xml:space="preserve"> Capítulo 5 reescrito para alinhar-se aos resultados reais do pipeline (artefatos </w:t>
      </w:r>
      <w:r w:rsidRPr="001935B7">
        <w:rPr>
          <w:rStyle w:val="VerbatimChar"/>
          <w:rFonts w:ascii="Times New Roman" w:hAnsi="Times New Roman" w:cs="Times New Roman"/>
          <w:sz w:val="24"/>
        </w:rPr>
        <w:t>apendice_H_painel_metricas.csv</w:t>
      </w:r>
      <w:r w:rsidRPr="001935B7">
        <w:rPr>
          <w:rFonts w:ascii="Times New Roman" w:hAnsi="Times New Roman" w:cs="Times New Roman"/>
        </w:rPr>
        <w:t xml:space="preserve"> e </w:t>
      </w:r>
      <w:r w:rsidRPr="001935B7">
        <w:rPr>
          <w:rStyle w:val="VerbatimChar"/>
          <w:rFonts w:ascii="Times New Roman" w:hAnsi="Times New Roman" w:cs="Times New Roman"/>
          <w:sz w:val="24"/>
        </w:rPr>
        <w:t>desempenho_estrategias.csv</w:t>
      </w:r>
      <w:r w:rsidRPr="001935B7">
        <w:rPr>
          <w:rFonts w:ascii="Times New Roman" w:hAnsi="Times New Roman" w:cs="Times New Roman"/>
        </w:rPr>
        <w:t xml:space="preserve">). A tese anterior — “paradoxo da complexidade”, em que o Black-Litterman + LSTM destruiria valor e a mínima variância venceria — foi substituída pela leitura que os dados efetivamente sustentam: o Black-Litterman com visões de momentum 12-1 é o melhor desempenho ajustado ao risco, a mínima variância é robusta mas não dominante, e os fracassos concentram-se no 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 e na carteira 1/N rebalanceada. LSTM e ARIMA foram reposicionados como trabalho futuro (não implementados neste estudo).</w:t>
      </w:r>
    </w:p>
    <w:p w14:paraId="265E95A0" w14:textId="77777777" w:rsidR="00F1611A" w:rsidRPr="001935B7" w:rsidRDefault="00000000" w:rsidP="001935B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pict w14:anchorId="515122FF">
          <v:rect id="_x0000_i1026" style="width:0;height:1.5pt" o:hralign="center" o:hrstd="t" o:hr="t"/>
        </w:pict>
      </w:r>
    </w:p>
    <w:p w14:paraId="159EE635" w14:textId="77777777" w:rsidR="00F1611A" w:rsidRPr="001935B7" w:rsidRDefault="00000000" w:rsidP="001935B7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conclusão"/>
      <w:bookmarkEnd w:id="1"/>
      <w:bookmarkEnd w:id="12"/>
      <w:bookmarkEnd w:id="17"/>
      <w:r w:rsidRPr="001935B7">
        <w:rPr>
          <w:rFonts w:ascii="Times New Roman" w:hAnsi="Times New Roman" w:cs="Times New Roman"/>
          <w:sz w:val="24"/>
          <w:szCs w:val="24"/>
        </w:rPr>
        <w:t>5. CONCLUSÃO</w:t>
      </w:r>
    </w:p>
    <w:p w14:paraId="0BF232E2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retomada-da-questão-de-pesquisa"/>
      <w:r w:rsidRPr="001935B7">
        <w:rPr>
          <w:rFonts w:ascii="Times New Roman" w:hAnsi="Times New Roman" w:cs="Times New Roman"/>
          <w:sz w:val="24"/>
          <w:szCs w:val="24"/>
        </w:rPr>
        <w:t>5.1. Retomada da Questão de Pesquisa</w:t>
      </w:r>
    </w:p>
    <w:p w14:paraId="6596C158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Este trabalho partiu da seguinte questão central: qual a eficácia comparativa de carteiras construídas sob as óticas da Teoria Moderna do Portfólio (MPT), da Teoria Pós-Moderna do Portfólio (PMPT) e do modelo de Black-Litterman (BL), quando combinadas a diferentes métodos de estimação de </w:t>
      </w:r>
      <w:r w:rsidRPr="001935B7">
        <w:rPr>
          <w:rFonts w:ascii="Times New Roman" w:hAnsi="Times New Roman" w:cs="Times New Roman"/>
          <w:i/>
          <w:iCs/>
        </w:rPr>
        <w:t>inputs</w:t>
      </w:r>
      <w:r w:rsidRPr="001935B7">
        <w:rPr>
          <w:rFonts w:ascii="Times New Roman" w:hAnsi="Times New Roman" w:cs="Times New Roman"/>
        </w:rPr>
        <w:t>, no mercado acionário brasileiro?</w:t>
      </w:r>
    </w:p>
    <w:p w14:paraId="6384447A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Para respondê-la, foram implementadas e avaliadas </w:t>
      </w:r>
      <w:r w:rsidRPr="001935B7">
        <w:rPr>
          <w:rFonts w:ascii="Times New Roman" w:hAnsi="Times New Roman" w:cs="Times New Roman"/>
          <w:b/>
          <w:bCs/>
        </w:rPr>
        <w:t>16 estratégias de alocação</w:t>
      </w:r>
      <w:r w:rsidRPr="001935B7">
        <w:rPr>
          <w:rFonts w:ascii="Times New Roman" w:hAnsi="Times New Roman" w:cs="Times New Roman"/>
        </w:rPr>
        <w:t xml:space="preserve"> sobre um universo de </w:t>
      </w:r>
      <w:r w:rsidRPr="001935B7">
        <w:rPr>
          <w:rFonts w:ascii="Times New Roman" w:hAnsi="Times New Roman" w:cs="Times New Roman"/>
          <w:b/>
          <w:bCs/>
        </w:rPr>
        <w:t>118 ações</w:t>
      </w:r>
      <w:r w:rsidRPr="001935B7">
        <w:rPr>
          <w:rFonts w:ascii="Times New Roman" w:hAnsi="Times New Roman" w:cs="Times New Roman"/>
        </w:rPr>
        <w:t xml:space="preserve"> da B3 com série histórica completa entre 2010 e 2025, em protocolo rigoroso de </w:t>
      </w:r>
      <w:r w:rsidRPr="001935B7">
        <w:rPr>
          <w:rFonts w:ascii="Times New Roman" w:hAnsi="Times New Roman" w:cs="Times New Roman"/>
          <w:i/>
          <w:iCs/>
        </w:rPr>
        <w:t>backtesting out-of-sample</w:t>
      </w:r>
      <w:r w:rsidRPr="001935B7">
        <w:rPr>
          <w:rFonts w:ascii="Times New Roman" w:hAnsi="Times New Roman" w:cs="Times New Roman"/>
        </w:rPr>
        <w:t xml:space="preserve"> (OOS) que cobre 2.690 pregões entre março de 2015 e dezembro de 2025, com rebalanceamento mensal e custo transacional de 50 </w:t>
      </w:r>
      <w:r w:rsidRPr="001935B7">
        <w:rPr>
          <w:rFonts w:ascii="Times New Roman" w:hAnsi="Times New Roman" w:cs="Times New Roman"/>
          <w:i/>
          <w:iCs/>
        </w:rPr>
        <w:t>basis points</w:t>
      </w:r>
      <w:r w:rsidRPr="001935B7">
        <w:rPr>
          <w:rFonts w:ascii="Times New Roman" w:hAnsi="Times New Roman" w:cs="Times New Roman"/>
        </w:rPr>
        <w:t xml:space="preserve"> </w:t>
      </w:r>
      <w:r w:rsidRPr="001935B7">
        <w:rPr>
          <w:rFonts w:ascii="Times New Roman" w:hAnsi="Times New Roman" w:cs="Times New Roman"/>
        </w:rPr>
        <w:lastRenderedPageBreak/>
        <w:t xml:space="preserve">sobre o giro. As estratégias distribuem-se em três famílias: seis da MPT (incluindo as carteiras ingênuas 1/N e de paridade de volatilidade, além de mínima variância e máxima utilidade), cinco da PMPT (Ômega, Sortino, Kappa-3, CVaR e CDaR) e quatro do Black-Litterman, estas alimentadas por visões absolutas de retorno geradas pelo fator de </w:t>
      </w:r>
      <w:r w:rsidRPr="001935B7">
        <w:rPr>
          <w:rFonts w:ascii="Times New Roman" w:hAnsi="Times New Roman" w:cs="Times New Roman"/>
          <w:b/>
          <w:bCs/>
        </w:rPr>
        <w:t>momentum de 12 meses com exclusão do mês mais recente (momentum 12-1)</w:t>
      </w:r>
      <w:r w:rsidRPr="001935B7">
        <w:rPr>
          <w:rFonts w:ascii="Times New Roman" w:hAnsi="Times New Roman" w:cs="Times New Roman"/>
        </w:rPr>
        <w:t xml:space="preserve">. O IBOVESPA e o CDI serviram, respectivamente, como </w:t>
      </w:r>
      <w:r w:rsidRPr="001935B7">
        <w:rPr>
          <w:rFonts w:ascii="Times New Roman" w:hAnsi="Times New Roman" w:cs="Times New Roman"/>
          <w:i/>
          <w:iCs/>
        </w:rPr>
        <w:t>benchmark</w:t>
      </w:r>
      <w:r w:rsidRPr="001935B7">
        <w:rPr>
          <w:rFonts w:ascii="Times New Roman" w:hAnsi="Times New Roman" w:cs="Times New Roman"/>
        </w:rPr>
        <w:t xml:space="preserve"> de mercado e proxy da taxa livre de risco.</w:t>
      </w:r>
    </w:p>
    <w:p w14:paraId="6443F1A8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0" w:name="síntese-dos-resultados"/>
      <w:bookmarkEnd w:id="19"/>
      <w:r w:rsidRPr="001935B7">
        <w:rPr>
          <w:rFonts w:ascii="Times New Roman" w:hAnsi="Times New Roman" w:cs="Times New Roman"/>
          <w:sz w:val="24"/>
          <w:szCs w:val="24"/>
        </w:rPr>
        <w:t>5.2. Síntese dos Resultados</w:t>
      </w:r>
    </w:p>
    <w:p w14:paraId="1D9AA51B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>A Tabela 12 sintetiza os achados centrais do estudo, ordenados por índice de Sharpe.</w:t>
      </w:r>
    </w:p>
    <w:p w14:paraId="50BCC5F0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Tabela 12 — Síntese Comparativa do Desempenho Out-of-Sample (2015–2025)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05"/>
        <w:gridCol w:w="993"/>
        <w:gridCol w:w="1513"/>
        <w:gridCol w:w="892"/>
        <w:gridCol w:w="1416"/>
        <w:gridCol w:w="1219"/>
      </w:tblGrid>
      <w:tr w:rsidR="00F1611A" w:rsidRPr="001935B7" w14:paraId="56971FDA" w14:textId="77777777" w:rsidTr="00F161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026CD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Estratégia</w:t>
            </w:r>
          </w:p>
        </w:tc>
        <w:tc>
          <w:tcPr>
            <w:tcW w:w="0" w:type="auto"/>
          </w:tcPr>
          <w:p w14:paraId="7915659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CAGR (% a.a.)</w:t>
            </w:r>
          </w:p>
        </w:tc>
        <w:tc>
          <w:tcPr>
            <w:tcW w:w="0" w:type="auto"/>
          </w:tcPr>
          <w:p w14:paraId="44E73FC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Volatilidade (% a.a.)</w:t>
            </w:r>
          </w:p>
        </w:tc>
        <w:tc>
          <w:tcPr>
            <w:tcW w:w="0" w:type="auto"/>
          </w:tcPr>
          <w:p w14:paraId="76867AC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Sharpe</w:t>
            </w:r>
          </w:p>
        </w:tc>
        <w:tc>
          <w:tcPr>
            <w:tcW w:w="0" w:type="auto"/>
          </w:tcPr>
          <w:p w14:paraId="2020003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Max. Drawdown (%)</w:t>
            </w:r>
          </w:p>
        </w:tc>
        <w:tc>
          <w:tcPr>
            <w:tcW w:w="0" w:type="auto"/>
          </w:tcPr>
          <w:p w14:paraId="06B4867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Turnover (% a.a.)</w:t>
            </w:r>
          </w:p>
        </w:tc>
      </w:tr>
      <w:tr w:rsidR="00F1611A" w:rsidRPr="001935B7" w14:paraId="0B5E8FBB" w14:textId="77777777">
        <w:tc>
          <w:tcPr>
            <w:tcW w:w="0" w:type="auto"/>
          </w:tcPr>
          <w:p w14:paraId="7EADD6D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BL_classico (BL, momentum)</w:t>
            </w:r>
          </w:p>
        </w:tc>
        <w:tc>
          <w:tcPr>
            <w:tcW w:w="0" w:type="auto"/>
          </w:tcPr>
          <w:p w14:paraId="6E18F95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21,12</w:t>
            </w:r>
          </w:p>
        </w:tc>
        <w:tc>
          <w:tcPr>
            <w:tcW w:w="0" w:type="auto"/>
          </w:tcPr>
          <w:p w14:paraId="4F22274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25,99</w:t>
            </w:r>
          </w:p>
        </w:tc>
        <w:tc>
          <w:tcPr>
            <w:tcW w:w="0" w:type="auto"/>
          </w:tcPr>
          <w:p w14:paraId="6C4A33F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0,511</w:t>
            </w:r>
          </w:p>
        </w:tc>
        <w:tc>
          <w:tcPr>
            <w:tcW w:w="0" w:type="auto"/>
          </w:tcPr>
          <w:p w14:paraId="75B9AFF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−43,78</w:t>
            </w:r>
          </w:p>
        </w:tc>
        <w:tc>
          <w:tcPr>
            <w:tcW w:w="0" w:type="auto"/>
          </w:tcPr>
          <w:p w14:paraId="6FA0EAD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824,9</w:t>
            </w:r>
          </w:p>
        </w:tc>
      </w:tr>
      <w:tr w:rsidR="00F1611A" w:rsidRPr="001935B7" w14:paraId="6B587394" w14:textId="77777777">
        <w:tc>
          <w:tcPr>
            <w:tcW w:w="0" w:type="auto"/>
          </w:tcPr>
          <w:p w14:paraId="45BCA70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BL_classico_c10</w:t>
            </w:r>
          </w:p>
        </w:tc>
        <w:tc>
          <w:tcPr>
            <w:tcW w:w="0" w:type="auto"/>
          </w:tcPr>
          <w:p w14:paraId="7160132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17,99</w:t>
            </w:r>
          </w:p>
        </w:tc>
        <w:tc>
          <w:tcPr>
            <w:tcW w:w="0" w:type="auto"/>
          </w:tcPr>
          <w:p w14:paraId="0DCAA83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20,30</w:t>
            </w:r>
          </w:p>
        </w:tc>
        <w:tc>
          <w:tcPr>
            <w:tcW w:w="0" w:type="auto"/>
          </w:tcPr>
          <w:p w14:paraId="32A3132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0,460</w:t>
            </w:r>
          </w:p>
        </w:tc>
        <w:tc>
          <w:tcPr>
            <w:tcW w:w="0" w:type="auto"/>
          </w:tcPr>
          <w:p w14:paraId="35219CB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−34,33</w:t>
            </w:r>
          </w:p>
        </w:tc>
        <w:tc>
          <w:tcPr>
            <w:tcW w:w="0" w:type="auto"/>
          </w:tcPr>
          <w:p w14:paraId="658646D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646,5</w:t>
            </w:r>
          </w:p>
        </w:tc>
      </w:tr>
      <w:tr w:rsidR="00F1611A" w:rsidRPr="001935B7" w14:paraId="19FA28EE" w14:textId="77777777">
        <w:tc>
          <w:tcPr>
            <w:tcW w:w="0" w:type="auto"/>
          </w:tcPr>
          <w:p w14:paraId="3B56EDE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BL_downside</w:t>
            </w:r>
          </w:p>
        </w:tc>
        <w:tc>
          <w:tcPr>
            <w:tcW w:w="0" w:type="auto"/>
          </w:tcPr>
          <w:p w14:paraId="10F26C0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20,66</w:t>
            </w:r>
          </w:p>
        </w:tc>
        <w:tc>
          <w:tcPr>
            <w:tcW w:w="0" w:type="auto"/>
          </w:tcPr>
          <w:p w14:paraId="3F25F9B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32,36</w:t>
            </w:r>
          </w:p>
        </w:tc>
        <w:tc>
          <w:tcPr>
            <w:tcW w:w="0" w:type="auto"/>
          </w:tcPr>
          <w:p w14:paraId="2EEABB4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0,456</w:t>
            </w:r>
          </w:p>
        </w:tc>
        <w:tc>
          <w:tcPr>
            <w:tcW w:w="0" w:type="auto"/>
          </w:tcPr>
          <w:p w14:paraId="7E1F50A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−59,82</w:t>
            </w:r>
          </w:p>
        </w:tc>
        <w:tc>
          <w:tcPr>
            <w:tcW w:w="0" w:type="auto"/>
          </w:tcPr>
          <w:p w14:paraId="126724C4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990,2</w:t>
            </w:r>
          </w:p>
        </w:tc>
      </w:tr>
      <w:tr w:rsidR="00F1611A" w:rsidRPr="001935B7" w14:paraId="2E3B4F60" w14:textId="77777777">
        <w:tc>
          <w:tcPr>
            <w:tcW w:w="0" w:type="auto"/>
          </w:tcPr>
          <w:p w14:paraId="2D00EF0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EqualWeight_BuyHold (1/N comprar-e-manter)</w:t>
            </w:r>
          </w:p>
        </w:tc>
        <w:tc>
          <w:tcPr>
            <w:tcW w:w="0" w:type="auto"/>
          </w:tcPr>
          <w:p w14:paraId="17DDCA3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15,71</w:t>
            </w:r>
          </w:p>
        </w:tc>
        <w:tc>
          <w:tcPr>
            <w:tcW w:w="0" w:type="auto"/>
          </w:tcPr>
          <w:p w14:paraId="32A3531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19,30</w:t>
            </w:r>
          </w:p>
        </w:tc>
        <w:tc>
          <w:tcPr>
            <w:tcW w:w="0" w:type="auto"/>
          </w:tcPr>
          <w:p w14:paraId="3EB721D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0,372</w:t>
            </w:r>
          </w:p>
        </w:tc>
        <w:tc>
          <w:tcPr>
            <w:tcW w:w="0" w:type="auto"/>
          </w:tcPr>
          <w:p w14:paraId="1299634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−34,50</w:t>
            </w:r>
          </w:p>
        </w:tc>
        <w:tc>
          <w:tcPr>
            <w:tcW w:w="0" w:type="auto"/>
          </w:tcPr>
          <w:p w14:paraId="2182B3E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0,0</w:t>
            </w:r>
          </w:p>
        </w:tc>
      </w:tr>
      <w:tr w:rsidR="00F1611A" w:rsidRPr="001935B7" w14:paraId="4E87681C" w14:textId="77777777">
        <w:tc>
          <w:tcPr>
            <w:tcW w:w="0" w:type="auto"/>
          </w:tcPr>
          <w:p w14:paraId="3460D5C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MaxSharpe (máxima utilidade)</w:t>
            </w:r>
          </w:p>
        </w:tc>
        <w:tc>
          <w:tcPr>
            <w:tcW w:w="0" w:type="auto"/>
          </w:tcPr>
          <w:p w14:paraId="01F67DE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13,60</w:t>
            </w:r>
          </w:p>
        </w:tc>
        <w:tc>
          <w:tcPr>
            <w:tcW w:w="0" w:type="auto"/>
          </w:tcPr>
          <w:p w14:paraId="6848C063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17,53</w:t>
            </w:r>
          </w:p>
        </w:tc>
        <w:tc>
          <w:tcPr>
            <w:tcW w:w="0" w:type="auto"/>
          </w:tcPr>
          <w:p w14:paraId="4A097C05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0,287</w:t>
            </w:r>
          </w:p>
        </w:tc>
        <w:tc>
          <w:tcPr>
            <w:tcW w:w="0" w:type="auto"/>
          </w:tcPr>
          <w:p w14:paraId="68E7A56E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−22,76</w:t>
            </w:r>
          </w:p>
        </w:tc>
        <w:tc>
          <w:tcPr>
            <w:tcW w:w="0" w:type="auto"/>
          </w:tcPr>
          <w:p w14:paraId="19C2501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122,4</w:t>
            </w:r>
          </w:p>
        </w:tc>
      </w:tr>
      <w:tr w:rsidR="00F1611A" w:rsidRPr="001935B7" w14:paraId="4BF3CE64" w14:textId="77777777">
        <w:tc>
          <w:tcPr>
            <w:tcW w:w="0" w:type="auto"/>
          </w:tcPr>
          <w:p w14:paraId="3BB1C74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MinVar (mínima variância)</w:t>
            </w:r>
          </w:p>
        </w:tc>
        <w:tc>
          <w:tcPr>
            <w:tcW w:w="0" w:type="auto"/>
          </w:tcPr>
          <w:p w14:paraId="2E369EC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11,89</w:t>
            </w:r>
          </w:p>
        </w:tc>
        <w:tc>
          <w:tcPr>
            <w:tcW w:w="0" w:type="auto"/>
          </w:tcPr>
          <w:p w14:paraId="0074E8D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12,96</w:t>
            </w:r>
          </w:p>
        </w:tc>
        <w:tc>
          <w:tcPr>
            <w:tcW w:w="0" w:type="auto"/>
          </w:tcPr>
          <w:p w14:paraId="2014753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0,217</w:t>
            </w:r>
          </w:p>
        </w:tc>
        <w:tc>
          <w:tcPr>
            <w:tcW w:w="0" w:type="auto"/>
          </w:tcPr>
          <w:p w14:paraId="4BE0956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−25,62</w:t>
            </w:r>
          </w:p>
        </w:tc>
        <w:tc>
          <w:tcPr>
            <w:tcW w:w="0" w:type="auto"/>
          </w:tcPr>
          <w:p w14:paraId="01D10D3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80,9</w:t>
            </w:r>
          </w:p>
        </w:tc>
      </w:tr>
      <w:tr w:rsidR="00F1611A" w:rsidRPr="001935B7" w14:paraId="3F803D88" w14:textId="77777777">
        <w:tc>
          <w:tcPr>
            <w:tcW w:w="0" w:type="auto"/>
          </w:tcPr>
          <w:p w14:paraId="6341B802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IBOVESPA (benchmark)</w:t>
            </w:r>
          </w:p>
        </w:tc>
        <w:tc>
          <w:tcPr>
            <w:tcW w:w="0" w:type="auto"/>
          </w:tcPr>
          <w:p w14:paraId="6B3D01D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11,26</w:t>
            </w:r>
          </w:p>
        </w:tc>
        <w:tc>
          <w:tcPr>
            <w:tcW w:w="0" w:type="auto"/>
          </w:tcPr>
          <w:p w14:paraId="1E7D4CA9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23,32</w:t>
            </w:r>
          </w:p>
        </w:tc>
        <w:tc>
          <w:tcPr>
            <w:tcW w:w="0" w:type="auto"/>
          </w:tcPr>
          <w:p w14:paraId="47F2AD0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0,178</w:t>
            </w:r>
          </w:p>
        </w:tc>
        <w:tc>
          <w:tcPr>
            <w:tcW w:w="0" w:type="auto"/>
          </w:tcPr>
          <w:p w14:paraId="43E6051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−46,82</w:t>
            </w:r>
          </w:p>
        </w:tc>
        <w:tc>
          <w:tcPr>
            <w:tcW w:w="0" w:type="auto"/>
          </w:tcPr>
          <w:p w14:paraId="6A5E5217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—</w:t>
            </w:r>
          </w:p>
        </w:tc>
      </w:tr>
      <w:tr w:rsidR="00F1611A" w:rsidRPr="001935B7" w14:paraId="23BD5E6B" w14:textId="77777777">
        <w:tc>
          <w:tcPr>
            <w:tcW w:w="0" w:type="auto"/>
          </w:tcPr>
          <w:p w14:paraId="35C569F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EqualWeight (1/N rebalanceada)</w:t>
            </w:r>
          </w:p>
        </w:tc>
        <w:tc>
          <w:tcPr>
            <w:tcW w:w="0" w:type="auto"/>
          </w:tcPr>
          <w:p w14:paraId="717E0CB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5,97</w:t>
            </w:r>
          </w:p>
        </w:tc>
        <w:tc>
          <w:tcPr>
            <w:tcW w:w="0" w:type="auto"/>
          </w:tcPr>
          <w:p w14:paraId="0BBB350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19,84</w:t>
            </w:r>
          </w:p>
        </w:tc>
        <w:tc>
          <w:tcPr>
            <w:tcW w:w="0" w:type="auto"/>
          </w:tcPr>
          <w:p w14:paraId="27EE3851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−0,075</w:t>
            </w:r>
          </w:p>
        </w:tc>
        <w:tc>
          <w:tcPr>
            <w:tcW w:w="0" w:type="auto"/>
          </w:tcPr>
          <w:p w14:paraId="78F34F0B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−41,97</w:t>
            </w:r>
          </w:p>
        </w:tc>
        <w:tc>
          <w:tcPr>
            <w:tcW w:w="0" w:type="auto"/>
          </w:tcPr>
          <w:p w14:paraId="292C4E1C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90,7</w:t>
            </w:r>
          </w:p>
        </w:tc>
      </w:tr>
      <w:tr w:rsidR="00F1611A" w:rsidRPr="001935B7" w14:paraId="2347B858" w14:textId="77777777">
        <w:tc>
          <w:tcPr>
            <w:tcW w:w="0" w:type="auto"/>
          </w:tcPr>
          <w:p w14:paraId="32DBE4F8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MinCDaR</w:t>
            </w:r>
          </w:p>
        </w:tc>
        <w:tc>
          <w:tcPr>
            <w:tcW w:w="0" w:type="auto"/>
          </w:tcPr>
          <w:p w14:paraId="38EBDD7A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−1,75</w:t>
            </w:r>
          </w:p>
        </w:tc>
        <w:tc>
          <w:tcPr>
            <w:tcW w:w="0" w:type="auto"/>
          </w:tcPr>
          <w:p w14:paraId="4B9C73ED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21,09</w:t>
            </w:r>
          </w:p>
        </w:tc>
        <w:tc>
          <w:tcPr>
            <w:tcW w:w="0" w:type="auto"/>
          </w:tcPr>
          <w:p w14:paraId="4C18266F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−0,417</w:t>
            </w:r>
          </w:p>
        </w:tc>
        <w:tc>
          <w:tcPr>
            <w:tcW w:w="0" w:type="auto"/>
          </w:tcPr>
          <w:p w14:paraId="55875A46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−81,81</w:t>
            </w:r>
          </w:p>
        </w:tc>
        <w:tc>
          <w:tcPr>
            <w:tcW w:w="0" w:type="auto"/>
          </w:tcPr>
          <w:p w14:paraId="449F0320" w14:textId="77777777" w:rsidR="00F1611A" w:rsidRPr="001935B7" w:rsidRDefault="00000000" w:rsidP="001935B7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1935B7">
              <w:rPr>
                <w:rFonts w:ascii="Times New Roman" w:hAnsi="Times New Roman" w:cs="Times New Roman"/>
              </w:rPr>
              <w:t>153,3</w:t>
            </w:r>
          </w:p>
        </w:tc>
      </w:tr>
    </w:tbl>
    <w:p w14:paraId="1177DA05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i/>
          <w:iCs/>
        </w:rPr>
        <w:t>Fonte: elaboração própria a partir dos artefatos do pipeline. Tabela reduzida; o painel completo das 16 estratégias consta na Tabela 8 (Capítulo 4).</w:t>
      </w:r>
    </w:p>
    <w:p w14:paraId="3DF3A152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 resultado mais importante do estudo é que, no mercado brasileiro entre 2015 e 2025, </w:t>
      </w:r>
      <w:r w:rsidRPr="001935B7">
        <w:rPr>
          <w:rFonts w:ascii="Times New Roman" w:hAnsi="Times New Roman" w:cs="Times New Roman"/>
          <w:b/>
          <w:bCs/>
        </w:rPr>
        <w:t>não houve superioridade incondicional nem da simplicidade nem da sofisticação</w:t>
      </w:r>
      <w:r w:rsidRPr="001935B7">
        <w:rPr>
          <w:rFonts w:ascii="Times New Roman" w:hAnsi="Times New Roman" w:cs="Times New Roman"/>
        </w:rPr>
        <w:t xml:space="preserve">. O melhor </w:t>
      </w:r>
      <w:r w:rsidRPr="001935B7">
        <w:rPr>
          <w:rFonts w:ascii="Times New Roman" w:hAnsi="Times New Roman" w:cs="Times New Roman"/>
        </w:rPr>
        <w:lastRenderedPageBreak/>
        <w:t>desempenho ajustado ao risco coube ao modelo mais estruturado — o Black-Litterman com visões de momentum 12-1 (</w:t>
      </w:r>
      <w:r w:rsidRPr="001935B7">
        <w:rPr>
          <w:rStyle w:val="VerbatimChar"/>
          <w:rFonts w:ascii="Times New Roman" w:hAnsi="Times New Roman" w:cs="Times New Roman"/>
          <w:sz w:val="24"/>
        </w:rPr>
        <w:t>BL_classico</w:t>
      </w:r>
      <w:r w:rsidRPr="001935B7">
        <w:rPr>
          <w:rFonts w:ascii="Times New Roman" w:hAnsi="Times New Roman" w:cs="Times New Roman"/>
        </w:rPr>
        <w:t>), com índice de Sharpe de 0,511 e retorno composto de 21,12% ao ano, quase o triplo do Sharpe do IBOVESPA. Simultaneamente, um dos piores resultados adveio de uma formulação igualmente sofisticada — o mínimo CDaR (</w:t>
      </w:r>
      <w:r w:rsidRPr="001935B7">
        <w:rPr>
          <w:rStyle w:val="VerbatimChar"/>
          <w:rFonts w:ascii="Times New Roman" w:hAnsi="Times New Roman" w:cs="Times New Roman"/>
          <w:sz w:val="24"/>
        </w:rPr>
        <w:t>MinCDaR</w:t>
      </w:r>
      <w:r w:rsidRPr="001935B7">
        <w:rPr>
          <w:rFonts w:ascii="Times New Roman" w:hAnsi="Times New Roman" w:cs="Times New Roman"/>
        </w:rPr>
        <w:t xml:space="preserve">), com Sharpe de −0,417 e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de −81,81% —, ao passo que a estratégia mais trivial, a carteira 1/N, exibiu desempenho dependente do regime de rebalanceamento: positiva e competitiva quando mantida sem rebalanceamento (Sharpe 0,372), e negativa quando rebalanceada mensalmente a custo não desprezível (Sharpe −0,075).</w:t>
      </w:r>
    </w:p>
    <w:p w14:paraId="4680A6C6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A mínima variância, por sua vez, confirmou seu papel de </w:t>
      </w:r>
      <w:r w:rsidRPr="001935B7">
        <w:rPr>
          <w:rFonts w:ascii="Times New Roman" w:hAnsi="Times New Roman" w:cs="Times New Roman"/>
          <w:b/>
          <w:bCs/>
        </w:rPr>
        <w:t>referência de robustez</w:t>
      </w:r>
      <w:r w:rsidRPr="001935B7">
        <w:rPr>
          <w:rFonts w:ascii="Times New Roman" w:hAnsi="Times New Roman" w:cs="Times New Roman"/>
        </w:rPr>
        <w:t xml:space="preserve">: menor volatilidade de todo o painel (12,96% a.a.), </w:t>
      </w:r>
      <w:r w:rsidRPr="001935B7">
        <w:rPr>
          <w:rFonts w:ascii="Times New Roman" w:hAnsi="Times New Roman" w:cs="Times New Roman"/>
          <w:i/>
          <w:iCs/>
        </w:rPr>
        <w:t>drawdowns</w:t>
      </w:r>
      <w:r w:rsidRPr="001935B7">
        <w:rPr>
          <w:rFonts w:ascii="Times New Roman" w:hAnsi="Times New Roman" w:cs="Times New Roman"/>
        </w:rPr>
        <w:t xml:space="preserve"> contidos (−25,62%) e Sharpe estável e positivo (0,217), superando o índice passivo sem, contudo, liderar o ranking.</w:t>
      </w:r>
    </w:p>
    <w:p w14:paraId="508AC78E" w14:textId="77777777" w:rsidR="00F1611A" w:rsidRPr="001935B7" w:rsidRDefault="00000000" w:rsidP="001935B7">
      <w:pPr>
        <w:pStyle w:val="Corpodetexto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Diante desses resultados, a resposta à questão de pesquisa é a seguinte: a eficácia das estratégias no mercado brasileiro foi determinada não pela complexidade do modelo em si, mas pela </w:t>
      </w:r>
      <w:r w:rsidRPr="001935B7">
        <w:rPr>
          <w:rFonts w:ascii="Times New Roman" w:hAnsi="Times New Roman" w:cs="Times New Roman"/>
          <w:b/>
          <w:bCs/>
        </w:rPr>
        <w:t>qualidade e estabilidade do sinal de retorno empregado e pela presença de estruturas estabilizadoras</w:t>
      </w:r>
      <w:r w:rsidRPr="001935B7">
        <w:rPr>
          <w:rFonts w:ascii="Times New Roman" w:hAnsi="Times New Roman" w:cs="Times New Roman"/>
        </w:rPr>
        <w:t xml:space="preserve"> — o prior de equilíbrio do Black-Litterman e a restrição de teto de peso (variantes </w:t>
      </w:r>
      <w:r w:rsidRPr="001935B7">
        <w:rPr>
          <w:rStyle w:val="VerbatimChar"/>
          <w:rFonts w:ascii="Times New Roman" w:hAnsi="Times New Roman" w:cs="Times New Roman"/>
          <w:sz w:val="24"/>
        </w:rPr>
        <w:t>c10</w:t>
      </w:r>
      <w:r w:rsidRPr="001935B7">
        <w:rPr>
          <w:rFonts w:ascii="Times New Roman" w:hAnsi="Times New Roman" w:cs="Times New Roman"/>
        </w:rPr>
        <w:t>). A combinação mais eficaz uniu uma âncora de equilíbrio de mercado a uma visão de momentum economicamente motivada; já a sofisticação desacompanhada de estrutura estabilizadora (CDaR) ou a ingenuidade onerada por custos de fricção (1/N rebalanceada) destruíram valor.</w:t>
      </w:r>
    </w:p>
    <w:p w14:paraId="77167351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contribuições-do-estudo"/>
      <w:bookmarkEnd w:id="20"/>
      <w:r w:rsidRPr="001935B7">
        <w:rPr>
          <w:rFonts w:ascii="Times New Roman" w:hAnsi="Times New Roman" w:cs="Times New Roman"/>
          <w:sz w:val="24"/>
          <w:szCs w:val="24"/>
        </w:rPr>
        <w:t>5.3. Contribuições do Estudo</w:t>
      </w:r>
    </w:p>
    <w:p w14:paraId="3352D75F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22" w:name="X14a1c7bff650472eab162474030fdf1741c62b1"/>
      <w:r w:rsidRPr="001935B7">
        <w:rPr>
          <w:rFonts w:ascii="Times New Roman" w:hAnsi="Times New Roman" w:cs="Times New Roman"/>
        </w:rPr>
        <w:t>5.3.1. Evidência Empírica para o Mercado Brasileiro</w:t>
      </w:r>
    </w:p>
    <w:p w14:paraId="0C1D358D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 trabalho oferece evidência empírica, em janela longa e com protocolo </w:t>
      </w:r>
      <w:r w:rsidRPr="001935B7">
        <w:rPr>
          <w:rFonts w:ascii="Times New Roman" w:hAnsi="Times New Roman" w:cs="Times New Roman"/>
          <w:i/>
          <w:iCs/>
        </w:rPr>
        <w:t>out-of-sample</w:t>
      </w:r>
      <w:r w:rsidRPr="001935B7">
        <w:rPr>
          <w:rFonts w:ascii="Times New Roman" w:hAnsi="Times New Roman" w:cs="Times New Roman"/>
        </w:rPr>
        <w:t xml:space="preserve"> livre de viés de antecipação, sobre o desempenho comparativo de 16 estratégias de alocação no mercado acionário brasileiro. O achado de que </w:t>
      </w:r>
      <w:r w:rsidRPr="001935B7">
        <w:rPr>
          <w:rFonts w:ascii="Times New Roman" w:hAnsi="Times New Roman" w:cs="Times New Roman"/>
          <w:b/>
          <w:bCs/>
        </w:rPr>
        <w:t>treze das dezesseis estratégias superaram o IBOVESPA em base ajustada ao risco</w:t>
      </w:r>
      <w:r w:rsidRPr="001935B7">
        <w:rPr>
          <w:rFonts w:ascii="Times New Roman" w:hAnsi="Times New Roman" w:cs="Times New Roman"/>
        </w:rPr>
        <w:t xml:space="preserve"> corrobora, no contexto local, os resultados de Santos e Tessari (2012) quanto à eficácia de técnicas quantitativas de otimização frente ao índice passivo.</w:t>
      </w:r>
    </w:p>
    <w:p w14:paraId="579C1420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23" w:name="reposicionamento-do-paradoxo-do-1n"/>
      <w:bookmarkEnd w:id="22"/>
      <w:r w:rsidRPr="001935B7">
        <w:rPr>
          <w:rFonts w:ascii="Times New Roman" w:hAnsi="Times New Roman" w:cs="Times New Roman"/>
        </w:rPr>
        <w:t>5.3.2. Reposicionamento do “Paradoxo do 1/N”</w:t>
      </w:r>
    </w:p>
    <w:p w14:paraId="19BCE86B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 contraste documentado entre a carteira 1/N rebalanceada (Sharpe −0,075) e sua versão </w:t>
      </w:r>
      <w:r w:rsidRPr="001935B7">
        <w:rPr>
          <w:rFonts w:ascii="Times New Roman" w:hAnsi="Times New Roman" w:cs="Times New Roman"/>
          <w:i/>
          <w:iCs/>
        </w:rPr>
        <w:t>buy-and-hold</w:t>
      </w:r>
      <w:r w:rsidRPr="001935B7">
        <w:rPr>
          <w:rFonts w:ascii="Times New Roman" w:hAnsi="Times New Roman" w:cs="Times New Roman"/>
        </w:rPr>
        <w:t xml:space="preserve"> (Sharpe 0,372) qualifica empiricamente a tese de DeMiguel, Garlappi e Uppal (2009) no ambiente brasileiro: a dificuldade de superar a carteira ingênua aplica-se à sua </w:t>
      </w:r>
      <w:r w:rsidRPr="001935B7">
        <w:rPr>
          <w:rFonts w:ascii="Times New Roman" w:hAnsi="Times New Roman" w:cs="Times New Roman"/>
        </w:rPr>
        <w:lastRenderedPageBreak/>
        <w:t xml:space="preserve">forma de baixa rotatividade; quando submetida a rebalanceamento custoso, a diversificação ingênua perde sua vantagem e é superada por diversas estratégias de otimização. Esse resultado evidencia o </w:t>
      </w:r>
      <w:r w:rsidRPr="001935B7">
        <w:rPr>
          <w:rFonts w:ascii="Times New Roman" w:hAnsi="Times New Roman" w:cs="Times New Roman"/>
          <w:b/>
          <w:bCs/>
        </w:rPr>
        <w:t>custo de fricção da realocação periódica</w:t>
      </w:r>
      <w:r w:rsidRPr="001935B7">
        <w:rPr>
          <w:rFonts w:ascii="Times New Roman" w:hAnsi="Times New Roman" w:cs="Times New Roman"/>
        </w:rPr>
        <w:t xml:space="preserve"> como fator de primeira ordem no desempenho líquido — frequentemente subestimado na literatura que avalia estratégias em base bruta.</w:t>
      </w:r>
    </w:p>
    <w:p w14:paraId="7F2D0DB6" w14:textId="77777777" w:rsidR="00F1611A" w:rsidRPr="001935B7" w:rsidRDefault="00000000" w:rsidP="001935B7">
      <w:pPr>
        <w:pStyle w:val="Ttulo3"/>
        <w:spacing w:before="0" w:line="360" w:lineRule="auto"/>
        <w:jc w:val="both"/>
        <w:rPr>
          <w:rFonts w:ascii="Times New Roman" w:hAnsi="Times New Roman" w:cs="Times New Roman"/>
        </w:rPr>
      </w:pPr>
      <w:bookmarkStart w:id="24" w:name="o-valor-das-estruturas-estabilizadoras"/>
      <w:bookmarkEnd w:id="23"/>
      <w:r w:rsidRPr="001935B7">
        <w:rPr>
          <w:rFonts w:ascii="Times New Roman" w:hAnsi="Times New Roman" w:cs="Times New Roman"/>
        </w:rPr>
        <w:t>5.3.3. O Valor das Estruturas Estabilizadoras</w:t>
      </w:r>
    </w:p>
    <w:p w14:paraId="7E73EBD6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 xml:space="preserve">O estudo evidencia o papel de dois mecanismos estabilizadores. Primeiro, o </w:t>
      </w:r>
      <w:r w:rsidRPr="001935B7">
        <w:rPr>
          <w:rFonts w:ascii="Times New Roman" w:hAnsi="Times New Roman" w:cs="Times New Roman"/>
          <w:b/>
          <w:bCs/>
        </w:rPr>
        <w:t>prior de equilíbrio</w:t>
      </w:r>
      <w:r w:rsidRPr="001935B7">
        <w:rPr>
          <w:rFonts w:ascii="Times New Roman" w:hAnsi="Times New Roman" w:cs="Times New Roman"/>
        </w:rPr>
        <w:t xml:space="preserve"> do Black-Litterman, que ancora as visões de momentum e impede que estimativas ruidosas degenerem em alocações instáveis — diferença determinante em relação a uma otimização média-variância pura sobre retornos estimados. Segundo, o </w:t>
      </w:r>
      <w:r w:rsidRPr="001935B7">
        <w:rPr>
          <w:rFonts w:ascii="Times New Roman" w:hAnsi="Times New Roman" w:cs="Times New Roman"/>
          <w:b/>
          <w:bCs/>
        </w:rPr>
        <w:t>teto de peso de 10%</w:t>
      </w:r>
      <w:r w:rsidRPr="001935B7">
        <w:rPr>
          <w:rFonts w:ascii="Times New Roman" w:hAnsi="Times New Roman" w:cs="Times New Roman"/>
        </w:rPr>
        <w:t xml:space="preserve">, que converte o retorno bruto e volátil das estratégias concentradas em perfis de risco mais defensáveis: nas variantes BL, o teto reduziu simultaneamente volatilidade, </w:t>
      </w:r>
      <w:r w:rsidRPr="001935B7">
        <w:rPr>
          <w:rFonts w:ascii="Times New Roman" w:hAnsi="Times New Roman" w:cs="Times New Roman"/>
          <w:i/>
          <w:iCs/>
        </w:rPr>
        <w:t>drawdown</w:t>
      </w:r>
      <w:r w:rsidRPr="001935B7">
        <w:rPr>
          <w:rFonts w:ascii="Times New Roman" w:hAnsi="Times New Roman" w:cs="Times New Roman"/>
        </w:rPr>
        <w:t xml:space="preserve"> e </w:t>
      </w:r>
      <w:r w:rsidRPr="001935B7">
        <w:rPr>
          <w:rFonts w:ascii="Times New Roman" w:hAnsi="Times New Roman" w:cs="Times New Roman"/>
          <w:i/>
          <w:iCs/>
        </w:rPr>
        <w:t>turnover</w:t>
      </w:r>
      <w:r w:rsidRPr="001935B7">
        <w:rPr>
          <w:rFonts w:ascii="Times New Roman" w:hAnsi="Times New Roman" w:cs="Times New Roman"/>
        </w:rPr>
        <w:t>, ao custo marginal de poucos pontos de Sharpe.</w:t>
      </w:r>
    </w:p>
    <w:p w14:paraId="402B6029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5" w:name="limitações"/>
      <w:bookmarkEnd w:id="21"/>
      <w:bookmarkEnd w:id="24"/>
      <w:r w:rsidRPr="001935B7">
        <w:rPr>
          <w:rFonts w:ascii="Times New Roman" w:hAnsi="Times New Roman" w:cs="Times New Roman"/>
          <w:sz w:val="24"/>
          <w:szCs w:val="24"/>
        </w:rPr>
        <w:t>5.4. Limitações</w:t>
      </w:r>
    </w:p>
    <w:p w14:paraId="5B14E2A1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>O estudo está sujeito às seguintes limitações, que devem ser ponderadas na interpretação dos resultados:</w:t>
      </w:r>
    </w:p>
    <w:p w14:paraId="4B471D3E" w14:textId="77777777" w:rsidR="00F1611A" w:rsidRPr="001935B7" w:rsidRDefault="00000000" w:rsidP="001935B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Ausência de validação preditiva formal das visões.</w:t>
      </w:r>
      <w:r w:rsidRPr="001935B7">
        <w:rPr>
          <w:rFonts w:ascii="Times New Roman" w:hAnsi="Times New Roman" w:cs="Times New Roman"/>
        </w:rPr>
        <w:t xml:space="preserve"> As visões de momentum 12-1 que alimentam o Black-Litterman não foram submetidas a um </w:t>
      </w:r>
      <w:r w:rsidRPr="001935B7">
        <w:rPr>
          <w:rFonts w:ascii="Times New Roman" w:hAnsi="Times New Roman" w:cs="Times New Roman"/>
          <w:i/>
          <w:iCs/>
        </w:rPr>
        <w:t>backtesting</w:t>
      </w:r>
      <w:r w:rsidRPr="001935B7">
        <w:rPr>
          <w:rFonts w:ascii="Times New Roman" w:hAnsi="Times New Roman" w:cs="Times New Roman"/>
        </w:rPr>
        <w:t xml:space="preserve"> independente de seu poder preditivo. O bom desempenho do BL é consistente com a persistência de momentum documentada em mercados emergentes, mas o estudo não isola formalmente a contribuição do sinal.</w:t>
      </w:r>
    </w:p>
    <w:p w14:paraId="0239BCCD" w14:textId="77777777" w:rsidR="00F1611A" w:rsidRPr="001935B7" w:rsidRDefault="00000000" w:rsidP="001935B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Turnover elevado e custos não modelados.</w:t>
      </w:r>
      <w:r w:rsidRPr="001935B7">
        <w:rPr>
          <w:rFonts w:ascii="Times New Roman" w:hAnsi="Times New Roman" w:cs="Times New Roman"/>
        </w:rPr>
        <w:t xml:space="preserve"> As estratégias da família BL apresentaram giro anual entre 646% e 990%. Embora o custo de 50 bps esteja incorporado às séries de retorno, custos de impacto de mercado, </w:t>
      </w:r>
      <w:r w:rsidRPr="001935B7">
        <w:rPr>
          <w:rFonts w:ascii="Times New Roman" w:hAnsi="Times New Roman" w:cs="Times New Roman"/>
          <w:i/>
          <w:iCs/>
        </w:rPr>
        <w:t>bid-ask spread</w:t>
      </w:r>
      <w:r w:rsidRPr="001935B7">
        <w:rPr>
          <w:rFonts w:ascii="Times New Roman" w:hAnsi="Times New Roman" w:cs="Times New Roman"/>
        </w:rPr>
        <w:t xml:space="preserve"> e tributação não foram modelados; em aplicação real, o desempenho líquido dessas estratégias seria inferior ao reportado.</w:t>
      </w:r>
    </w:p>
    <w:p w14:paraId="7C0CBFD0" w14:textId="77777777" w:rsidR="00F1611A" w:rsidRPr="001935B7" w:rsidRDefault="00000000" w:rsidP="001935B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Coeficiente de aversão ao risco fixo.</w:t>
      </w:r>
      <w:r w:rsidRPr="001935B7">
        <w:rPr>
          <w:rFonts w:ascii="Times New Roman" w:hAnsi="Times New Roman" w:cs="Times New Roman"/>
        </w:rPr>
        <w:t xml:space="preserve"> O parâmetro δ do Black-Litterman foi fixado em 2,5, conforme a calibração de He e Litterman (1999). A tentativa de estimá-lo por otimização reversa a partir do mercado brasileiro produziu valor economicamente inválido (negativo), o que motivou a adoção do valor convencional, em detrimento de uma calibração endógena ao mercado local.</w:t>
      </w:r>
    </w:p>
    <w:p w14:paraId="10278960" w14:textId="77777777" w:rsidR="00F1611A" w:rsidRPr="001935B7" w:rsidRDefault="00000000" w:rsidP="001935B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lastRenderedPageBreak/>
        <w:t>Instabilidade de formulações dependentes da trajetória.</w:t>
      </w:r>
      <w:r w:rsidRPr="001935B7">
        <w:rPr>
          <w:rFonts w:ascii="Times New Roman" w:hAnsi="Times New Roman" w:cs="Times New Roman"/>
        </w:rPr>
        <w:t xml:space="preserve"> O fracasso do mínimo CDaR ilustra a propensão das métricas de risco dependentes da trajetória a soluções degeneradas em janelas longas dominadas por poucos eventos extremos, limitando sua aplicabilidade no regime e no universo estudados.</w:t>
      </w:r>
    </w:p>
    <w:p w14:paraId="57CDE730" w14:textId="77777777" w:rsidR="00F1611A" w:rsidRPr="001935B7" w:rsidRDefault="00000000" w:rsidP="001935B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Escopo de mercado e período únicos.</w:t>
      </w:r>
      <w:r w:rsidRPr="001935B7">
        <w:rPr>
          <w:rFonts w:ascii="Times New Roman" w:hAnsi="Times New Roman" w:cs="Times New Roman"/>
        </w:rPr>
        <w:t xml:space="preserve"> Os resultados referem-se a um único mercado e a um único período histórico, marcado por regimes macroeconômicos específicos (2015–2016, 2020, 2022). A generalização para outros mercados ou períodos requer cautela.</w:t>
      </w:r>
    </w:p>
    <w:p w14:paraId="112B08F0" w14:textId="77777777" w:rsidR="00F1611A" w:rsidRPr="001935B7" w:rsidRDefault="00000000" w:rsidP="001935B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Reprodutibilidade dos dados de entrada.</w:t>
      </w:r>
      <w:r w:rsidRPr="001935B7">
        <w:rPr>
          <w:rFonts w:ascii="Times New Roman" w:hAnsi="Times New Roman" w:cs="Times New Roman"/>
        </w:rPr>
        <w:t xml:space="preserve"> Os dados brutos provêm de base proprietária (Economática), não redistribuível, o que limita a reprodução integral do </w:t>
      </w:r>
      <w:r w:rsidRPr="001935B7">
        <w:rPr>
          <w:rFonts w:ascii="Times New Roman" w:hAnsi="Times New Roman" w:cs="Times New Roman"/>
          <w:i/>
          <w:iCs/>
        </w:rPr>
        <w:t>pipeline</w:t>
      </w:r>
      <w:r w:rsidRPr="001935B7">
        <w:rPr>
          <w:rFonts w:ascii="Times New Roman" w:hAnsi="Times New Roman" w:cs="Times New Roman"/>
        </w:rPr>
        <w:t xml:space="preserve"> por terceiros.</w:t>
      </w:r>
    </w:p>
    <w:p w14:paraId="3B029343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6" w:name="sugestões-para-pesquisas-futuras"/>
      <w:bookmarkEnd w:id="25"/>
      <w:r w:rsidRPr="001935B7">
        <w:rPr>
          <w:rFonts w:ascii="Times New Roman" w:hAnsi="Times New Roman" w:cs="Times New Roman"/>
          <w:sz w:val="24"/>
          <w:szCs w:val="24"/>
        </w:rPr>
        <w:t>5.5. Sugestões para Pesquisas Futuras</w:t>
      </w:r>
    </w:p>
    <w:p w14:paraId="6CD85465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>A partir das limitações identificadas, sugerem-se as seguintes extensões:</w:t>
      </w:r>
    </w:p>
    <w:p w14:paraId="422A857A" w14:textId="77777777" w:rsidR="00F1611A" w:rsidRPr="001935B7" w:rsidRDefault="00000000" w:rsidP="001935B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Geração de visões por aprendizado de máquina.</w:t>
      </w:r>
      <w:r w:rsidRPr="001935B7">
        <w:rPr>
          <w:rFonts w:ascii="Times New Roman" w:hAnsi="Times New Roman" w:cs="Times New Roman"/>
        </w:rPr>
        <w:t xml:space="preserve"> A proposta original deste trabalho contemplava a geração de visões por redes neurais recorrentes (LSTM) e modelos ARIMA, não implementada na versão final em favor do fator de momentum. A integração desses modelos — com validação preditiva </w:t>
      </w:r>
      <w:r w:rsidRPr="001935B7">
        <w:rPr>
          <w:rFonts w:ascii="Times New Roman" w:hAnsi="Times New Roman" w:cs="Times New Roman"/>
          <w:i/>
          <w:iCs/>
        </w:rPr>
        <w:t>out-of-sample</w:t>
      </w:r>
      <w:r w:rsidRPr="001935B7">
        <w:rPr>
          <w:rFonts w:ascii="Times New Roman" w:hAnsi="Times New Roman" w:cs="Times New Roman"/>
        </w:rPr>
        <w:t xml:space="preserve"> rigorosa e comparação direta contra o momentum como </w:t>
      </w:r>
      <w:r w:rsidRPr="001935B7">
        <w:rPr>
          <w:rFonts w:ascii="Times New Roman" w:hAnsi="Times New Roman" w:cs="Times New Roman"/>
          <w:i/>
          <w:iCs/>
        </w:rPr>
        <w:t>benchmark</w:t>
      </w:r>
      <w:r w:rsidRPr="001935B7">
        <w:rPr>
          <w:rFonts w:ascii="Times New Roman" w:hAnsi="Times New Roman" w:cs="Times New Roman"/>
        </w:rPr>
        <w:t xml:space="preserve"> de visão — constitui extensão natural e promissora.</w:t>
      </w:r>
    </w:p>
    <w:p w14:paraId="744F6A9D" w14:textId="77777777" w:rsidR="00F1611A" w:rsidRPr="001935B7" w:rsidRDefault="00000000" w:rsidP="001935B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Validação formal do poder preditivo das visões.</w:t>
      </w:r>
      <w:r w:rsidRPr="001935B7">
        <w:rPr>
          <w:rFonts w:ascii="Times New Roman" w:hAnsi="Times New Roman" w:cs="Times New Roman"/>
        </w:rPr>
        <w:t xml:space="preserve"> Avaliar, por </w:t>
      </w:r>
      <w:r w:rsidRPr="001935B7">
        <w:rPr>
          <w:rFonts w:ascii="Times New Roman" w:hAnsi="Times New Roman" w:cs="Times New Roman"/>
          <w:i/>
          <w:iCs/>
        </w:rPr>
        <w:t>backtesting</w:t>
      </w:r>
      <w:r w:rsidRPr="001935B7">
        <w:rPr>
          <w:rFonts w:ascii="Times New Roman" w:hAnsi="Times New Roman" w:cs="Times New Roman"/>
        </w:rPr>
        <w:t xml:space="preserve"> segregado, a acurácia direcional e a calibração das visões de retorno, dissociando a contribuição do sinal da contribuição da estrutura bayesiana.</w:t>
      </w:r>
    </w:p>
    <w:p w14:paraId="25BA0C50" w14:textId="77777777" w:rsidR="00F1611A" w:rsidRPr="001935B7" w:rsidRDefault="00000000" w:rsidP="001935B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Otimização sensível a custos.</w:t>
      </w:r>
      <w:r w:rsidRPr="001935B7">
        <w:rPr>
          <w:rFonts w:ascii="Times New Roman" w:hAnsi="Times New Roman" w:cs="Times New Roman"/>
        </w:rPr>
        <w:t xml:space="preserve"> Incorporar explicitamente o </w:t>
      </w:r>
      <w:r w:rsidRPr="001935B7">
        <w:rPr>
          <w:rFonts w:ascii="Times New Roman" w:hAnsi="Times New Roman" w:cs="Times New Roman"/>
          <w:i/>
          <w:iCs/>
        </w:rPr>
        <w:t>turnover</w:t>
      </w:r>
      <w:r w:rsidRPr="001935B7">
        <w:rPr>
          <w:rFonts w:ascii="Times New Roman" w:hAnsi="Times New Roman" w:cs="Times New Roman"/>
        </w:rPr>
        <w:t xml:space="preserve"> à função-objetivo (por exemplo, via penalidade de realocação calibrada), bem como custos de impacto de mercado, de modo a avaliar estratégias líquidas mais realistas — particularmente relevantes para a família BL.</w:t>
      </w:r>
    </w:p>
    <w:p w14:paraId="6D771587" w14:textId="77777777" w:rsidR="00F1611A" w:rsidRPr="001935B7" w:rsidRDefault="00000000" w:rsidP="001935B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t>Calibração endógena de δ e de Ω.</w:t>
      </w:r>
      <w:r w:rsidRPr="001935B7">
        <w:rPr>
          <w:rFonts w:ascii="Times New Roman" w:hAnsi="Times New Roman" w:cs="Times New Roman"/>
        </w:rPr>
        <w:t xml:space="preserve"> Investigar métodos de estimação do coeficiente de aversão ao risco a partir de dados do mercado brasileiro e calibrar a incerteza das visões (Ω) pelo método de Idzorek (2005), baseado em níveis de confiança.</w:t>
      </w:r>
    </w:p>
    <w:p w14:paraId="0C81CC4A" w14:textId="77777777" w:rsidR="00F1611A" w:rsidRPr="001935B7" w:rsidRDefault="00000000" w:rsidP="001935B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  <w:b/>
          <w:bCs/>
        </w:rPr>
        <w:lastRenderedPageBreak/>
        <w:t>Testes de significância e robustez intertemporal.</w:t>
      </w:r>
      <w:r w:rsidRPr="001935B7">
        <w:rPr>
          <w:rFonts w:ascii="Times New Roman" w:hAnsi="Times New Roman" w:cs="Times New Roman"/>
        </w:rPr>
        <w:t xml:space="preserve"> Aplicar testes de significância de diferenças de índice de Sharpe (Jobson-Korkie/Memmel) entre as estratégias e avaliar a estabilidade do ordenamento em subperíodos e regimes macroeconômicos distintos.</w:t>
      </w:r>
    </w:p>
    <w:p w14:paraId="6A86EA41" w14:textId="77777777" w:rsidR="00F1611A" w:rsidRPr="001935B7" w:rsidRDefault="00000000" w:rsidP="001935B7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7" w:name="considerações-finais"/>
      <w:bookmarkEnd w:id="26"/>
      <w:r w:rsidRPr="001935B7">
        <w:rPr>
          <w:rFonts w:ascii="Times New Roman" w:hAnsi="Times New Roman" w:cs="Times New Roman"/>
          <w:sz w:val="24"/>
          <w:szCs w:val="24"/>
        </w:rPr>
        <w:t>5.6. Considerações Finais</w:t>
      </w:r>
    </w:p>
    <w:p w14:paraId="54D5A25E" w14:textId="77777777" w:rsidR="00F1611A" w:rsidRPr="001935B7" w:rsidRDefault="00000000" w:rsidP="001935B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935B7">
        <w:rPr>
          <w:rFonts w:ascii="Times New Roman" w:hAnsi="Times New Roman" w:cs="Times New Roman"/>
        </w:rPr>
        <w:t>A evidência reunida sugere que, no mercado acionário brasileiro do período analisado, o sucesso de uma estratégia de alocação dependeu menos do grau de sofisticação do otimizador e mais da qualidade do sinal de retorno e da disciplina imposta por estruturas estabilizadoras. O modelo de Black-Litterman, ao combinar um prior de equilíbrio a uma visão de momentum econômica e estatisticamente parcimoniosa, traduziu essa lógica no melhor desempenho ajustado ao risco do estudo — desde que acompanhado de mecanismos de contenção de risco e de uma avaliação realista de seus custos de implementação. A mínima variância, por sua robustez, permanece como referência segura para o investidor avesso ao risco. O conjunto dos resultados reforça, em síntese, que em mercados de elevada volatilidade e baixa relação sinal-ruído a engenharia de robustez tende a ser mais determinante do que a engenharia de previsão.</w:t>
      </w:r>
      <w:bookmarkEnd w:id="18"/>
      <w:bookmarkEnd w:id="27"/>
    </w:p>
    <w:sectPr w:rsidR="00F1611A" w:rsidRPr="001935B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8FBCA" w14:textId="77777777" w:rsidR="00755279" w:rsidRDefault="00755279">
      <w:pPr>
        <w:spacing w:after="0"/>
      </w:pPr>
      <w:r>
        <w:separator/>
      </w:r>
    </w:p>
  </w:endnote>
  <w:endnote w:type="continuationSeparator" w:id="0">
    <w:p w14:paraId="4F088DFF" w14:textId="77777777" w:rsidR="00755279" w:rsidRDefault="007552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29EA3" w14:textId="77777777" w:rsidR="00755279" w:rsidRDefault="00755279">
      <w:r>
        <w:separator/>
      </w:r>
    </w:p>
  </w:footnote>
  <w:footnote w:type="continuationSeparator" w:id="0">
    <w:p w14:paraId="0A4D0D46" w14:textId="77777777" w:rsidR="00755279" w:rsidRDefault="00755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5086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7DA1F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1B864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76965822">
    <w:abstractNumId w:val="0"/>
  </w:num>
  <w:num w:numId="2" w16cid:durableId="1078164757">
    <w:abstractNumId w:val="1"/>
  </w:num>
  <w:num w:numId="3" w16cid:durableId="1632593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6700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1A"/>
    <w:rsid w:val="001935B7"/>
    <w:rsid w:val="004114A9"/>
    <w:rsid w:val="00755279"/>
    <w:rsid w:val="00BF0DCB"/>
    <w:rsid w:val="00C01788"/>
    <w:rsid w:val="00C32574"/>
    <w:rsid w:val="00D801BB"/>
    <w:rsid w:val="00F1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99105"/>
  <w15:docId w15:val="{6FB8243C-E49B-46C8-B10A-6FAAEA41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4789</Words>
  <Characters>25863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Augusto</dc:creator>
  <cp:keywords/>
  <cp:lastModifiedBy>Pedro Augusto</cp:lastModifiedBy>
  <cp:revision>3</cp:revision>
  <dcterms:created xsi:type="dcterms:W3CDTF">2026-06-04T20:38:00Z</dcterms:created>
  <dcterms:modified xsi:type="dcterms:W3CDTF">2026-06-04T20:44:00Z</dcterms:modified>
</cp:coreProperties>
</file>