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56811" w14:textId="77777777" w:rsidR="00425AEF" w:rsidRPr="00CE0D30" w:rsidRDefault="00425AEF" w:rsidP="00425AEF">
      <w:pPr>
        <w:jc w:val="center"/>
      </w:pPr>
      <w:r>
        <w:rPr>
          <w:noProof/>
          <w:lang w:val="pt-BR" w:eastAsia="pt-BR"/>
        </w:rPr>
        <w:drawing>
          <wp:inline distT="0" distB="0" distL="0" distR="0" wp14:anchorId="1325D953" wp14:editId="2E0F0FEF">
            <wp:extent cx="1122855" cy="90283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9998" cy="908579"/>
                    </a:xfrm>
                    <a:prstGeom prst="rect">
                      <a:avLst/>
                    </a:prstGeom>
                  </pic:spPr>
                </pic:pic>
              </a:graphicData>
            </a:graphic>
          </wp:inline>
        </w:drawing>
      </w:r>
    </w:p>
    <w:p w14:paraId="68262E3D" w14:textId="77777777" w:rsidR="00425AEF" w:rsidRPr="00CE0D30" w:rsidRDefault="00425AEF" w:rsidP="00425AEF">
      <w:pPr>
        <w:jc w:val="center"/>
      </w:pPr>
      <w:r>
        <w:t>UNIVERSIDADE FEDERAL DE GOIÁS</w:t>
      </w:r>
    </w:p>
    <w:p w14:paraId="1BC8C0BD" w14:textId="77777777" w:rsidR="00425AEF" w:rsidRPr="00CE0D30" w:rsidRDefault="00425AEF" w:rsidP="00425AEF">
      <w:pPr>
        <w:jc w:val="center"/>
      </w:pPr>
      <w:r>
        <w:t>FACULDADE DE ADMINISTRAÇÃO, CIÊNCIAS CONTÁBEIS E CIÊNCIAS ECONÔMICAS</w:t>
      </w:r>
    </w:p>
    <w:p w14:paraId="7F96DFAF" w14:textId="77777777" w:rsidR="00425AEF" w:rsidRPr="00CE0D30" w:rsidRDefault="00425AEF" w:rsidP="00425AEF">
      <w:pPr>
        <w:jc w:val="center"/>
      </w:pPr>
      <w:r>
        <w:t>CURSO DE CIÊNCIAS CONTÁBEIS</w:t>
      </w:r>
    </w:p>
    <w:p w14:paraId="5A103249" w14:textId="77777777" w:rsidR="00425AEF" w:rsidRPr="00CE0D30" w:rsidRDefault="00425AEF" w:rsidP="00425AEF">
      <w:pPr>
        <w:jc w:val="center"/>
      </w:pPr>
    </w:p>
    <w:p w14:paraId="3A660225" w14:textId="77777777" w:rsidR="00425AEF" w:rsidRPr="00CE0D30" w:rsidRDefault="00425AEF" w:rsidP="00425AEF">
      <w:pPr>
        <w:jc w:val="center"/>
      </w:pPr>
    </w:p>
    <w:p w14:paraId="766D274B" w14:textId="77777777" w:rsidR="00425AEF" w:rsidRPr="00CE0D30" w:rsidRDefault="00425AEF" w:rsidP="00425AEF">
      <w:pPr>
        <w:jc w:val="center"/>
      </w:pPr>
    </w:p>
    <w:p w14:paraId="548970FD" w14:textId="77777777" w:rsidR="00425AEF" w:rsidRPr="00CE0D30" w:rsidRDefault="00425AEF" w:rsidP="00425AEF">
      <w:pPr>
        <w:jc w:val="center"/>
      </w:pPr>
    </w:p>
    <w:p w14:paraId="37C086C8" w14:textId="77777777" w:rsidR="00425AEF" w:rsidRDefault="00425AEF" w:rsidP="00425AEF">
      <w:pPr>
        <w:jc w:val="center"/>
      </w:pPr>
    </w:p>
    <w:p w14:paraId="6FFF7D92" w14:textId="77777777" w:rsidR="008A0506" w:rsidRDefault="008A0506" w:rsidP="00425AEF">
      <w:pPr>
        <w:jc w:val="center"/>
      </w:pPr>
    </w:p>
    <w:p w14:paraId="37813EDA" w14:textId="77777777" w:rsidR="008A0506" w:rsidRDefault="008A0506" w:rsidP="00425AEF">
      <w:pPr>
        <w:jc w:val="center"/>
      </w:pPr>
    </w:p>
    <w:p w14:paraId="745511ED" w14:textId="77777777" w:rsidR="008A0506" w:rsidRPr="00CE0D30" w:rsidRDefault="008A0506" w:rsidP="00425AEF">
      <w:pPr>
        <w:jc w:val="center"/>
      </w:pPr>
    </w:p>
    <w:p w14:paraId="7E9D9E0A" w14:textId="77777777" w:rsidR="00425AEF" w:rsidRPr="00CE0D30" w:rsidRDefault="00425AEF" w:rsidP="00425AEF">
      <w:pPr>
        <w:jc w:val="center"/>
      </w:pPr>
    </w:p>
    <w:p w14:paraId="7FC4EA07" w14:textId="77777777" w:rsidR="00425AEF" w:rsidRPr="00CE0D30" w:rsidRDefault="00425AEF" w:rsidP="00425AEF">
      <w:pPr>
        <w:jc w:val="center"/>
      </w:pPr>
    </w:p>
    <w:p w14:paraId="40530D3F" w14:textId="77777777" w:rsidR="00425AEF" w:rsidRPr="00CE0D30" w:rsidRDefault="00425AEF" w:rsidP="00425AEF">
      <w:pPr>
        <w:jc w:val="center"/>
      </w:pPr>
    </w:p>
    <w:p w14:paraId="4D3009B8" w14:textId="77777777" w:rsidR="00425AEF" w:rsidRPr="00CE0D30" w:rsidRDefault="00425AEF" w:rsidP="00425AEF">
      <w:pPr>
        <w:jc w:val="center"/>
      </w:pPr>
    </w:p>
    <w:p w14:paraId="46F1BDE5" w14:textId="77777777" w:rsidR="00425AEF" w:rsidRPr="00CE0D30" w:rsidRDefault="00425AEF" w:rsidP="00425AEF">
      <w:pPr>
        <w:jc w:val="center"/>
        <w:rPr>
          <w:sz w:val="28"/>
        </w:rPr>
      </w:pPr>
      <w:r>
        <w:rPr>
          <w:sz w:val="28"/>
        </w:rPr>
        <w:t>PEDRO AUGUSTO PINHEIRO REIS</w:t>
      </w:r>
    </w:p>
    <w:p w14:paraId="430EE32B" w14:textId="77777777" w:rsidR="00425AEF" w:rsidRDefault="00425AEF" w:rsidP="00425AEF">
      <w:pPr>
        <w:jc w:val="center"/>
      </w:pPr>
    </w:p>
    <w:p w14:paraId="2D2DAE75" w14:textId="77777777" w:rsidR="008A0506" w:rsidRDefault="008A0506" w:rsidP="00425AEF">
      <w:pPr>
        <w:jc w:val="center"/>
      </w:pPr>
    </w:p>
    <w:p w14:paraId="4C8A7D12" w14:textId="77777777" w:rsidR="008A0506" w:rsidRDefault="008A0506" w:rsidP="00425AEF">
      <w:pPr>
        <w:jc w:val="center"/>
      </w:pPr>
    </w:p>
    <w:p w14:paraId="77ECE8B6" w14:textId="77777777" w:rsidR="008A0506" w:rsidRDefault="008A0506" w:rsidP="00425AEF">
      <w:pPr>
        <w:jc w:val="center"/>
      </w:pPr>
    </w:p>
    <w:p w14:paraId="56A891C4" w14:textId="77777777" w:rsidR="008A0506" w:rsidRDefault="008A0506" w:rsidP="00425AEF">
      <w:pPr>
        <w:jc w:val="center"/>
      </w:pPr>
    </w:p>
    <w:p w14:paraId="1BECEB97" w14:textId="77777777" w:rsidR="008A0506" w:rsidRPr="00CE0D30" w:rsidRDefault="008A0506" w:rsidP="00425AEF">
      <w:pPr>
        <w:jc w:val="center"/>
      </w:pPr>
    </w:p>
    <w:p w14:paraId="6B16BC18" w14:textId="77777777" w:rsidR="00425AEF" w:rsidRPr="00CE0D30" w:rsidRDefault="00425AEF" w:rsidP="00425AEF">
      <w:pPr>
        <w:jc w:val="center"/>
      </w:pPr>
    </w:p>
    <w:p w14:paraId="623AE66B" w14:textId="77777777" w:rsidR="00425AEF" w:rsidRPr="00CE0D30" w:rsidRDefault="00425AEF" w:rsidP="00425AEF">
      <w:pPr>
        <w:jc w:val="center"/>
      </w:pPr>
    </w:p>
    <w:p w14:paraId="08A680E6" w14:textId="77777777" w:rsidR="00425AEF" w:rsidRPr="00CE0D30" w:rsidRDefault="00425AEF" w:rsidP="00425AEF">
      <w:pPr>
        <w:jc w:val="center"/>
      </w:pPr>
    </w:p>
    <w:p w14:paraId="76ABABDA" w14:textId="77777777" w:rsidR="00425AEF" w:rsidRPr="00CE0D30" w:rsidRDefault="00425AEF" w:rsidP="00425AEF">
      <w:pPr>
        <w:jc w:val="center"/>
      </w:pPr>
    </w:p>
    <w:p w14:paraId="32ECC228" w14:textId="77777777" w:rsidR="00425AEF" w:rsidRPr="00CE0D30" w:rsidRDefault="00425AEF" w:rsidP="00425AEF">
      <w:pPr>
        <w:jc w:val="center"/>
      </w:pPr>
    </w:p>
    <w:p w14:paraId="3FE14B07" w14:textId="77777777" w:rsidR="00425AEF" w:rsidRDefault="00425AEF" w:rsidP="00425AEF">
      <w:pPr>
        <w:pStyle w:val="Corpodetexto"/>
        <w:jc w:val="center"/>
      </w:pPr>
      <w:r>
        <w:rPr>
          <w:sz w:val="28"/>
        </w:rPr>
        <w:t>Moderna Teoria das Carteiras no Mercado de Ações Brasileiro:</w:t>
      </w:r>
    </w:p>
    <w:p w14:paraId="410824DC" w14:textId="77777777" w:rsidR="00425AEF" w:rsidRPr="00CE0D30" w:rsidRDefault="00425AEF" w:rsidP="00425AEF">
      <w:pPr>
        <w:jc w:val="center"/>
        <w:rPr>
          <w:sz w:val="32"/>
        </w:rPr>
      </w:pPr>
      <w:r>
        <w:t>Comparação entre Otimizadores e Inputs</w:t>
      </w:r>
    </w:p>
    <w:p w14:paraId="707AD32D" w14:textId="77777777" w:rsidR="00425AEF" w:rsidRPr="00CE0D30" w:rsidRDefault="00425AEF" w:rsidP="00425AEF">
      <w:pPr>
        <w:jc w:val="center"/>
      </w:pPr>
    </w:p>
    <w:p w14:paraId="33045B96" w14:textId="77777777" w:rsidR="00425AEF" w:rsidRPr="00CE0D30" w:rsidRDefault="00425AEF" w:rsidP="00425AEF">
      <w:pPr>
        <w:jc w:val="center"/>
      </w:pPr>
    </w:p>
    <w:p w14:paraId="493A553F" w14:textId="77777777" w:rsidR="00425AEF" w:rsidRPr="00CE0D30" w:rsidRDefault="00425AEF" w:rsidP="00425AEF">
      <w:pPr>
        <w:jc w:val="center"/>
      </w:pPr>
    </w:p>
    <w:p w14:paraId="5DE51DDD" w14:textId="77777777" w:rsidR="00425AEF" w:rsidRPr="00CE0D30" w:rsidRDefault="00425AEF" w:rsidP="00425AEF">
      <w:pPr>
        <w:jc w:val="center"/>
      </w:pPr>
    </w:p>
    <w:p w14:paraId="39B7882B" w14:textId="77777777" w:rsidR="00425AEF" w:rsidRPr="00CE0D30" w:rsidRDefault="00425AEF" w:rsidP="00425AEF">
      <w:pPr>
        <w:jc w:val="center"/>
      </w:pPr>
    </w:p>
    <w:p w14:paraId="50EFAE24" w14:textId="77777777" w:rsidR="00425AEF" w:rsidRPr="00CE0D30" w:rsidRDefault="00425AEF" w:rsidP="00425AEF">
      <w:pPr>
        <w:jc w:val="center"/>
      </w:pPr>
    </w:p>
    <w:p w14:paraId="15F870B9" w14:textId="77777777" w:rsidR="00425AEF" w:rsidRPr="00CE0D30" w:rsidRDefault="00425AEF" w:rsidP="00425AEF">
      <w:pPr>
        <w:jc w:val="center"/>
      </w:pPr>
    </w:p>
    <w:p w14:paraId="77093448" w14:textId="77777777" w:rsidR="00425AEF" w:rsidRPr="00CE0D30" w:rsidRDefault="00425AEF" w:rsidP="00425AEF">
      <w:pPr>
        <w:jc w:val="center"/>
      </w:pPr>
    </w:p>
    <w:p w14:paraId="3727AE82" w14:textId="77777777" w:rsidR="00425AEF" w:rsidRPr="00CE0D30" w:rsidRDefault="00425AEF" w:rsidP="00425AEF">
      <w:pPr>
        <w:jc w:val="center"/>
      </w:pPr>
    </w:p>
    <w:p w14:paraId="085E90EA" w14:textId="77777777" w:rsidR="00425AEF" w:rsidRDefault="00425AEF" w:rsidP="00425AEF">
      <w:pPr>
        <w:jc w:val="center"/>
      </w:pPr>
    </w:p>
    <w:p w14:paraId="2EEA12C3" w14:textId="77777777" w:rsidR="008A0506" w:rsidRPr="00CE0D30" w:rsidRDefault="008A0506" w:rsidP="00425AEF">
      <w:pPr>
        <w:jc w:val="center"/>
      </w:pPr>
    </w:p>
    <w:p w14:paraId="64DE8DB1" w14:textId="77777777" w:rsidR="00425AEF" w:rsidRPr="00CE0D30" w:rsidRDefault="00425AEF" w:rsidP="00425AEF">
      <w:pPr>
        <w:jc w:val="center"/>
      </w:pPr>
    </w:p>
    <w:p w14:paraId="48EEAABF" w14:textId="77777777" w:rsidR="00425AEF" w:rsidRPr="00CE0D30" w:rsidRDefault="00425AEF" w:rsidP="00425AEF">
      <w:pPr>
        <w:jc w:val="center"/>
      </w:pPr>
    </w:p>
    <w:p w14:paraId="07194D5D" w14:textId="77777777" w:rsidR="00425AEF" w:rsidRDefault="00425AEF" w:rsidP="00425AEF">
      <w:pPr>
        <w:jc w:val="center"/>
      </w:pPr>
    </w:p>
    <w:p w14:paraId="70B99271" w14:textId="77777777" w:rsidR="008A0506" w:rsidRDefault="008A0506" w:rsidP="00425AEF">
      <w:pPr>
        <w:jc w:val="center"/>
      </w:pPr>
    </w:p>
    <w:p w14:paraId="1A33F8F5" w14:textId="77777777" w:rsidR="008A0506" w:rsidRDefault="008A0506" w:rsidP="00425AEF">
      <w:pPr>
        <w:jc w:val="center"/>
      </w:pPr>
    </w:p>
    <w:p w14:paraId="56E284E0" w14:textId="77777777" w:rsidR="00425AEF" w:rsidRPr="00CE0D30" w:rsidRDefault="00425AEF" w:rsidP="00425AEF">
      <w:pPr>
        <w:jc w:val="center"/>
      </w:pPr>
    </w:p>
    <w:p w14:paraId="4B107637" w14:textId="77777777" w:rsidR="00425AEF" w:rsidRPr="00CE0D30" w:rsidRDefault="00425AEF" w:rsidP="00425AEF">
      <w:pPr>
        <w:jc w:val="center"/>
      </w:pPr>
    </w:p>
    <w:p w14:paraId="51940AF3" w14:textId="77777777" w:rsidR="00425AEF" w:rsidRPr="00CE0D30" w:rsidRDefault="00425AEF" w:rsidP="00425AEF">
      <w:pPr>
        <w:jc w:val="center"/>
      </w:pPr>
      <w:r>
        <w:t>Goiânia - GO</w:t>
      </w:r>
    </w:p>
    <w:p w14:paraId="3774E67E" w14:textId="77777777" w:rsidR="008A0506" w:rsidRDefault="00425AEF" w:rsidP="008A0506">
      <w:pPr>
        <w:jc w:val="center"/>
      </w:pPr>
      <w:r>
        <w:t>2026</w:t>
        <w:br w:type="page"/>
      </w:r>
    </w:p>
    <w:p w14:paraId="1ABB3DED" w14:textId="77777777" w:rsidR="00425AEF" w:rsidRDefault="00425AEF" w:rsidP="00425AEF">
      <w:pPr>
        <w:pStyle w:val="PargrafodaLista"/>
        <w:ind w:left="0"/>
        <w:jc w:val="center"/>
      </w:pPr>
      <w:r>
        <w:lastRenderedPageBreak/>
        <w:t xml:space="preserve">Termo de Ciência e de Autorização TCCG (RI) </w:t>
      </w:r>
    </w:p>
    <w:p w14:paraId="1C4371E2" w14:textId="77777777" w:rsidR="00425AEF" w:rsidRPr="00CE0D30" w:rsidRDefault="00425AEF" w:rsidP="00425AEF">
      <w:pPr>
        <w:pStyle w:val="PargrafodaLista"/>
        <w:ind w:left="0"/>
        <w:jc w:val="center"/>
      </w:pPr>
      <w:r>
        <w:t>(Orientador anexa documento, assina e disponibiliza a assinatura para o orientando via SEI)</w:t>
      </w:r>
    </w:p>
    <w:p w14:paraId="6274BB33" w14:textId="77777777" w:rsidR="00425AEF" w:rsidRPr="00CE0D30" w:rsidRDefault="00425AEF" w:rsidP="00425AEF">
      <w:r>
        <w:br w:type="page"/>
      </w:r>
    </w:p>
    <w:p w14:paraId="333E7409" w14:textId="77777777" w:rsidR="00425AEF" w:rsidRPr="00CE0D30" w:rsidRDefault="00425AEF" w:rsidP="00425AEF">
      <w:pPr>
        <w:pStyle w:val="PargrafodaLista"/>
        <w:ind w:left="0"/>
        <w:jc w:val="center"/>
        <w:rPr>
          <w:sz w:val="28"/>
        </w:rPr>
      </w:pPr>
      <w:r>
        <w:rPr>
          <w:sz w:val="28"/>
        </w:rPr>
        <w:lastRenderedPageBreak/>
        <w:t>PEDRO AUGUSTO PINHEIRO REIS</w:t>
      </w:r>
    </w:p>
    <w:p w14:paraId="7DF6554F" w14:textId="77777777" w:rsidR="00425AEF" w:rsidRPr="00CE0D30" w:rsidRDefault="00425AEF" w:rsidP="00425AEF">
      <w:pPr>
        <w:pStyle w:val="PargrafodaLista"/>
        <w:ind w:left="0" w:firstLine="0"/>
        <w:jc w:val="center"/>
      </w:pPr>
    </w:p>
    <w:p w14:paraId="6E33A1F2" w14:textId="77777777" w:rsidR="00425AEF" w:rsidRPr="00CE0D30" w:rsidRDefault="00425AEF" w:rsidP="00425AEF">
      <w:pPr>
        <w:pStyle w:val="PargrafodaLista"/>
        <w:ind w:left="0" w:firstLine="0"/>
        <w:jc w:val="center"/>
      </w:pPr>
    </w:p>
    <w:p w14:paraId="4DD8B0A2" w14:textId="77777777" w:rsidR="00425AEF" w:rsidRPr="00CE0D30" w:rsidRDefault="00425AEF" w:rsidP="00425AEF">
      <w:pPr>
        <w:pStyle w:val="PargrafodaLista"/>
        <w:ind w:left="0" w:firstLine="0"/>
        <w:jc w:val="center"/>
      </w:pPr>
    </w:p>
    <w:p w14:paraId="0CFD0A1A" w14:textId="77777777" w:rsidR="00425AEF" w:rsidRDefault="00425AEF" w:rsidP="00425AEF">
      <w:pPr>
        <w:jc w:val="center"/>
      </w:pPr>
    </w:p>
    <w:p w14:paraId="6279335A" w14:textId="77777777" w:rsidR="00425AEF" w:rsidRPr="00CE0D30" w:rsidRDefault="00425AEF" w:rsidP="00425AEF">
      <w:pPr>
        <w:jc w:val="center"/>
      </w:pPr>
    </w:p>
    <w:p w14:paraId="5EB3EE77" w14:textId="77777777" w:rsidR="00425AEF" w:rsidRPr="00CE0D30" w:rsidRDefault="00425AEF" w:rsidP="00425AEF">
      <w:pPr>
        <w:jc w:val="center"/>
      </w:pPr>
    </w:p>
    <w:p w14:paraId="37D04537" w14:textId="77777777" w:rsidR="00425AEF" w:rsidRPr="00CE0D30" w:rsidRDefault="00425AEF" w:rsidP="00425AEF">
      <w:pPr>
        <w:jc w:val="center"/>
      </w:pPr>
    </w:p>
    <w:p w14:paraId="4BFC1DBB" w14:textId="77777777" w:rsidR="00425AEF" w:rsidRPr="00CE0D30" w:rsidRDefault="00425AEF" w:rsidP="00425AEF">
      <w:pPr>
        <w:jc w:val="center"/>
      </w:pPr>
    </w:p>
    <w:p w14:paraId="220D651A" w14:textId="77777777" w:rsidR="00425AEF" w:rsidRPr="00CE0D30" w:rsidRDefault="00425AEF" w:rsidP="00425AEF">
      <w:pPr>
        <w:jc w:val="center"/>
      </w:pPr>
    </w:p>
    <w:p w14:paraId="76EC6BEF" w14:textId="77777777" w:rsidR="00425AEF" w:rsidRPr="00CE0D30" w:rsidRDefault="00425AEF" w:rsidP="00425AEF">
      <w:pPr>
        <w:jc w:val="center"/>
      </w:pPr>
    </w:p>
    <w:p w14:paraId="66F5B9B1" w14:textId="77777777" w:rsidR="00425AEF" w:rsidRPr="00CE0D30" w:rsidRDefault="00425AEF" w:rsidP="00425AEF">
      <w:pPr>
        <w:jc w:val="center"/>
      </w:pPr>
    </w:p>
    <w:p w14:paraId="7BE19D87" w14:textId="77777777" w:rsidR="00425AEF" w:rsidRPr="00CE0D30" w:rsidRDefault="00425AEF" w:rsidP="00425AEF">
      <w:pPr>
        <w:jc w:val="center"/>
      </w:pPr>
    </w:p>
    <w:p w14:paraId="19654945" w14:textId="77777777" w:rsidR="00425AEF" w:rsidRPr="00CE0D30" w:rsidRDefault="00425AEF" w:rsidP="00425AEF">
      <w:pPr>
        <w:jc w:val="center"/>
      </w:pPr>
    </w:p>
    <w:p w14:paraId="5DB88E0B" w14:textId="77777777" w:rsidR="00425AEF" w:rsidRPr="00CE0D30" w:rsidRDefault="00425AEF" w:rsidP="00425AEF">
      <w:pPr>
        <w:jc w:val="center"/>
      </w:pPr>
    </w:p>
    <w:p w14:paraId="0C2E1BC2" w14:textId="77777777" w:rsidR="00425AEF" w:rsidRDefault="00425AEF" w:rsidP="00425AEF">
      <w:pPr>
        <w:jc w:val="center"/>
      </w:pPr>
    </w:p>
    <w:p w14:paraId="5FEB9A32" w14:textId="77777777" w:rsidR="008A0506" w:rsidRPr="00CE0D30" w:rsidRDefault="008A0506" w:rsidP="00425AEF">
      <w:pPr>
        <w:jc w:val="center"/>
      </w:pPr>
    </w:p>
    <w:p w14:paraId="6C875D42" w14:textId="77777777" w:rsidR="00425AEF" w:rsidRPr="00CE0D30" w:rsidRDefault="00425AEF" w:rsidP="00425AEF">
      <w:pPr>
        <w:jc w:val="center"/>
      </w:pPr>
    </w:p>
    <w:p w14:paraId="201198CD" w14:textId="77777777" w:rsidR="00425AEF" w:rsidRPr="00CE0D30" w:rsidRDefault="00425AEF" w:rsidP="00425AEF">
      <w:pPr>
        <w:jc w:val="center"/>
      </w:pPr>
    </w:p>
    <w:p w14:paraId="5E1FB2A2" w14:textId="77777777" w:rsidR="00425AEF" w:rsidRPr="00CE0D30" w:rsidRDefault="00425AEF" w:rsidP="00425AEF">
      <w:pPr>
        <w:jc w:val="center"/>
      </w:pPr>
    </w:p>
    <w:p w14:paraId="0114D99B" w14:textId="77777777" w:rsidR="00425AEF" w:rsidRDefault="00425AEF" w:rsidP="00425AEF">
      <w:pPr>
        <w:pStyle w:val="Corpodetexto"/>
        <w:jc w:val="center"/>
      </w:pPr>
      <w:r>
        <w:rPr>
          <w:sz w:val="28"/>
        </w:rPr>
        <w:t>Moderna Teoria das Carteiras no Mercado de Ações Brasileiro:</w:t>
      </w:r>
    </w:p>
    <w:p w14:paraId="17ECC03D" w14:textId="77777777" w:rsidR="00425AEF" w:rsidRPr="00CE0D30" w:rsidRDefault="00425AEF" w:rsidP="00425AEF">
      <w:pPr>
        <w:jc w:val="center"/>
        <w:rPr>
          <w:sz w:val="32"/>
        </w:rPr>
      </w:pPr>
      <w:r>
        <w:t>Comparação entre Otimizadores e Inputs</w:t>
      </w:r>
    </w:p>
    <w:p w14:paraId="7097AF16" w14:textId="77777777" w:rsidR="00425AEF" w:rsidRPr="00CE0D30" w:rsidRDefault="00425AEF" w:rsidP="00425AEF">
      <w:pPr>
        <w:jc w:val="center"/>
      </w:pPr>
    </w:p>
    <w:p w14:paraId="0624DCEA" w14:textId="77777777" w:rsidR="00425AEF" w:rsidRPr="00CE0D30" w:rsidRDefault="00425AEF" w:rsidP="00425AEF">
      <w:pPr>
        <w:jc w:val="center"/>
      </w:pPr>
    </w:p>
    <w:p w14:paraId="4F3BA6E4" w14:textId="77777777" w:rsidR="00425AEF" w:rsidRPr="00CE0D30" w:rsidRDefault="00425AEF" w:rsidP="00425AEF">
      <w:pPr>
        <w:jc w:val="center"/>
      </w:pPr>
    </w:p>
    <w:p w14:paraId="3E7E6746" w14:textId="77777777" w:rsidR="00425AEF" w:rsidRPr="00CE0D30" w:rsidRDefault="00425AEF" w:rsidP="00425AEF">
      <w:pPr>
        <w:jc w:val="center"/>
      </w:pPr>
    </w:p>
    <w:p w14:paraId="124CB83B" w14:textId="77777777" w:rsidR="00425AEF" w:rsidRPr="00CE0D30" w:rsidRDefault="00425AEF" w:rsidP="00425AEF">
      <w:pPr>
        <w:jc w:val="center"/>
      </w:pPr>
    </w:p>
    <w:p w14:paraId="24447412" w14:textId="77777777" w:rsidR="00425AEF" w:rsidRDefault="00425AEF" w:rsidP="00425AEF">
      <w:pPr>
        <w:jc w:val="center"/>
      </w:pPr>
    </w:p>
    <w:p w14:paraId="712598B3" w14:textId="77777777" w:rsidR="008A0506" w:rsidRPr="00CE0D30" w:rsidRDefault="008A0506" w:rsidP="00425AEF">
      <w:pPr>
        <w:jc w:val="center"/>
      </w:pPr>
    </w:p>
    <w:p w14:paraId="4A5FF3C7" w14:textId="77777777" w:rsidR="00425AEF" w:rsidRPr="00CE0D30" w:rsidRDefault="00425AEF" w:rsidP="00425AEF">
      <w:pPr>
        <w:jc w:val="center"/>
      </w:pPr>
    </w:p>
    <w:p w14:paraId="5E17F0BC" w14:textId="77777777" w:rsidR="00425AEF" w:rsidRDefault="00425AEF" w:rsidP="00425AEF">
      <w:pPr>
        <w:jc w:val="center"/>
      </w:pPr>
    </w:p>
    <w:p w14:paraId="577B3529" w14:textId="77777777" w:rsidR="008A0506" w:rsidRPr="00CE0D30" w:rsidRDefault="008A0506" w:rsidP="00425AEF">
      <w:pPr>
        <w:jc w:val="center"/>
      </w:pPr>
    </w:p>
    <w:p w14:paraId="2CB35012" w14:textId="77777777" w:rsidR="00425AEF" w:rsidRPr="00CE0D30" w:rsidRDefault="00425AEF" w:rsidP="00425AEF">
      <w:pPr>
        <w:jc w:val="center"/>
      </w:pPr>
    </w:p>
    <w:p w14:paraId="761384C6" w14:textId="77777777" w:rsidR="00425AEF" w:rsidRPr="00CE0D30" w:rsidRDefault="00425AEF" w:rsidP="00425AEF">
      <w:pPr>
        <w:jc w:val="center"/>
      </w:pPr>
    </w:p>
    <w:p w14:paraId="65D98FA5" w14:textId="77777777" w:rsidR="00425AEF" w:rsidRPr="00CE0D30" w:rsidRDefault="00425AEF" w:rsidP="00425AEF">
      <w:pPr>
        <w:ind w:left="4536"/>
        <w:jc w:val="both"/>
        <w:rPr>
          <w:bCs/>
          <w:noProof/>
        </w:rPr>
      </w:pPr>
      <w:r>
        <w:rPr>
          <w:bCs/>
          <w:noProof/>
        </w:rPr>
        <w:t xml:space="preserve">Trabalho de Conclusão de Curso apresentado ao Curso de Ciências Contábeis da Faculdade de Administração, Ciências Contábeis e Ciências Econômicas da Universidade Federal de Goiás como requisito parcial para a obtenção do título de Bacharel em Ciências Contábeis. </w:t>
      </w:r>
    </w:p>
    <w:p w14:paraId="6668A68C" w14:textId="77777777" w:rsidR="00425AEF" w:rsidRPr="00CE0D30" w:rsidRDefault="00425AEF" w:rsidP="00425AEF">
      <w:pPr>
        <w:ind w:left="4536"/>
        <w:jc w:val="both"/>
        <w:rPr>
          <w:bCs/>
          <w:noProof/>
        </w:rPr>
      </w:pPr>
    </w:p>
    <w:p w14:paraId="57CA417E" w14:textId="77777777" w:rsidR="00425AEF" w:rsidRPr="00CE0D30" w:rsidRDefault="00425AEF" w:rsidP="00425AEF">
      <w:pPr>
        <w:ind w:left="4536"/>
        <w:jc w:val="both"/>
        <w:rPr>
          <w:bCs/>
          <w:noProof/>
        </w:rPr>
      </w:pPr>
      <w:r>
        <w:rPr>
          <w:bCs/>
          <w:noProof/>
        </w:rPr>
        <w:t>Orientador(a): Prof.(a) Dr. Moisés Ferreira da Cunha</w:t>
      </w:r>
    </w:p>
    <w:p w14:paraId="053F698D" w14:textId="77777777" w:rsidR="00425AEF" w:rsidRPr="00CE0D30" w:rsidRDefault="00425AEF" w:rsidP="00425AEF">
      <w:pPr>
        <w:jc w:val="center"/>
      </w:pPr>
    </w:p>
    <w:p w14:paraId="6CC0F37A" w14:textId="77777777" w:rsidR="00425AEF" w:rsidRPr="00CE0D30" w:rsidRDefault="00425AEF" w:rsidP="00425AEF">
      <w:pPr>
        <w:jc w:val="center"/>
      </w:pPr>
    </w:p>
    <w:p w14:paraId="4149846F" w14:textId="77777777" w:rsidR="00425AEF" w:rsidRPr="00CE0D30" w:rsidRDefault="00425AEF" w:rsidP="00425AEF"/>
    <w:p w14:paraId="3C6A6C91" w14:textId="77777777" w:rsidR="00425AEF" w:rsidRDefault="00425AEF" w:rsidP="00425AEF"/>
    <w:p w14:paraId="59D3D323" w14:textId="77777777" w:rsidR="008A0506" w:rsidRPr="00CE0D30" w:rsidRDefault="008A0506" w:rsidP="00425AEF"/>
    <w:p w14:paraId="2E57C51A" w14:textId="77777777" w:rsidR="00425AEF" w:rsidRDefault="00425AEF" w:rsidP="00425AEF"/>
    <w:p w14:paraId="783132AF" w14:textId="77777777" w:rsidR="008A0506" w:rsidRPr="00CE0D30" w:rsidRDefault="008A0506" w:rsidP="00425AEF"/>
    <w:p w14:paraId="12726547" w14:textId="77777777" w:rsidR="00425AEF" w:rsidRPr="00CE0D30" w:rsidRDefault="00425AEF" w:rsidP="00425AEF"/>
    <w:p w14:paraId="49A41874" w14:textId="77777777" w:rsidR="00425AEF" w:rsidRPr="00CE0D30" w:rsidRDefault="00425AEF" w:rsidP="00425AEF"/>
    <w:p w14:paraId="374AF4CE" w14:textId="77777777" w:rsidR="00425AEF" w:rsidRPr="00CE0D30" w:rsidRDefault="00425AEF" w:rsidP="00425AEF">
      <w:pPr>
        <w:jc w:val="center"/>
      </w:pPr>
      <w:r>
        <w:t>Goiânia</w:t>
      </w:r>
    </w:p>
    <w:p w14:paraId="519E546F" w14:textId="77777777" w:rsidR="00425AEF" w:rsidRDefault="00425AEF" w:rsidP="00425AEF">
      <w:pPr>
        <w:jc w:val="center"/>
        <w:sectPr w:rsidR="00425AEF" w:rsidSect="00B8687C">
          <w:pgSz w:w="11900" w:h="16840"/>
          <w:pgMar w:top="1701" w:right="1134" w:bottom="1134" w:left="1701" w:header="709" w:footer="709" w:gutter="0"/>
          <w:cols w:space="708"/>
          <w:docGrid w:linePitch="360"/>
        </w:sectPr>
      </w:pPr>
      <w:r>
        <w:t>2026</w:t>
      </w:r>
    </w:p>
    <w:p w14:paraId="4219F8BF" w14:textId="77777777" w:rsidR="00425AEF" w:rsidRPr="00CE0D30" w:rsidRDefault="00425AEF" w:rsidP="00425AEF">
      <w:pPr>
        <w:jc w:val="center"/>
      </w:pPr>
    </w:p>
    <w:p w14:paraId="796889BB" w14:textId="77777777" w:rsidR="00425AEF" w:rsidRPr="00CE0D30" w:rsidRDefault="00425AEF" w:rsidP="00425AEF">
      <w:pPr>
        <w:jc w:val="center"/>
      </w:pPr>
    </w:p>
    <w:p w14:paraId="3A78BCAD" w14:textId="77777777" w:rsidR="00425AEF" w:rsidRPr="00CE0D30" w:rsidRDefault="00425AEF" w:rsidP="00425AEF">
      <w:pPr>
        <w:jc w:val="center"/>
      </w:pPr>
    </w:p>
    <w:p w14:paraId="44EB087F" w14:textId="77777777" w:rsidR="00425AEF" w:rsidRPr="00CE0D30" w:rsidRDefault="00425AEF" w:rsidP="00425AEF">
      <w:pPr>
        <w:jc w:val="center"/>
      </w:pPr>
    </w:p>
    <w:p w14:paraId="07B1CD34" w14:textId="77777777" w:rsidR="00425AEF" w:rsidRPr="00CE0D30" w:rsidRDefault="00425AEF" w:rsidP="00425AEF">
      <w:pPr>
        <w:jc w:val="center"/>
      </w:pPr>
    </w:p>
    <w:p w14:paraId="4B19E7EE" w14:textId="77777777" w:rsidR="00425AEF" w:rsidRPr="00CE0D30" w:rsidRDefault="00425AEF" w:rsidP="00425AEF">
      <w:pPr>
        <w:jc w:val="center"/>
      </w:pPr>
    </w:p>
    <w:p w14:paraId="3BE37D76" w14:textId="77777777" w:rsidR="00425AEF" w:rsidRPr="00CE0D30" w:rsidRDefault="00425AEF" w:rsidP="00425AEF">
      <w:pPr>
        <w:jc w:val="center"/>
      </w:pPr>
    </w:p>
    <w:p w14:paraId="2150F634" w14:textId="77777777" w:rsidR="00425AEF" w:rsidRPr="00CE0D30" w:rsidRDefault="00425AEF" w:rsidP="00425AEF">
      <w:pPr>
        <w:jc w:val="center"/>
      </w:pPr>
    </w:p>
    <w:p w14:paraId="3A01F6AB" w14:textId="77777777" w:rsidR="00425AEF" w:rsidRPr="00CE0D30" w:rsidRDefault="00425AEF" w:rsidP="00425AEF">
      <w:pPr>
        <w:jc w:val="center"/>
      </w:pPr>
    </w:p>
    <w:p w14:paraId="7860C66C" w14:textId="77777777" w:rsidR="00425AEF" w:rsidRPr="00CE0D30" w:rsidRDefault="00425AEF" w:rsidP="00425AEF">
      <w:pPr>
        <w:jc w:val="center"/>
      </w:pPr>
    </w:p>
    <w:p w14:paraId="33A9284D" w14:textId="77777777" w:rsidR="00425AEF" w:rsidRPr="00CE0D30" w:rsidRDefault="00425AEF" w:rsidP="00425AEF">
      <w:pPr>
        <w:jc w:val="center"/>
      </w:pPr>
    </w:p>
    <w:p w14:paraId="7B7BF09B" w14:textId="77777777" w:rsidR="00425AEF" w:rsidRPr="00CE0D30" w:rsidRDefault="00425AEF" w:rsidP="00425AEF">
      <w:pPr>
        <w:jc w:val="center"/>
      </w:pPr>
    </w:p>
    <w:p w14:paraId="5CCA53F5" w14:textId="77777777" w:rsidR="00425AEF" w:rsidRPr="00CE0D30" w:rsidRDefault="00425AEF" w:rsidP="00425AEF">
      <w:pPr>
        <w:jc w:val="center"/>
      </w:pPr>
    </w:p>
    <w:p w14:paraId="5903BC56" w14:textId="77777777" w:rsidR="00425AEF" w:rsidRPr="00CE0D30" w:rsidRDefault="00425AEF" w:rsidP="00425AEF">
      <w:pPr>
        <w:jc w:val="center"/>
      </w:pPr>
    </w:p>
    <w:p w14:paraId="7F5D2361" w14:textId="77777777" w:rsidR="00425AEF" w:rsidRPr="00CE0D30" w:rsidRDefault="00425AEF" w:rsidP="00425AEF">
      <w:pPr>
        <w:jc w:val="center"/>
      </w:pPr>
    </w:p>
    <w:p w14:paraId="33232EE9" w14:textId="77777777" w:rsidR="00425AEF" w:rsidRPr="00CE0D30" w:rsidRDefault="00425AEF" w:rsidP="00425AEF">
      <w:pPr>
        <w:jc w:val="center"/>
      </w:pPr>
    </w:p>
    <w:p w14:paraId="67CB5F0F" w14:textId="77777777" w:rsidR="00425AEF" w:rsidRPr="00CE0D30" w:rsidRDefault="00425AEF" w:rsidP="00425AEF">
      <w:pPr>
        <w:jc w:val="center"/>
      </w:pPr>
    </w:p>
    <w:p w14:paraId="000AA80E" w14:textId="77777777" w:rsidR="00425AEF" w:rsidRPr="00CE0D30" w:rsidRDefault="00425AEF" w:rsidP="00425AEF">
      <w:pPr>
        <w:jc w:val="center"/>
      </w:pPr>
    </w:p>
    <w:p w14:paraId="33DDE040" w14:textId="77777777" w:rsidR="00425AEF" w:rsidRPr="00CE0D30" w:rsidRDefault="00425AEF" w:rsidP="00425AEF">
      <w:pPr>
        <w:jc w:val="center"/>
      </w:pPr>
    </w:p>
    <w:p w14:paraId="61F0D5CF" w14:textId="77777777" w:rsidR="00425AEF" w:rsidRPr="00CE0D30" w:rsidRDefault="00425AEF" w:rsidP="00425AEF">
      <w:pPr>
        <w:jc w:val="center"/>
      </w:pPr>
    </w:p>
    <w:p w14:paraId="6F475684" w14:textId="77777777" w:rsidR="00425AEF" w:rsidRPr="00CE0D30" w:rsidRDefault="00425AEF" w:rsidP="00425AEF">
      <w:pPr>
        <w:jc w:val="center"/>
      </w:pPr>
    </w:p>
    <w:p w14:paraId="1ECEEA82" w14:textId="77777777" w:rsidR="00425AEF" w:rsidRPr="00CE0D30" w:rsidRDefault="00425AEF" w:rsidP="00425AEF">
      <w:pPr>
        <w:jc w:val="center"/>
      </w:pPr>
    </w:p>
    <w:p w14:paraId="03074E14" w14:textId="77777777" w:rsidR="00425AEF" w:rsidRPr="00CE0D30" w:rsidRDefault="00425AEF" w:rsidP="00425AEF">
      <w:pPr>
        <w:jc w:val="center"/>
      </w:pPr>
    </w:p>
    <w:p w14:paraId="4A4B085E" w14:textId="77777777" w:rsidR="00425AEF" w:rsidRPr="00CE0D30" w:rsidRDefault="00425AEF" w:rsidP="00425AEF">
      <w:pPr>
        <w:jc w:val="center"/>
      </w:pPr>
    </w:p>
    <w:p w14:paraId="3B8CD358" w14:textId="77777777" w:rsidR="00425AEF" w:rsidRPr="00CE0D30" w:rsidRDefault="00425AEF" w:rsidP="00425AEF">
      <w:pPr>
        <w:jc w:val="center"/>
      </w:pPr>
    </w:p>
    <w:p w14:paraId="2494B59B" w14:textId="77777777" w:rsidR="00425AEF" w:rsidRPr="00CE0D30" w:rsidRDefault="00425AEF" w:rsidP="00425AEF">
      <w:pPr>
        <w:jc w:val="center"/>
      </w:pPr>
    </w:p>
    <w:p w14:paraId="7807BE97" w14:textId="77777777" w:rsidR="00425AEF" w:rsidRPr="00CE0D30" w:rsidRDefault="00425AEF" w:rsidP="00425AEF">
      <w:pPr>
        <w:jc w:val="center"/>
      </w:pPr>
      <w:r>
        <w:t>Ficha Catalográfica</w:t>
      </w:r>
    </w:p>
    <w:p w14:paraId="5C27AB67" w14:textId="77777777" w:rsidR="00425AEF" w:rsidRPr="00CE0D30" w:rsidRDefault="00425AEF" w:rsidP="00425AEF">
      <w:pPr>
        <w:jc w:val="center"/>
      </w:pPr>
      <w:r>
        <w:t>(</w:t>
      </w:r>
      <w:hyperlink r:id="rId9" w:history="1">
        <w:r>
          <w:rPr>
            <w:rStyle w:val="Hyperlink"/>
          </w:rPr>
          <w:t>https://www.bc.ufg.br/p/3398-ficha-catalografica</w:t>
        </w:r>
      </w:hyperlink>
      <w:r>
        <w:t>)</w:t>
      </w:r>
    </w:p>
    <w:p w14:paraId="78E774B1" w14:textId="77777777" w:rsidR="00425AEF" w:rsidRPr="00CE0D30" w:rsidRDefault="00425AEF" w:rsidP="00425AEF">
      <w:pPr>
        <w:jc w:val="center"/>
      </w:pPr>
    </w:p>
    <w:p w14:paraId="6274A82E" w14:textId="77777777" w:rsidR="00425AEF" w:rsidRPr="00CE0D30" w:rsidRDefault="00425AEF" w:rsidP="00425AEF">
      <w:pPr>
        <w:jc w:val="center"/>
      </w:pPr>
    </w:p>
    <w:p w14:paraId="3064CC8C" w14:textId="77777777" w:rsidR="00425AEF" w:rsidRPr="00CE0D30" w:rsidRDefault="00425AEF" w:rsidP="00425AEF">
      <w:pPr>
        <w:jc w:val="center"/>
      </w:pPr>
    </w:p>
    <w:p w14:paraId="2607D68D" w14:textId="77777777" w:rsidR="00425AEF" w:rsidRPr="00CE0D30" w:rsidRDefault="00425AEF" w:rsidP="00425AEF">
      <w:pPr>
        <w:jc w:val="center"/>
      </w:pPr>
    </w:p>
    <w:p w14:paraId="15BEA1D6" w14:textId="77777777" w:rsidR="00425AEF" w:rsidRPr="00CE0D30" w:rsidRDefault="00425AEF" w:rsidP="00425AEF">
      <w:pPr>
        <w:jc w:val="center"/>
      </w:pPr>
    </w:p>
    <w:p w14:paraId="4D535493" w14:textId="77777777" w:rsidR="00425AEF" w:rsidRPr="00CE0D30" w:rsidRDefault="00425AEF" w:rsidP="00425AEF">
      <w:pPr>
        <w:jc w:val="center"/>
      </w:pPr>
    </w:p>
    <w:p w14:paraId="10E07055" w14:textId="77777777" w:rsidR="00425AEF" w:rsidRPr="00CE0D30" w:rsidRDefault="00425AEF" w:rsidP="00425AEF">
      <w:pPr>
        <w:jc w:val="center"/>
      </w:pPr>
    </w:p>
    <w:p w14:paraId="0D423A0F" w14:textId="77777777" w:rsidR="00425AEF" w:rsidRPr="00CE0D30" w:rsidRDefault="00425AEF" w:rsidP="00425AEF">
      <w:pPr>
        <w:jc w:val="center"/>
      </w:pPr>
    </w:p>
    <w:p w14:paraId="40BA085F" w14:textId="77777777" w:rsidR="00425AEF" w:rsidRPr="00CE0D30" w:rsidRDefault="00425AEF" w:rsidP="00425AEF">
      <w:pPr>
        <w:jc w:val="center"/>
      </w:pPr>
    </w:p>
    <w:p w14:paraId="3BE003D2" w14:textId="77777777" w:rsidR="00425AEF" w:rsidRPr="00CE0D30" w:rsidRDefault="00425AEF" w:rsidP="00425AEF">
      <w:pPr>
        <w:jc w:val="center"/>
      </w:pPr>
    </w:p>
    <w:p w14:paraId="1BFF6AEE" w14:textId="77777777" w:rsidR="00425AEF" w:rsidRPr="00CE0D30" w:rsidRDefault="00425AEF" w:rsidP="00425AEF">
      <w:pPr>
        <w:jc w:val="center"/>
      </w:pPr>
    </w:p>
    <w:p w14:paraId="30B5E58F" w14:textId="77777777" w:rsidR="00425AEF" w:rsidRPr="00CE0D30" w:rsidRDefault="00425AEF" w:rsidP="00425AEF">
      <w:pPr>
        <w:jc w:val="center"/>
      </w:pPr>
    </w:p>
    <w:p w14:paraId="4D346229" w14:textId="77777777" w:rsidR="00425AEF" w:rsidRPr="00CE0D30" w:rsidRDefault="00425AEF" w:rsidP="00425AEF">
      <w:pPr>
        <w:jc w:val="center"/>
      </w:pPr>
    </w:p>
    <w:p w14:paraId="6DA6961C" w14:textId="77777777" w:rsidR="00425AEF" w:rsidRPr="00CE0D30" w:rsidRDefault="00425AEF" w:rsidP="00425AEF">
      <w:pPr>
        <w:jc w:val="center"/>
      </w:pPr>
    </w:p>
    <w:p w14:paraId="2AD99A7F" w14:textId="77777777" w:rsidR="00425AEF" w:rsidRPr="00CE0D30" w:rsidRDefault="00425AEF" w:rsidP="00425AEF">
      <w:pPr>
        <w:jc w:val="center"/>
      </w:pPr>
    </w:p>
    <w:p w14:paraId="7908CA62" w14:textId="77777777" w:rsidR="00425AEF" w:rsidRPr="00CE0D30" w:rsidRDefault="00425AEF" w:rsidP="00425AEF">
      <w:pPr>
        <w:jc w:val="center"/>
      </w:pPr>
    </w:p>
    <w:p w14:paraId="6149000B" w14:textId="77777777" w:rsidR="00425AEF" w:rsidRPr="00CE0D30" w:rsidRDefault="00425AEF" w:rsidP="00425AEF">
      <w:pPr>
        <w:jc w:val="center"/>
      </w:pPr>
    </w:p>
    <w:p w14:paraId="48939C4F" w14:textId="77777777" w:rsidR="00425AEF" w:rsidRPr="00CE0D30" w:rsidRDefault="00425AEF" w:rsidP="00425AEF">
      <w:pPr>
        <w:jc w:val="center"/>
      </w:pPr>
    </w:p>
    <w:p w14:paraId="61E05545" w14:textId="77777777" w:rsidR="00425AEF" w:rsidRPr="00CE0D30" w:rsidRDefault="00425AEF" w:rsidP="00425AEF">
      <w:pPr>
        <w:jc w:val="center"/>
      </w:pPr>
    </w:p>
    <w:p w14:paraId="76341859" w14:textId="77777777" w:rsidR="00425AEF" w:rsidRPr="00CE0D30" w:rsidRDefault="00425AEF" w:rsidP="00425AEF">
      <w:pPr>
        <w:jc w:val="center"/>
      </w:pPr>
    </w:p>
    <w:p w14:paraId="4796F7D5" w14:textId="77777777" w:rsidR="00425AEF" w:rsidRPr="00CE0D30" w:rsidRDefault="00425AEF" w:rsidP="00425AEF">
      <w:pPr>
        <w:jc w:val="center"/>
      </w:pPr>
    </w:p>
    <w:p w14:paraId="05AE76A2" w14:textId="77777777" w:rsidR="008A0506" w:rsidRDefault="008A0506">
      <w:r>
        <w:br w:type="page"/>
      </w:r>
    </w:p>
    <w:p w14:paraId="1109C693" w14:textId="77777777" w:rsidR="00425AEF" w:rsidRPr="00CE0D30" w:rsidRDefault="00425AEF" w:rsidP="00425AEF">
      <w:pPr>
        <w:jc w:val="center"/>
      </w:pPr>
      <w:r>
        <w:lastRenderedPageBreak/>
        <w:t>Ata de aprovação (assinada pela banca avaliadora via SEI)</w:t>
      </w:r>
    </w:p>
    <w:p w14:paraId="3F139ED7" w14:textId="77777777" w:rsidR="00425AEF" w:rsidRPr="00CE0D30" w:rsidRDefault="00425AEF" w:rsidP="00425AEF"/>
    <w:p w14:paraId="6EC162BD" w14:textId="77777777" w:rsidR="00425AEF" w:rsidRPr="00CE0D30" w:rsidRDefault="00425AEF" w:rsidP="00425AEF">
      <w:r>
        <w:br w:type="page"/>
      </w:r>
    </w:p>
    <w:p w14:paraId="0BF5D530" w14:textId="77777777" w:rsidR="00425AEF" w:rsidRPr="00170378" w:rsidRDefault="00425AEF" w:rsidP="00425AEF">
      <w:pPr>
        <w:jc w:val="center"/>
        <w:rPr>
          <w:b/>
        </w:rPr>
      </w:pPr>
      <w:r>
        <w:rPr>
          <w:b/>
        </w:rPr>
        <w:lastRenderedPageBreak/>
        <w:t>DEDICATÓRIA</w:t>
      </w:r>
    </w:p>
    <w:p w14:paraId="710054E5" w14:textId="77777777" w:rsidR="00425AEF" w:rsidRPr="00CE0D30" w:rsidRDefault="00425AEF" w:rsidP="00425AEF">
      <w:pPr>
        <w:jc w:val="center"/>
      </w:pPr>
      <w:r>
        <w:rPr>
          <w:highlight w:val="yellow"/>
        </w:rPr>
        <w:t>(Opcional)</w:t>
      </w:r>
    </w:p>
    <w:p w14:paraId="34C5D9D1" w14:textId="77777777" w:rsidR="00425AEF" w:rsidRDefault="00425AEF" w:rsidP="00425AEF"/>
    <w:p w14:paraId="2541EDE3" w14:textId="77777777" w:rsidR="00425AEF" w:rsidRPr="00CE0D30" w:rsidRDefault="00425AEF" w:rsidP="00425AEF">
      <w:r>
        <w:t>Dedico este trabalho a todos os meu familiares e amigos, que me apoiaram nessa longa caminhada até a formação.</w:t>
      </w:r>
    </w:p>
    <w:p w14:paraId="6D4FD176" w14:textId="77777777" w:rsidR="00425AEF" w:rsidRPr="00CE0D30" w:rsidRDefault="00425AEF" w:rsidP="00425AEF">
      <w:r>
        <w:br w:type="page"/>
      </w:r>
    </w:p>
    <w:p w14:paraId="2A239E52" w14:textId="77777777" w:rsidR="00425AEF" w:rsidRPr="00170378" w:rsidRDefault="00425AEF" w:rsidP="00425AEF">
      <w:pPr>
        <w:jc w:val="center"/>
        <w:rPr>
          <w:b/>
        </w:rPr>
      </w:pPr>
      <w:r>
        <w:rPr>
          <w:b/>
        </w:rPr>
        <w:lastRenderedPageBreak/>
        <w:t>AGRADECIMENTOS</w:t>
      </w:r>
    </w:p>
    <w:p w14:paraId="337D6C68" w14:textId="77777777" w:rsidR="00425AEF" w:rsidRPr="00CE0D30" w:rsidRDefault="00425AEF" w:rsidP="00425AEF">
      <w:pPr>
        <w:jc w:val="center"/>
      </w:pPr>
      <w:r>
        <w:rPr>
          <w:highlight w:val="yellow"/>
        </w:rPr>
        <w:t>(Opcional)</w:t>
      </w:r>
    </w:p>
    <w:p w14:paraId="6DB4A998" w14:textId="77777777" w:rsidR="00425AEF" w:rsidRPr="00CE0D30" w:rsidRDefault="00425AEF" w:rsidP="00425AEF"/>
    <w:p w14:paraId="46DB27ED" w14:textId="77777777" w:rsidR="00425AEF" w:rsidRPr="00CE0D30" w:rsidRDefault="00425AEF" w:rsidP="00425AEF">
      <w:r>
        <w:br w:type="page"/>
      </w:r>
    </w:p>
    <w:p w14:paraId="609784BD" w14:textId="77777777" w:rsidR="00425AEF" w:rsidRPr="00170378" w:rsidRDefault="00425AEF" w:rsidP="00425AEF">
      <w:pPr>
        <w:jc w:val="center"/>
        <w:rPr>
          <w:b/>
        </w:rPr>
      </w:pPr>
      <w:r>
        <w:rPr>
          <w:b/>
        </w:rPr>
        <w:lastRenderedPageBreak/>
        <w:t>EPÍGRAFE</w:t>
      </w:r>
    </w:p>
    <w:p w14:paraId="2FCC381A" w14:textId="77777777" w:rsidR="00425AEF" w:rsidRPr="00CE0D30" w:rsidRDefault="00425AEF" w:rsidP="00425AEF">
      <w:pPr>
        <w:jc w:val="center"/>
      </w:pPr>
    </w:p>
    <w:p w14:paraId="4891176F" w14:textId="77777777" w:rsidR="00425AEF" w:rsidRPr="00CE0D30" w:rsidRDefault="00425AEF" w:rsidP="00425AEF"/>
    <w:p w14:paraId="013CDCF0" w14:textId="77777777" w:rsidR="00425AEF" w:rsidRPr="00CE0D30" w:rsidRDefault="00425AEF" w:rsidP="00425AEF"/>
    <w:p w14:paraId="16F48DF9" w14:textId="77777777" w:rsidR="00425AEF" w:rsidRPr="00CE0D30" w:rsidRDefault="00425AEF" w:rsidP="00425AEF"/>
    <w:p w14:paraId="3EF7586F" w14:textId="77777777" w:rsidR="00425AEF" w:rsidRDefault="00425AEF" w:rsidP="00425AEF"/>
    <w:p w14:paraId="32086A89" w14:textId="77777777" w:rsidR="00425AEF" w:rsidRDefault="00425AEF" w:rsidP="00425AEF"/>
    <w:p w14:paraId="07EBE197" w14:textId="77777777" w:rsidR="00425AEF" w:rsidRDefault="00425AEF" w:rsidP="00425AEF"/>
    <w:p w14:paraId="7F3A0CD5" w14:textId="77777777" w:rsidR="00425AEF" w:rsidRDefault="00425AEF" w:rsidP="00425AEF"/>
    <w:p w14:paraId="710B434F" w14:textId="77777777" w:rsidR="00425AEF" w:rsidRDefault="00425AEF" w:rsidP="00425AEF"/>
    <w:p w14:paraId="58221852" w14:textId="77777777" w:rsidR="00425AEF" w:rsidRDefault="00425AEF" w:rsidP="00425AEF"/>
    <w:p w14:paraId="2F0BEDE9" w14:textId="77777777" w:rsidR="00425AEF" w:rsidRDefault="00425AEF" w:rsidP="00425AEF"/>
    <w:p w14:paraId="77B2E19A" w14:textId="77777777" w:rsidR="00425AEF" w:rsidRDefault="00425AEF" w:rsidP="00425AEF"/>
    <w:p w14:paraId="2485C89C" w14:textId="77777777" w:rsidR="00425AEF" w:rsidRDefault="00425AEF" w:rsidP="00425AEF"/>
    <w:p w14:paraId="3B6DBF4C" w14:textId="77777777" w:rsidR="00425AEF" w:rsidRDefault="00425AEF" w:rsidP="00425AEF"/>
    <w:p w14:paraId="7C508A0B" w14:textId="77777777" w:rsidR="00425AEF" w:rsidRDefault="00425AEF" w:rsidP="00425AEF"/>
    <w:p w14:paraId="38CCB41E" w14:textId="77777777" w:rsidR="00425AEF" w:rsidRDefault="00425AEF" w:rsidP="00425AEF"/>
    <w:p w14:paraId="2026C0F0" w14:textId="77777777" w:rsidR="00425AEF" w:rsidRDefault="00425AEF" w:rsidP="00425AEF"/>
    <w:p w14:paraId="09C46918" w14:textId="77777777" w:rsidR="00425AEF" w:rsidRDefault="00425AEF" w:rsidP="00425AEF"/>
    <w:p w14:paraId="4F007025" w14:textId="77777777" w:rsidR="00425AEF" w:rsidRDefault="00425AEF" w:rsidP="00425AEF"/>
    <w:p w14:paraId="5EDB1EA5" w14:textId="77777777" w:rsidR="00425AEF" w:rsidRDefault="00425AEF" w:rsidP="00425AEF"/>
    <w:p w14:paraId="17338CAA" w14:textId="77777777" w:rsidR="00425AEF" w:rsidRDefault="00425AEF" w:rsidP="00425AEF"/>
    <w:p w14:paraId="2FA81EBD" w14:textId="77777777" w:rsidR="00425AEF" w:rsidRDefault="00425AEF" w:rsidP="00425AEF"/>
    <w:p w14:paraId="5FB00F5A" w14:textId="77777777" w:rsidR="00425AEF" w:rsidRDefault="00425AEF" w:rsidP="00425AEF"/>
    <w:p w14:paraId="0049CF9C" w14:textId="77777777" w:rsidR="00425AEF" w:rsidRDefault="00425AEF" w:rsidP="00425AEF"/>
    <w:p w14:paraId="2AAE33F8" w14:textId="77777777" w:rsidR="00425AEF" w:rsidRDefault="00425AEF" w:rsidP="00425AEF"/>
    <w:p w14:paraId="780C6F95" w14:textId="77777777" w:rsidR="00425AEF" w:rsidRDefault="00425AEF" w:rsidP="00425AEF"/>
    <w:p w14:paraId="1021A217" w14:textId="77777777" w:rsidR="00425AEF" w:rsidRDefault="00425AEF" w:rsidP="00425AEF"/>
    <w:p w14:paraId="755402AD" w14:textId="77777777" w:rsidR="00425AEF" w:rsidRDefault="00425AEF" w:rsidP="00425AEF"/>
    <w:p w14:paraId="32F79B23" w14:textId="77777777" w:rsidR="00425AEF" w:rsidRDefault="00425AEF" w:rsidP="00425AEF"/>
    <w:p w14:paraId="600763F5" w14:textId="77777777" w:rsidR="00425AEF" w:rsidRDefault="00425AEF" w:rsidP="00425AEF"/>
    <w:p w14:paraId="16928A78" w14:textId="77777777" w:rsidR="00425AEF" w:rsidRDefault="00425AEF" w:rsidP="00425AEF"/>
    <w:p w14:paraId="0ED6D69E" w14:textId="77777777" w:rsidR="00425AEF" w:rsidRDefault="00425AEF" w:rsidP="00425AEF"/>
    <w:p w14:paraId="62F427A4" w14:textId="77777777" w:rsidR="00425AEF" w:rsidRDefault="00425AEF" w:rsidP="00425AEF"/>
    <w:p w14:paraId="4BA199EA" w14:textId="77777777" w:rsidR="00425AEF" w:rsidRDefault="00425AEF" w:rsidP="00425AEF"/>
    <w:p w14:paraId="119A8FF6" w14:textId="77777777" w:rsidR="00425AEF" w:rsidRDefault="00425AEF" w:rsidP="00425AEF"/>
    <w:p w14:paraId="71917DB2" w14:textId="77777777" w:rsidR="00425AEF" w:rsidRDefault="00425AEF" w:rsidP="00425AEF"/>
    <w:p w14:paraId="759011BE" w14:textId="77777777" w:rsidR="00425AEF" w:rsidRDefault="00425AEF" w:rsidP="00425AEF"/>
    <w:p w14:paraId="33059E6F" w14:textId="77777777" w:rsidR="00425AEF" w:rsidRDefault="00425AEF" w:rsidP="00425AEF"/>
    <w:p w14:paraId="799BDE44" w14:textId="77777777" w:rsidR="00425AEF" w:rsidRDefault="00425AEF" w:rsidP="00425AEF"/>
    <w:p w14:paraId="6BAABDA7" w14:textId="77777777" w:rsidR="00425AEF" w:rsidRDefault="00425AEF" w:rsidP="00425AEF"/>
    <w:p w14:paraId="103A9FB0" w14:textId="77777777" w:rsidR="00425AEF" w:rsidRDefault="00425AEF" w:rsidP="00425AEF"/>
    <w:p w14:paraId="340CEBB2" w14:textId="77777777" w:rsidR="00425AEF" w:rsidRDefault="00425AEF" w:rsidP="00425AEF"/>
    <w:p w14:paraId="6EBACD73" w14:textId="77777777" w:rsidR="00425AEF" w:rsidRPr="00CE0D30" w:rsidRDefault="00425AEF" w:rsidP="00425AEF"/>
    <w:p w14:paraId="0F68A10D" w14:textId="77777777" w:rsidR="00425AEF" w:rsidRPr="00CE0D30" w:rsidRDefault="00425AEF" w:rsidP="00425AEF"/>
    <w:p w14:paraId="3BF73555" w14:textId="77777777" w:rsidR="00425AEF" w:rsidRPr="002C618F" w:rsidRDefault="00425AEF" w:rsidP="00425AEF">
      <w:pPr>
        <w:ind w:left="2268"/>
        <w:jc w:val="right"/>
        <w:rPr>
          <w:rStyle w:val="nfase"/>
          <w:i w:val="0"/>
        </w:rPr>
      </w:pPr>
      <w:r>
        <w:rPr>
          <w:rStyle w:val="nfase"/>
          <w:i w:val="0"/>
        </w:rPr>
        <w:t>Analisamos dados históricos em busca de padrões anômalos que não esperaríamos que ocorressem aleatoriamente.</w:t>
      </w:r>
    </w:p>
    <w:p w14:paraId="15C5CDE8" w14:textId="77777777" w:rsidR="00425AEF" w:rsidRPr="002C618F" w:rsidRDefault="00425AEF" w:rsidP="00425AEF">
      <w:pPr>
        <w:ind w:left="2268"/>
        <w:jc w:val="right"/>
      </w:pPr>
      <w:r>
        <w:t>( Jim Simons – Criador da Análise Quantitativa)</w:t>
      </w:r>
    </w:p>
    <w:p w14:paraId="6078F075" w14:textId="77777777" w:rsidR="00425AEF" w:rsidRPr="00CE0D30" w:rsidRDefault="00425AEF" w:rsidP="00425AEF">
      <w:r>
        <w:br w:type="page"/>
      </w:r>
    </w:p>
    <w:p w14:paraId="1AAD94AB" w14:textId="77777777" w:rsidR="00425AEF" w:rsidRPr="008E089F" w:rsidRDefault="00425AEF" w:rsidP="00425AEF">
      <w:pPr>
        <w:jc w:val="center"/>
        <w:rPr>
          <w:b/>
          <w:sz w:val="28"/>
        </w:rPr>
      </w:pPr>
      <w:r>
        <w:rPr>
          <w:b/>
          <w:sz w:val="28"/>
        </w:rPr>
        <w:lastRenderedPageBreak/>
        <w:t>RESUMO</w:t>
      </w:r>
    </w:p>
    <w:p w14:paraId="102D27A2" w14:textId="77777777" w:rsidR="00425AEF" w:rsidRPr="00CE0D30" w:rsidRDefault="00425AEF" w:rsidP="00425AEF">
      <w:pPr>
        <w:jc w:val="both"/>
      </w:pPr>
    </w:p>
    <w:p w14:paraId="2F563E94" w14:textId="77777777" w:rsidR="00425AEF" w:rsidRPr="00EB1731" w:rsidRDefault="00425AEF" w:rsidP="00425AEF">
      <w:pPr>
        <w:jc w:val="both"/>
        <w:rPr>
          <w:spacing w:val="-2"/>
          <w:sz w:val="24"/>
          <w:szCs w:val="24"/>
          <w:lang w:val="pt-BR"/>
        </w:rPr>
      </w:pPr>
      <w:r>
        <w:rPr>
          <w:spacing w:val="-2"/>
          <w:sz w:val="24"/>
          <w:szCs w:val="24"/>
          <w:lang w:val="pt-BR"/>
        </w:rPr>
        <w:t>O presente estudo avalia o desempenho de carteiras de investimento no mercado acionário brasileiro, fundamentado na evolução da Teoria Moderna do Portfólio (MPT) para a Teoria Pós-Moderna (PMPT) e o modelo de Black-Litterman (BL). A pesquisa analisa o impacto da variação nas metodologias de estimação de retornos esperados (</w:t>
      </w:r>
      <w:r>
        <w:rPr>
          <w:i/>
          <w:iCs/>
          <w:spacing w:val="-2"/>
          <w:sz w:val="24"/>
          <w:szCs w:val="24"/>
          <w:lang w:val="pt-BR"/>
        </w:rPr>
        <w:t>inputs</w:t>
      </w:r>
      <w:r>
        <w:rPr>
          <w:spacing w:val="-2"/>
          <w:sz w:val="24"/>
          <w:szCs w:val="24"/>
          <w:lang w:val="pt-BR"/>
        </w:rPr>
        <w:t xml:space="preserve">) — utilizando média histórica e fator de momentum 12-1 para geração de visões no modelo Black-Litterman — combinadas a diferentes algoritmos de otimização: Média-Variância, Mínima Variância Global, Maximização do Índice de Sortino e Minimização do </w:t>
      </w:r>
      <w:r>
        <w:rPr>
          <w:i/>
          <w:iCs/>
          <w:spacing w:val="-2"/>
          <w:sz w:val="24"/>
          <w:szCs w:val="24"/>
          <w:lang w:val="pt-BR"/>
        </w:rPr>
        <w:t>Conditional Value at Risk</w:t>
      </w:r>
      <w:r>
        <w:rPr>
          <w:spacing w:val="-2"/>
          <w:sz w:val="24"/>
          <w:szCs w:val="24"/>
          <w:lang w:val="pt-BR"/>
        </w:rPr>
        <w:t xml:space="preserve"> (CVaR). Adicionalmente, aplica-se o modelo Black-Litterman integrando visões de mercado baseadas em séries temporais e </w:t>
      </w:r>
      <w:r>
        <w:rPr>
          <w:i/>
          <w:iCs/>
          <w:spacing w:val="-2"/>
          <w:sz w:val="24"/>
          <w:szCs w:val="24"/>
          <w:lang w:val="pt-BR"/>
        </w:rPr>
        <w:t>Machine Learning</w:t>
      </w:r>
      <w:r>
        <w:rPr>
          <w:spacing w:val="-2"/>
          <w:sz w:val="24"/>
          <w:szCs w:val="24"/>
          <w:lang w:val="pt-BR"/>
        </w:rPr>
        <w:t xml:space="preserve">. O desempenho das carteiras é confrontado com os </w:t>
      </w:r>
      <w:r>
        <w:rPr>
          <w:i/>
          <w:iCs/>
          <w:spacing w:val="-2"/>
          <w:sz w:val="24"/>
          <w:szCs w:val="24"/>
          <w:lang w:val="pt-BR"/>
        </w:rPr>
        <w:t>benchmarks</w:t>
      </w:r>
      <w:r>
        <w:rPr>
          <w:spacing w:val="-2"/>
          <w:sz w:val="24"/>
          <w:szCs w:val="24"/>
          <w:lang w:val="pt-BR"/>
        </w:rPr>
        <w:t xml:space="preserve"> IBOVESPA e CDI no período de janeiro de 2010 a dezembro de 2025, buscando identificar estratégias de alocação de ativos que ofereçam relações risco-retorno superiores e mais robustas às especificidades do mercado local.</w:t>
      </w:r>
    </w:p>
    <w:p w14:paraId="1AAB8D9B" w14:textId="77777777" w:rsidR="00425AEF" w:rsidRPr="00EB1731" w:rsidRDefault="00425AEF" w:rsidP="00425AEF">
      <w:pPr>
        <w:jc w:val="both"/>
        <w:rPr>
          <w:b/>
          <w:bCs/>
          <w:spacing w:val="-2"/>
        </w:rPr>
      </w:pPr>
    </w:p>
    <w:p w14:paraId="426444FB" w14:textId="77777777" w:rsidR="00425AEF" w:rsidRPr="008A0506" w:rsidRDefault="00425AEF" w:rsidP="008E089F">
      <w:pPr>
        <w:jc w:val="both"/>
        <w:rPr>
          <w:lang w:val="en-US"/>
        </w:rPr>
      </w:pPr>
      <w:r>
        <w:rPr>
          <w:b/>
          <w:bCs/>
          <w:spacing w:val="-2"/>
          <w:sz w:val="24"/>
          <w:szCs w:val="24"/>
          <w:lang w:val="pt-BR"/>
        </w:rPr>
        <w:t>Palavras-chave:</w:t>
      </w:r>
      <w:r>
        <w:rPr>
          <w:spacing w:val="-2"/>
          <w:sz w:val="24"/>
          <w:szCs w:val="24"/>
          <w:lang w:val="pt-BR"/>
        </w:rPr>
        <w:t xml:space="preserve"> Otimização de Portfólio. </w:t>
      </w:r>
      <w:r>
        <w:rPr>
          <w:spacing w:val="-2"/>
          <w:sz w:val="24"/>
          <w:szCs w:val="24"/>
          <w:lang w:val="en-US"/>
        </w:rPr>
        <w:t>Black-Litterman. Machine Learning. CVaR. Mercado Brasileiro.</w:t>
      </w:r>
      <w:r>
        <w:rPr>
          <w:lang w:val="en-US"/>
        </w:rPr>
        <w:br w:type="page"/>
      </w:r>
    </w:p>
    <w:p w14:paraId="1BB72A93" w14:textId="77777777" w:rsidR="00425AEF" w:rsidRPr="008E089F" w:rsidRDefault="00425AEF" w:rsidP="008E089F">
      <w:pPr>
        <w:pStyle w:val="Ttulo7"/>
        <w:jc w:val="center"/>
        <w:rPr>
          <w:rFonts w:ascii="Times New Roman" w:hAnsi="Times New Roman" w:cs="Times New Roman"/>
          <w:b/>
          <w:i w:val="0"/>
          <w:sz w:val="28"/>
          <w:szCs w:val="24"/>
          <w:lang w:val="en-US"/>
        </w:rPr>
      </w:pPr>
      <w:r>
        <w:rPr>
          <w:rFonts w:ascii="Times New Roman" w:hAnsi="Times New Roman" w:cs="Times New Roman"/>
          <w:b/>
          <w:i w:val="0"/>
          <w:sz w:val="28"/>
          <w:szCs w:val="24"/>
          <w:lang w:val="en-US"/>
        </w:rPr>
        <w:lastRenderedPageBreak/>
        <w:t>ABSTRACT</w:t>
      </w:r>
    </w:p>
    <w:p w14:paraId="5CE917A0" w14:textId="77777777" w:rsidR="008E089F" w:rsidRDefault="008E089F" w:rsidP="00425AEF">
      <w:pPr>
        <w:rPr>
          <w:lang w:val="en-US"/>
        </w:rPr>
      </w:pPr>
    </w:p>
    <w:p w14:paraId="753C473D" w14:textId="77777777" w:rsidR="00425AEF" w:rsidRPr="008A0506" w:rsidRDefault="008E089F" w:rsidP="00425AEF">
      <w:pPr>
        <w:rPr>
          <w:lang w:val="en-US"/>
        </w:rPr>
      </w:pPr>
      <w:r>
        <w:rPr>
          <w:lang w:val="en-US"/>
        </w:rPr>
        <w:t>This study evaluates the performance of investment portfolios in the Brazilian stock market, based on the evolution from Modern Portfolio Theory (MPT) to Post-Modern Portfolio Theory (PMPT) and the Black-Litterman (BL) model. The research analyzes the impact of variation in the methodologies for estimating expected returns (inputs) — using historical averages and momentum 12-1 factor to generate views in the Black-Litterman model — combined with different optimization algorithms: Mean-Variance, Minimum Global Variance, Sortino Ratio Maximization, and Conditional Value at Risk (CVaR) Minimization. Additionally, the Black-Litterman model is applied integrating market views based on time series and Machine Learning. The performance of the portfolios is compared to the IBOVESPA and CDI benchmarks over the period from January 2010 to December 2025, seeking to identify asset allocation strategies that offer superior risk-return ratios and are more robust to the specificities of the local market.</w:t>
      </w:r>
    </w:p>
    <w:p w14:paraId="2485E181" w14:textId="77777777" w:rsidR="008E089F" w:rsidRDefault="008E089F" w:rsidP="00425AEF">
      <w:pPr>
        <w:rPr>
          <w:b/>
          <w:lang w:val="en-US"/>
        </w:rPr>
      </w:pPr>
    </w:p>
    <w:p w14:paraId="3F28CC88" w14:textId="77777777" w:rsidR="00425AEF" w:rsidRPr="008A0506" w:rsidRDefault="00425AEF" w:rsidP="00425AEF">
      <w:pPr>
        <w:rPr>
          <w:lang w:val="en-US"/>
        </w:rPr>
      </w:pPr>
      <w:r>
        <w:rPr>
          <w:b/>
          <w:lang w:val="en-US"/>
        </w:rPr>
        <w:t>Keywords</w:t>
      </w:r>
      <w:r>
        <w:rPr>
          <w:lang w:val="en-US"/>
        </w:rPr>
        <w:t>: Portfolio Optimization. Black-Litterman. Machine Learning. CVaR. Brazilian Market.</w:t>
        <w:br w:type="page"/>
      </w:r>
    </w:p>
    <w:p w14:paraId="1B3B5FDD" w14:textId="77777777" w:rsidR="00425AEF" w:rsidRPr="00CE0D30" w:rsidRDefault="00425AEF" w:rsidP="00425AEF">
      <w:pPr>
        <w:pStyle w:val="Ttulo7"/>
        <w:rPr>
          <w:rFonts w:cs="Times New Roman"/>
          <w:b/>
          <w:szCs w:val="24"/>
        </w:rPr>
      </w:pPr>
      <w:r>
        <w:rPr>
          <w:rFonts w:cs="Times New Roman"/>
          <w:szCs w:val="24"/>
        </w:rPr>
        <w:lastRenderedPageBreak/>
        <w:t>LISTA DE FIGURAS (se houver)</w:t>
      </w:r>
    </w:p>
    <w:p w14:paraId="4FD96EAF" w14:textId="77777777" w:rsidR="00425AEF" w:rsidRPr="00CE0D30" w:rsidRDefault="00425AEF" w:rsidP="00425AEF">
      <w:r>
        <w:br w:type="page"/>
      </w:r>
    </w:p>
    <w:p w14:paraId="637821C3" w14:textId="77777777" w:rsidR="00425AEF" w:rsidRPr="00CE0D30" w:rsidRDefault="00425AEF" w:rsidP="00425AEF">
      <w:pPr>
        <w:pStyle w:val="Ttulo7"/>
        <w:rPr>
          <w:rFonts w:cs="Times New Roman"/>
          <w:b/>
          <w:szCs w:val="24"/>
        </w:rPr>
      </w:pPr>
      <w:r>
        <w:rPr>
          <w:rFonts w:cs="Times New Roman"/>
          <w:szCs w:val="24"/>
        </w:rPr>
        <w:lastRenderedPageBreak/>
        <w:t>LISTA DE QUADROS (se houver)</w:t>
      </w:r>
    </w:p>
    <w:p w14:paraId="12B42F27" w14:textId="77777777" w:rsidR="00425AEF" w:rsidRPr="00CE0D30" w:rsidRDefault="00425AEF" w:rsidP="00425AEF">
      <w:r>
        <w:br w:type="page"/>
      </w:r>
    </w:p>
    <w:p w14:paraId="2581A191" w14:textId="77777777" w:rsidR="00425AEF" w:rsidRPr="008E089F" w:rsidRDefault="00425AEF" w:rsidP="008E089F">
      <w:pPr>
        <w:pStyle w:val="Ttulo7"/>
        <w:jc w:val="center"/>
        <w:rPr>
          <w:rFonts w:ascii="Times New Roman" w:hAnsi="Times New Roman" w:cs="Times New Roman"/>
          <w:b/>
          <w:i w:val="0"/>
          <w:color w:val="auto"/>
          <w:sz w:val="28"/>
          <w:szCs w:val="24"/>
        </w:rPr>
      </w:pPr>
      <w:r>
        <w:rPr>
          <w:rFonts w:ascii="Times New Roman" w:hAnsi="Times New Roman" w:cs="Times New Roman"/>
          <w:b/>
          <w:i w:val="0"/>
          <w:color w:val="auto"/>
          <w:sz w:val="28"/>
          <w:szCs w:val="24"/>
        </w:rPr>
        <w:lastRenderedPageBreak/>
        <w:t>LISTA DE TABELAS (se houver)</w:t>
      </w:r>
    </w:p>
    <w:p w14:paraId="79200C91" w14:textId="77777777" w:rsidR="008E089F" w:rsidRDefault="008E089F" w:rsidP="00425AEF"/>
    <w:p w14:paraId="5D8F0F29" w14:textId="77777777" w:rsidR="008E089F" w:rsidRDefault="008E089F" w:rsidP="00425AEF"/>
    <w:p w14:paraId="544574BB" w14:textId="77777777" w:rsidR="00405771" w:rsidRDefault="008E089F">
      <w:pPr>
        <w:pStyle w:val="ndicedeilustraes"/>
        <w:tabs>
          <w:tab w:val="right" w:leader="dot" w:pos="9300"/>
        </w:tabs>
        <w:rPr>
          <w:rFonts w:asciiTheme="minorHAnsi" w:eastAsiaTheme="minorEastAsia" w:hAnsiTheme="minorHAnsi" w:cstheme="minorBidi"/>
          <w:noProof/>
          <w:lang w:val="pt-BR" w:eastAsia="pt-BR"/>
        </w:rPr>
      </w:pPr>
      <w:r>
        <w:fldChar w:fldCharType="begin"/>
        <w:instrText xml:space="preserve"> TOC \c "Tabela" </w:instrText>
        <w:fldChar w:fldCharType="separate"/>
      </w:r>
      <w:r>
        <w:rPr>
          <w:noProof/>
        </w:rPr>
        <w:t>Tabela 1 - Comparação entre Capital Market Line (CML) e Security Market Line</w:t>
        <w:tab/>
        <w:fldChar w:fldCharType="begin"/>
        <w:instrText xml:space="preserve"> PAGEREF _Toc230853327 \h </w:instrText>
        <w:fldChar w:fldCharType="separate"/>
        <w:t>34</w:t>
        <w:fldChar w:fldCharType="end"/>
      </w:r>
    </w:p>
    <w:p w14:paraId="079C05CD"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2 - Comparação Estrutural: MPT vs. PMPT</w:t>
        <w:tab/>
        <w:fldChar w:fldCharType="begin"/>
        <w:instrText xml:space="preserve"> PAGEREF _Toc230853328 \h </w:instrText>
        <w:fldChar w:fldCharType="separate"/>
        <w:t>46</w:t>
        <w:fldChar w:fldCharType="end"/>
      </w:r>
    </w:p>
    <w:p w14:paraId="0797311D"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3 -  Resumo Analítico dos Indicadores de Desempenho (MPT vs. PMPT)</w:t>
        <w:tab/>
        <w:fldChar w:fldCharType="begin"/>
        <w:instrText xml:space="preserve"> PAGEREF _Toc230853329 \h </w:instrText>
        <w:fldChar w:fldCharType="separate"/>
        <w:t>55</w:t>
        <w:fldChar w:fldCharType="end"/>
      </w:r>
    </w:p>
    <w:p w14:paraId="4E43DC62"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4 - Distribuição Setorial da Amostra</w:t>
        <w:tab/>
        <w:fldChar w:fldCharType="begin"/>
        <w:instrText xml:space="preserve"> PAGEREF _Toc230853330 \h </w:instrText>
        <w:fldChar w:fldCharType="separate"/>
        <w:t>79</w:t>
        <w:fldChar w:fldCharType="end"/>
      </w:r>
    </w:p>
    <w:p w14:paraId="1C6A73F2"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5 - Estatísticas Descritivas dos Log-Retornos Diários (130 ativos)</w:t>
        <w:tab/>
        <w:fldChar w:fldCharType="begin"/>
        <w:instrText xml:space="preserve"> PAGEREF _Toc230853331 \h </w:instrText>
        <w:fldChar w:fldCharType="separate"/>
        <w:t>79</w:t>
        <w:fldChar w:fldCharType="end"/>
      </w:r>
    </w:p>
    <w:p w14:paraId="3AEEC44F"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6 - Tabela 4.3 — Volatilidade Média Anualizada por Ano (cross-section de 130 ativos)</w:t>
        <w:tab/>
        <w:fldChar w:fldCharType="begin"/>
        <w:instrText xml:space="preserve"> PAGEREF _Toc230853332 \h </w:instrText>
        <w:fldChar w:fldCharType="separate"/>
        <w:t>80</w:t>
        <w:fldChar w:fldCharType="end"/>
      </w:r>
    </w:p>
    <w:p w14:paraId="74EDE9C8"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7 - Resultados Consolidados dos Testes Econométricos (135 ativos)</w:t>
        <w:tab/>
        <w:fldChar w:fldCharType="begin"/>
        <w:instrText xml:space="preserve"> PAGEREF _Toc230853333 \h </w:instrText>
        <w:fldChar w:fldCharType="separate"/>
        <w:t>81</w:t>
        <w:fldChar w:fldCharType="end"/>
      </w:r>
    </w:p>
    <w:p w14:paraId="662E8AC0"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8 — Desempenho da Estratégia Mínima Variância L1 (jan/2015 – dez/2025)</w:t>
        <w:tab/>
        <w:fldChar w:fldCharType="begin"/>
        <w:instrText xml:space="preserve"> PAGEREF _Toc230853334 \h </w:instrText>
        <w:fldChar w:fldCharType="separate"/>
        <w:t>82</w:t>
        <w:fldChar w:fldCharType="end"/>
      </w:r>
    </w:p>
    <w:p w14:paraId="228DD393"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9— Desempenho da Estratégia Máximo Sharpe L1 (jan/2015 – dez/2025)</w:t>
        <w:tab/>
        <w:fldChar w:fldCharType="begin"/>
        <w:instrText xml:space="preserve"> PAGEREF _Toc230853335 \h </w:instrText>
        <w:fldChar w:fldCharType="separate"/>
        <w:t>83</w:t>
        <w:fldChar w:fldCharType="end"/>
      </w:r>
    </w:p>
    <w:p w14:paraId="35FA707D"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r>
          <w:rPr>
            <w:rFonts w:ascii="Times New Roman" w:hAnsi="Times New Roman" w:cs="Times New Roman"/>
            <w:i w:val="0"/>
            <w:color w:val="auto"/>
            <w:sz w:val="24"/>
            <w:szCs w:val="24"/>
          </w:rPr>
          <w:t>Tabela 10 — Desempenho da Estratégia Black-Litterman com Momentum 12-1 (jan/2015 – dez/2025)</w:t>
        </w:r>
        <w:tab/>
        <w:fldChar w:fldCharType="begin"/>
        <w:instrText xml:space="preserve"> PAGEREF _Toc230853336 \h </w:instrText>
        <w:fldChar w:fldCharType="separate"/>
        <w:t>84</w:t>
        <w:fldChar w:fldCharType="end"/>
      </w:r>
    </w:p>
    <w:p w14:paraId="63BA4D31"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11— Comparação Unificada das Estratégias (período out-of-sample 2015–2025)</w:t>
        <w:tab/>
        <w:fldChar w:fldCharType="begin"/>
        <w:instrText xml:space="preserve"> PAGEREF _Toc230853337 \h </w:instrText>
        <w:fldChar w:fldCharType="separate"/>
        <w:t>85</w:t>
        <w:fldChar w:fldCharType="end"/>
      </w:r>
    </w:p>
    <w:p w14:paraId="7D302C36"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12-  Síntese Comparativa do Desempenho (jan/2015 – dez/2025)</w:t>
        <w:tab/>
        <w:fldChar w:fldCharType="begin"/>
        <w:instrText xml:space="preserve"> PAGEREF _Toc230853338 \h </w:instrText>
        <w:fldChar w:fldCharType="separate"/>
        <w:t>88</w:t>
        <w:fldChar w:fldCharType="end"/>
      </w:r>
    </w:p>
    <w:p w14:paraId="3C1D0489" w14:textId="77777777" w:rsidR="00405771" w:rsidRDefault="00405771">
      <w:pPr>
        <w:pStyle w:val="ndicedeilustraes"/>
        <w:tabs>
          <w:tab w:val="right" w:leader="dot" w:pos="9300"/>
        </w:tabs>
        <w:rPr>
          <w:rFonts w:asciiTheme="minorHAnsi" w:eastAsiaTheme="minorEastAsia" w:hAnsiTheme="minorHAnsi" w:cstheme="minorBidi"/>
          <w:noProof/>
          <w:lang w:val="pt-BR" w:eastAsia="pt-BR"/>
        </w:rPr>
      </w:pPr>
      <w:r>
        <w:rPr>
          <w:noProof/>
        </w:rPr>
        <w:t>Tabela 13 - Cronograma da Pesquisa</w:t>
        <w:tab/>
        <w:fldChar w:fldCharType="begin"/>
        <w:instrText xml:space="preserve"> PAGEREF _Toc230853339 \h </w:instrText>
        <w:fldChar w:fldCharType="separate"/>
        <w:t>97</w:t>
        <w:fldChar w:fldCharType="end"/>
      </w:r>
    </w:p>
    <w:p w14:paraId="4043CB6B" w14:textId="77777777" w:rsidR="008E089F" w:rsidRDefault="008E089F" w:rsidP="00425AEF">
      <w:r>
        <w:fldChar w:fldCharType="end"/>
      </w:r>
    </w:p>
    <w:p w14:paraId="03DFA4F0" w14:textId="77777777" w:rsidR="008E089F" w:rsidRDefault="008E089F" w:rsidP="00425AEF"/>
    <w:p w14:paraId="35C72F3B" w14:textId="77777777" w:rsidR="00425AEF" w:rsidRPr="00CE0D30" w:rsidRDefault="00425AEF" w:rsidP="00425AEF">
      <w:r>
        <w:br w:type="page"/>
      </w:r>
    </w:p>
    <w:p w14:paraId="356BAC12" w14:textId="77777777" w:rsidR="00425AEF" w:rsidRPr="00CE0D30" w:rsidRDefault="00425AEF" w:rsidP="00425AEF">
      <w:pPr>
        <w:pStyle w:val="Ttulo7"/>
        <w:rPr>
          <w:rFonts w:cs="Times New Roman"/>
          <w:b/>
          <w:szCs w:val="24"/>
        </w:rPr>
      </w:pPr>
      <w:r>
        <w:rPr>
          <w:rFonts w:cs="Times New Roman"/>
          <w:szCs w:val="24"/>
        </w:rPr>
        <w:lastRenderedPageBreak/>
        <w:t>LISTA DE ABREVIATURAS E SIGLAS (se houver)</w:t>
      </w:r>
    </w:p>
    <w:p w14:paraId="7EB50CDF" w14:textId="77777777" w:rsidR="00425AEF" w:rsidRPr="00CE0D30" w:rsidRDefault="00425AEF" w:rsidP="00425AEF">
      <w:r>
        <w:br w:type="page"/>
      </w:r>
    </w:p>
    <w:p w14:paraId="02BBBB28" w14:textId="77777777"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77078F9F" w14:textId="77777777" w:rsidR="008E66AE" w:rsidRDefault="008E66AE">
          <w:pPr>
            <w:pStyle w:val="CabealhodoSumrio"/>
          </w:pPr>
          <w:r>
            <w:t>Sumário</w:t>
          </w:r>
        </w:p>
        <w:p w14:paraId="781DB967" w14:textId="77777777" w:rsidR="00FE3CE2" w:rsidRDefault="008E66AE">
          <w:pPr>
            <w:pStyle w:val="Sumrio1"/>
            <w:tabs>
              <w:tab w:val="left" w:pos="440"/>
              <w:tab w:val="right" w:leader="dot" w:pos="8494"/>
            </w:tabs>
            <w:rPr>
              <w:rFonts w:asciiTheme="minorHAnsi" w:eastAsiaTheme="minorEastAsia" w:hAnsiTheme="minorHAnsi" w:cstheme="minorBidi"/>
              <w:noProof/>
              <w:lang w:val="pt-BR" w:eastAsia="pt-BR"/>
            </w:rPr>
          </w:pPr>
          <w:r>
            <w:rPr>
              <w:b/>
              <w:bCs/>
            </w:rPr>
            <w:fldChar w:fldCharType="begin"/>
            <w:instrText xml:space="preserve"> TOC \o "1-3" \h \z \u </w:instrText>
            <w:fldChar w:fldCharType="separate"/>
          </w:r>
          <w:hyperlink w:anchor="_Toc230856970" w:history="1">
            <w:r>
              <w:rPr>
                <w:rStyle w:val="Hyperlink"/>
                <w:noProof/>
                <w:w w:val="99"/>
              </w:rPr>
              <w:t>1.</w:t>
            </w:r>
            <w:r>
              <w:rPr>
                <w:rFonts w:asciiTheme="minorHAnsi" w:eastAsiaTheme="minorEastAsia" w:hAnsiTheme="minorHAnsi" w:cstheme="minorBidi"/>
                <w:noProof/>
                <w:lang w:val="pt-BR" w:eastAsia="pt-BR"/>
              </w:rPr>
              <w:tab/>
            </w:r>
            <w:r>
              <w:rPr>
                <w:rStyle w:val="Hyperlink"/>
                <w:noProof/>
                <w:spacing w:val="-2"/>
              </w:rPr>
              <w:t>INTRODUÇÃO</w:t>
            </w:r>
            <w:r>
              <w:rPr>
                <w:noProof/>
                <w:webHidden/>
              </w:rPr>
              <w:tab/>
              <w:fldChar w:fldCharType="begin"/>
              <w:instrText xml:space="preserve"> PAGEREF _Toc230856970 \h </w:instrText>
              <w:fldChar w:fldCharType="separate"/>
              <w:t>19</w:t>
              <w:fldChar w:fldCharType="end"/>
            </w:r>
          </w:hyperlink>
        </w:p>
        <w:p w14:paraId="275E91E4"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6971" w:history="1">
            <w:r>
              <w:rPr>
                <w:rStyle w:val="Hyperlink"/>
                <w:noProof/>
                <w:w w:val="99"/>
              </w:rPr>
              <w:t>2.</w:t>
            </w:r>
            <w:r>
              <w:rPr>
                <w:rFonts w:asciiTheme="minorHAnsi" w:eastAsiaTheme="minorEastAsia" w:hAnsiTheme="minorHAnsi" w:cstheme="minorBidi"/>
                <w:noProof/>
                <w:lang w:val="pt-BR" w:eastAsia="pt-BR"/>
              </w:rPr>
              <w:tab/>
            </w:r>
            <w:r>
              <w:rPr>
                <w:rStyle w:val="Hyperlink"/>
                <w:noProof/>
              </w:rPr>
              <w:t>REFERENCIAL TEÓRICO</w:t>
            </w:r>
            <w:r>
              <w:rPr>
                <w:noProof/>
                <w:webHidden/>
              </w:rPr>
              <w:tab/>
              <w:fldChar w:fldCharType="begin"/>
              <w:instrText xml:space="preserve"> PAGEREF _Toc230856971 \h </w:instrText>
              <w:fldChar w:fldCharType="separate"/>
              <w:t>21</w:t>
              <w:fldChar w:fldCharType="end"/>
            </w:r>
          </w:hyperlink>
        </w:p>
        <w:p w14:paraId="720F99D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2" w:history="1">
            <w:r>
              <w:rPr>
                <w:rStyle w:val="Hyperlink"/>
                <w:rFonts w:eastAsia="Google Sans"/>
                <w:noProof/>
              </w:rPr>
              <w:t>2.1.</w:t>
            </w:r>
            <w:r>
              <w:rPr>
                <w:rFonts w:asciiTheme="minorHAnsi" w:eastAsiaTheme="minorEastAsia" w:hAnsiTheme="minorHAnsi" w:cstheme="minorBidi"/>
                <w:noProof/>
                <w:lang w:val="pt-BR" w:eastAsia="pt-BR"/>
              </w:rPr>
              <w:tab/>
            </w:r>
            <w:r>
              <w:rPr>
                <w:rStyle w:val="Hyperlink"/>
                <w:rFonts w:eastAsia="Google Sans"/>
                <w:noProof/>
              </w:rPr>
              <w:t>Gênese da Gestão de Portfólios e o Paradigma Pré-Markowitz</w:t>
            </w:r>
            <w:r>
              <w:rPr>
                <w:noProof/>
                <w:webHidden/>
              </w:rPr>
              <w:tab/>
              <w:fldChar w:fldCharType="begin"/>
              <w:instrText xml:space="preserve"> PAGEREF _Toc230856972 \h </w:instrText>
              <w:fldChar w:fldCharType="separate"/>
              <w:t>21</w:t>
              <w:fldChar w:fldCharType="end"/>
            </w:r>
          </w:hyperlink>
        </w:p>
        <w:p w14:paraId="5B8DA7EB"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3" w:history="1">
            <w:r>
              <w:rPr>
                <w:rStyle w:val="Hyperlink"/>
                <w:rFonts w:eastAsia="Google Sans"/>
                <w:noProof/>
              </w:rPr>
              <w:t>2.1.1.</w:t>
            </w:r>
            <w:r>
              <w:rPr>
                <w:rFonts w:asciiTheme="minorHAnsi" w:eastAsiaTheme="minorEastAsia" w:hAnsiTheme="minorHAnsi" w:cstheme="minorBidi"/>
                <w:noProof/>
                <w:lang w:val="pt-BR" w:eastAsia="pt-BR"/>
              </w:rPr>
              <w:tab/>
            </w:r>
            <w:r>
              <w:rPr>
                <w:rStyle w:val="Hyperlink"/>
                <w:rFonts w:eastAsia="Google Sans"/>
                <w:noProof/>
              </w:rPr>
              <w:t>Introdução: A Evolução Histórica da Gestão de Investimentos</w:t>
            </w:r>
            <w:r>
              <w:rPr>
                <w:noProof/>
                <w:webHidden/>
              </w:rPr>
              <w:tab/>
              <w:fldChar w:fldCharType="begin"/>
              <w:instrText xml:space="preserve"> PAGEREF _Toc230856973 \h </w:instrText>
              <w:fldChar w:fldCharType="separate"/>
              <w:t>21</w:t>
              <w:fldChar w:fldCharType="end"/>
            </w:r>
          </w:hyperlink>
        </w:p>
        <w:p w14:paraId="646FC1E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4" w:history="1">
            <w:r>
              <w:rPr>
                <w:rStyle w:val="Hyperlink"/>
                <w:noProof/>
              </w:rPr>
              <w:t>2.1.2.</w:t>
            </w:r>
            <w:r>
              <w:rPr>
                <w:rFonts w:asciiTheme="minorHAnsi" w:eastAsiaTheme="minorEastAsia" w:hAnsiTheme="minorHAnsi" w:cstheme="minorBidi"/>
                <w:noProof/>
                <w:lang w:val="pt-BR" w:eastAsia="pt-BR"/>
              </w:rPr>
              <w:tab/>
            </w:r>
            <w:r>
              <w:rPr>
                <w:rStyle w:val="Hyperlink"/>
                <w:rFonts w:eastAsia="Google Sans"/>
                <w:noProof/>
              </w:rPr>
              <w:t>O Paradigma Pré-Markowitz: A Era da Seleção de Ativos</w:t>
            </w:r>
            <w:r>
              <w:rPr>
                <w:noProof/>
                <w:webHidden/>
              </w:rPr>
              <w:tab/>
              <w:fldChar w:fldCharType="begin"/>
              <w:instrText xml:space="preserve"> PAGEREF _Toc230856974 \h </w:instrText>
              <w:fldChar w:fldCharType="separate"/>
              <w:t>21</w:t>
              <w:fldChar w:fldCharType="end"/>
            </w:r>
          </w:hyperlink>
        </w:p>
        <w:p w14:paraId="2E6EAB7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5" w:history="1">
            <w:r>
              <w:rPr>
                <w:rStyle w:val="Hyperlink"/>
                <w:noProof/>
              </w:rPr>
              <w:t>2.1.3.</w:t>
            </w:r>
            <w:r>
              <w:rPr>
                <w:rFonts w:asciiTheme="minorHAnsi" w:eastAsiaTheme="minorEastAsia" w:hAnsiTheme="minorHAnsi" w:cstheme="minorBidi"/>
                <w:noProof/>
                <w:lang w:val="pt-BR" w:eastAsia="pt-BR"/>
              </w:rPr>
              <w:tab/>
            </w:r>
            <w:r>
              <w:rPr>
                <w:rStyle w:val="Hyperlink"/>
                <w:rFonts w:eastAsia="Google Sans"/>
                <w:noProof/>
              </w:rPr>
              <w:t>A Transição para a Análise Quantitativa</w:t>
            </w:r>
            <w:r>
              <w:rPr>
                <w:noProof/>
                <w:webHidden/>
              </w:rPr>
              <w:tab/>
              <w:fldChar w:fldCharType="begin"/>
              <w:instrText xml:space="preserve"> PAGEREF _Toc230856975 \h </w:instrText>
              <w:fldChar w:fldCharType="separate"/>
              <w:t>22</w:t>
              <w:fldChar w:fldCharType="end"/>
            </w:r>
          </w:hyperlink>
        </w:p>
        <w:p w14:paraId="66B4A0F6"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76" w:history="1">
            <w:r>
              <w:rPr>
                <w:rStyle w:val="Hyperlink"/>
                <w:rFonts w:eastAsia="Google Sans"/>
                <w:noProof/>
              </w:rPr>
              <w:t>2.2.</w:t>
            </w:r>
            <w:r>
              <w:rPr>
                <w:rFonts w:asciiTheme="minorHAnsi" w:eastAsiaTheme="minorEastAsia" w:hAnsiTheme="minorHAnsi" w:cstheme="minorBidi"/>
                <w:noProof/>
                <w:lang w:val="pt-BR" w:eastAsia="pt-BR"/>
              </w:rPr>
              <w:tab/>
            </w:r>
            <w:r>
              <w:rPr>
                <w:rStyle w:val="Hyperlink"/>
                <w:rFonts w:eastAsia="Google Sans"/>
                <w:noProof/>
              </w:rPr>
              <w:t>A Revolução de Markowitz: O Modelo Média-Variância</w:t>
            </w:r>
            <w:r>
              <w:rPr>
                <w:noProof/>
                <w:webHidden/>
              </w:rPr>
              <w:tab/>
              <w:fldChar w:fldCharType="begin"/>
              <w:instrText xml:space="preserve"> PAGEREF _Toc230856976 \h </w:instrText>
              <w:fldChar w:fldCharType="separate"/>
              <w:t>23</w:t>
              <w:fldChar w:fldCharType="end"/>
            </w:r>
          </w:hyperlink>
        </w:p>
        <w:p w14:paraId="3A8FE811"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7" w:history="1">
            <w:r>
              <w:rPr>
                <w:rStyle w:val="Hyperlink"/>
                <w:rFonts w:eastAsia="Google Sans"/>
                <w:noProof/>
              </w:rPr>
              <w:t>2.2.1.</w:t>
            </w:r>
            <w:r>
              <w:rPr>
                <w:rFonts w:asciiTheme="minorHAnsi" w:eastAsiaTheme="minorEastAsia" w:hAnsiTheme="minorHAnsi" w:cstheme="minorBidi"/>
                <w:noProof/>
                <w:lang w:val="pt-BR" w:eastAsia="pt-BR"/>
              </w:rPr>
              <w:tab/>
            </w:r>
            <w:r>
              <w:rPr>
                <w:rStyle w:val="Hyperlink"/>
                <w:rFonts w:eastAsia="Google Sans"/>
                <w:noProof/>
              </w:rPr>
              <w:t>A Rejeição da Maximização Pura do Retorno</w:t>
            </w:r>
            <w:r>
              <w:rPr>
                <w:noProof/>
                <w:webHidden/>
              </w:rPr>
              <w:tab/>
              <w:fldChar w:fldCharType="begin"/>
              <w:instrText xml:space="preserve"> PAGEREF _Toc230856977 \h </w:instrText>
              <w:fldChar w:fldCharType="separate"/>
              <w:t>23</w:t>
              <w:fldChar w:fldCharType="end"/>
            </w:r>
          </w:hyperlink>
        </w:p>
        <w:p w14:paraId="3DC6A0D4"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78" w:history="1">
            <w:r>
              <w:rPr>
                <w:rStyle w:val="Hyperlink"/>
                <w:rFonts w:eastAsia="Google Sans"/>
                <w:noProof/>
              </w:rPr>
              <w:t>2.2.2.</w:t>
            </w:r>
            <w:r>
              <w:rPr>
                <w:rFonts w:asciiTheme="minorHAnsi" w:eastAsiaTheme="minorEastAsia" w:hAnsiTheme="minorHAnsi" w:cstheme="minorBidi"/>
                <w:noProof/>
                <w:lang w:val="pt-BR" w:eastAsia="pt-BR"/>
              </w:rPr>
              <w:tab/>
            </w:r>
            <w:r>
              <w:rPr>
                <w:rStyle w:val="Hyperlink"/>
                <w:rFonts w:eastAsia="Google Sans"/>
                <w:noProof/>
              </w:rPr>
              <w:t>O Conceito de Risco como Variância: Uma Escolha Pragmática</w:t>
            </w:r>
            <w:r>
              <w:rPr>
                <w:noProof/>
                <w:webHidden/>
              </w:rPr>
              <w:tab/>
              <w:fldChar w:fldCharType="begin"/>
              <w:instrText xml:space="preserve"> PAGEREF _Toc230856978 \h </w:instrText>
              <w:fldChar w:fldCharType="separate"/>
              <w:t>23</w:t>
              <w:fldChar w:fldCharType="end"/>
            </w:r>
          </w:hyperlink>
        </w:p>
        <w:p w14:paraId="0814B7E4"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79" w:history="1">
            <w:r>
              <w:rPr>
                <w:rStyle w:val="Hyperlink"/>
                <w:rFonts w:eastAsia="Google Sans"/>
                <w:noProof/>
              </w:rPr>
              <w:t>2.3.</w:t>
            </w:r>
            <w:r>
              <w:rPr>
                <w:rFonts w:asciiTheme="minorHAnsi" w:eastAsiaTheme="minorEastAsia" w:hAnsiTheme="minorHAnsi" w:cstheme="minorBidi"/>
                <w:noProof/>
                <w:lang w:val="pt-BR" w:eastAsia="pt-BR"/>
              </w:rPr>
              <w:tab/>
            </w:r>
            <w:r>
              <w:rPr>
                <w:rStyle w:val="Hyperlink"/>
                <w:rFonts w:eastAsia="Google Sans"/>
                <w:noProof/>
              </w:rPr>
              <w:t>Risco, Retorno e Covariância: A Matemática da Diversificação</w:t>
            </w:r>
            <w:r>
              <w:rPr>
                <w:noProof/>
                <w:webHidden/>
              </w:rPr>
              <w:tab/>
              <w:fldChar w:fldCharType="begin"/>
              <w:instrText xml:space="preserve"> PAGEREF _Toc230856979 \h </w:instrText>
              <w:fldChar w:fldCharType="separate"/>
              <w:t>24</w:t>
              <w:fldChar w:fldCharType="end"/>
            </w:r>
          </w:hyperlink>
        </w:p>
        <w:p w14:paraId="1DDF5543"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0" w:history="1">
            <w:r>
              <w:rPr>
                <w:rStyle w:val="Hyperlink"/>
                <w:rFonts w:eastAsia="Google Sans"/>
                <w:noProof/>
              </w:rPr>
              <w:t>2.3.1.</w:t>
            </w:r>
            <w:r>
              <w:rPr>
                <w:rFonts w:asciiTheme="minorHAnsi" w:eastAsiaTheme="minorEastAsia" w:hAnsiTheme="minorHAnsi" w:cstheme="minorBidi"/>
                <w:noProof/>
                <w:lang w:val="pt-BR" w:eastAsia="pt-BR"/>
              </w:rPr>
              <w:tab/>
            </w:r>
            <w:r>
              <w:rPr>
                <w:rStyle w:val="Hyperlink"/>
                <w:rFonts w:eastAsia="Google Sans"/>
                <w:noProof/>
              </w:rPr>
              <w:t>Retorno Esperado do Portfólio</w:t>
            </w:r>
            <w:r>
              <w:rPr>
                <w:noProof/>
                <w:webHidden/>
              </w:rPr>
              <w:tab/>
              <w:fldChar w:fldCharType="begin"/>
              <w:instrText xml:space="preserve"> PAGEREF _Toc230856980 \h </w:instrText>
              <w:fldChar w:fldCharType="separate"/>
              <w:t>25</w:t>
              <w:fldChar w:fldCharType="end"/>
            </w:r>
          </w:hyperlink>
        </w:p>
        <w:p w14:paraId="1BD69DF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1" w:history="1">
            <w:r>
              <w:rPr>
                <w:rStyle w:val="Hyperlink"/>
                <w:rFonts w:eastAsia="Google Sans"/>
                <w:noProof/>
              </w:rPr>
              <w:t>2.3.2.</w:t>
            </w:r>
            <w:r>
              <w:rPr>
                <w:rFonts w:asciiTheme="minorHAnsi" w:eastAsiaTheme="minorEastAsia" w:hAnsiTheme="minorHAnsi" w:cstheme="minorBidi"/>
                <w:noProof/>
                <w:lang w:val="pt-BR" w:eastAsia="pt-BR"/>
              </w:rPr>
              <w:tab/>
            </w:r>
            <w:r>
              <w:rPr>
                <w:rStyle w:val="Hyperlink"/>
                <w:rFonts w:eastAsia="Google Sans"/>
                <w:noProof/>
              </w:rPr>
              <w:t>Variância e Covariância</w:t>
            </w:r>
            <w:r>
              <w:rPr>
                <w:noProof/>
                <w:webHidden/>
              </w:rPr>
              <w:tab/>
              <w:fldChar w:fldCharType="begin"/>
              <w:instrText xml:space="preserve"> PAGEREF _Toc230856981 \h </w:instrText>
              <w:fldChar w:fldCharType="separate"/>
              <w:t>25</w:t>
              <w:fldChar w:fldCharType="end"/>
            </w:r>
          </w:hyperlink>
        </w:p>
        <w:p w14:paraId="1377EB0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2" w:history="1">
            <w:r>
              <w:rPr>
                <w:rStyle w:val="Hyperlink"/>
                <w:rFonts w:eastAsia="Google Sans"/>
                <w:noProof/>
              </w:rPr>
              <w:t>2.3.3.</w:t>
            </w:r>
            <w:r>
              <w:rPr>
                <w:rFonts w:asciiTheme="minorHAnsi" w:eastAsiaTheme="minorEastAsia" w:hAnsiTheme="minorHAnsi" w:cstheme="minorBidi"/>
                <w:noProof/>
                <w:lang w:val="pt-BR" w:eastAsia="pt-BR"/>
              </w:rPr>
              <w:tab/>
            </w:r>
            <w:r>
              <w:rPr>
                <w:rStyle w:val="Hyperlink"/>
                <w:rFonts w:eastAsia="Google Sans"/>
                <w:noProof/>
              </w:rPr>
              <w:t>O Papel da Correlação</w:t>
            </w:r>
            <w:r>
              <w:rPr>
                <w:noProof/>
                <w:webHidden/>
              </w:rPr>
              <w:tab/>
              <w:fldChar w:fldCharType="begin"/>
              <w:instrText xml:space="preserve"> PAGEREF _Toc230856982 \h </w:instrText>
              <w:fldChar w:fldCharType="separate"/>
              <w:t>26</w:t>
              <w:fldChar w:fldCharType="end"/>
            </w:r>
          </w:hyperlink>
        </w:p>
        <w:p w14:paraId="7A7FFF2C"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83" w:history="1">
            <w:r>
              <w:rPr>
                <w:rStyle w:val="Hyperlink"/>
                <w:rFonts w:eastAsia="Google Sans"/>
                <w:noProof/>
              </w:rPr>
              <w:t>2.4.</w:t>
            </w:r>
            <w:r>
              <w:rPr>
                <w:rFonts w:asciiTheme="minorHAnsi" w:eastAsiaTheme="minorEastAsia" w:hAnsiTheme="minorHAnsi" w:cstheme="minorBidi"/>
                <w:noProof/>
                <w:lang w:val="pt-BR" w:eastAsia="pt-BR"/>
              </w:rPr>
              <w:tab/>
            </w:r>
            <w:r>
              <w:rPr>
                <w:rStyle w:val="Hyperlink"/>
                <w:rFonts w:eastAsia="Google Sans"/>
                <w:noProof/>
              </w:rPr>
              <w:t>A Fronteira Eficiente: Otimização e Geometria</w:t>
            </w:r>
            <w:r>
              <w:rPr>
                <w:noProof/>
                <w:webHidden/>
              </w:rPr>
              <w:tab/>
              <w:fldChar w:fldCharType="begin"/>
              <w:instrText xml:space="preserve"> PAGEREF _Toc230856983 \h </w:instrText>
              <w:fldChar w:fldCharType="separate"/>
              <w:t>26</w:t>
              <w:fldChar w:fldCharType="end"/>
            </w:r>
          </w:hyperlink>
        </w:p>
        <w:p w14:paraId="1B6D2B74"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4" w:history="1">
            <w:r>
              <w:rPr>
                <w:rStyle w:val="Hyperlink"/>
                <w:rFonts w:eastAsia="Google Sans"/>
                <w:noProof/>
              </w:rPr>
              <w:t>2.4.1.</w:t>
            </w:r>
            <w:r>
              <w:rPr>
                <w:rFonts w:asciiTheme="minorHAnsi" w:eastAsiaTheme="minorEastAsia" w:hAnsiTheme="minorHAnsi" w:cstheme="minorBidi"/>
                <w:noProof/>
                <w:lang w:val="pt-BR" w:eastAsia="pt-BR"/>
              </w:rPr>
              <w:tab/>
            </w:r>
            <w:r>
              <w:rPr>
                <w:rStyle w:val="Hyperlink"/>
                <w:rFonts w:eastAsia="Google Sans"/>
                <w:noProof/>
              </w:rPr>
              <w:t>Derivação e Definição</w:t>
            </w:r>
            <w:r>
              <w:rPr>
                <w:noProof/>
                <w:webHidden/>
              </w:rPr>
              <w:tab/>
              <w:fldChar w:fldCharType="begin"/>
              <w:instrText xml:space="preserve"> PAGEREF _Toc230856984 \h </w:instrText>
              <w:fldChar w:fldCharType="separate"/>
              <w:t>26</w:t>
              <w:fldChar w:fldCharType="end"/>
            </w:r>
          </w:hyperlink>
        </w:p>
        <w:p w14:paraId="4628CD58"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5" w:history="1">
            <w:r>
              <w:rPr>
                <w:rStyle w:val="Hyperlink"/>
                <w:rFonts w:eastAsia="Google Sans"/>
                <w:noProof/>
              </w:rPr>
              <w:t>2.4.2.</w:t>
            </w:r>
            <w:r>
              <w:rPr>
                <w:rFonts w:asciiTheme="minorHAnsi" w:eastAsiaTheme="minorEastAsia" w:hAnsiTheme="minorHAnsi" w:cstheme="minorBidi"/>
                <w:noProof/>
                <w:lang w:val="pt-BR" w:eastAsia="pt-BR"/>
              </w:rPr>
              <w:tab/>
            </w:r>
            <w:r>
              <w:rPr>
                <w:rStyle w:val="Hyperlink"/>
                <w:rFonts w:eastAsia="Google Sans"/>
                <w:noProof/>
              </w:rPr>
              <w:t>O Portfólio de Mínima Variância Global</w:t>
            </w:r>
            <w:r>
              <w:rPr>
                <w:noProof/>
                <w:webHidden/>
              </w:rPr>
              <w:tab/>
              <w:fldChar w:fldCharType="begin"/>
              <w:instrText xml:space="preserve"> PAGEREF _Toc230856985 \h </w:instrText>
              <w:fldChar w:fldCharType="separate"/>
              <w:t>27</w:t>
              <w:fldChar w:fldCharType="end"/>
            </w:r>
          </w:hyperlink>
        </w:p>
        <w:p w14:paraId="265A7865"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6" w:history="1">
            <w:r>
              <w:rPr>
                <w:rStyle w:val="Hyperlink"/>
                <w:rFonts w:eastAsia="Google Sans"/>
                <w:noProof/>
              </w:rPr>
              <w:t>2.4.3.</w:t>
            </w:r>
            <w:r>
              <w:rPr>
                <w:rFonts w:asciiTheme="minorHAnsi" w:eastAsiaTheme="minorEastAsia" w:hAnsiTheme="minorHAnsi" w:cstheme="minorBidi"/>
                <w:noProof/>
                <w:lang w:val="pt-BR" w:eastAsia="pt-BR"/>
              </w:rPr>
              <w:tab/>
            </w:r>
            <w:r>
              <w:rPr>
                <w:rStyle w:val="Hyperlink"/>
                <w:rFonts w:eastAsia="Google Sans"/>
                <w:noProof/>
              </w:rPr>
              <w:t>O Ativo Livre de Risco e o Teorema da Separação</w:t>
            </w:r>
            <w:r>
              <w:rPr>
                <w:noProof/>
                <w:webHidden/>
              </w:rPr>
              <w:tab/>
              <w:fldChar w:fldCharType="begin"/>
              <w:instrText xml:space="preserve"> PAGEREF _Toc230856986 \h </w:instrText>
              <w:fldChar w:fldCharType="separate"/>
              <w:t>28</w:t>
              <w:fldChar w:fldCharType="end"/>
            </w:r>
          </w:hyperlink>
        </w:p>
        <w:p w14:paraId="77C982D8"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6987" w:history="1">
            <w:r>
              <w:rPr>
                <w:rStyle w:val="Hyperlink"/>
                <w:rFonts w:eastAsia="Google Sans"/>
                <w:noProof/>
              </w:rPr>
              <w:t>2.4.3.1.</w:t>
            </w:r>
            <w:r>
              <w:rPr>
                <w:rFonts w:asciiTheme="minorHAnsi" w:eastAsiaTheme="minorEastAsia" w:hAnsiTheme="minorHAnsi" w:cstheme="minorBidi"/>
                <w:noProof/>
                <w:lang w:val="pt-BR" w:eastAsia="pt-BR"/>
              </w:rPr>
              <w:tab/>
            </w:r>
            <w:r>
              <w:rPr>
                <w:rStyle w:val="Hyperlink"/>
                <w:rFonts w:eastAsia="Google Sans"/>
                <w:noProof/>
              </w:rPr>
              <w:t>O Ativo Livre de Risco</w:t>
            </w:r>
            <w:r>
              <w:rPr>
                <w:noProof/>
                <w:webHidden/>
              </w:rPr>
              <w:tab/>
              <w:fldChar w:fldCharType="begin"/>
              <w:instrText xml:space="preserve"> PAGEREF _Toc230856987 \h </w:instrText>
              <w:fldChar w:fldCharType="separate"/>
              <w:t>28</w:t>
              <w:fldChar w:fldCharType="end"/>
            </w:r>
          </w:hyperlink>
        </w:p>
        <w:p w14:paraId="08AD959A"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8" w:history="1">
            <w:r>
              <w:rPr>
                <w:rStyle w:val="Hyperlink"/>
                <w:rFonts w:eastAsia="Google Sans"/>
                <w:noProof/>
              </w:rPr>
              <w:t>2.4.4.</w:t>
            </w:r>
            <w:r>
              <w:rPr>
                <w:rFonts w:asciiTheme="minorHAnsi" w:eastAsiaTheme="minorEastAsia" w:hAnsiTheme="minorHAnsi" w:cstheme="minorBidi"/>
                <w:noProof/>
                <w:lang w:val="pt-BR" w:eastAsia="pt-BR"/>
              </w:rPr>
              <w:tab/>
            </w:r>
            <w:r>
              <w:rPr>
                <w:rStyle w:val="Hyperlink"/>
                <w:rFonts w:eastAsia="Google Sans"/>
                <w:noProof/>
              </w:rPr>
              <w:t>O Teorema da Separação de Tobin</w:t>
            </w:r>
            <w:r>
              <w:rPr>
                <w:noProof/>
                <w:webHidden/>
              </w:rPr>
              <w:tab/>
              <w:fldChar w:fldCharType="begin"/>
              <w:instrText xml:space="preserve"> PAGEREF _Toc230856988 \h </w:instrText>
              <w:fldChar w:fldCharType="separate"/>
              <w:t>28</w:t>
              <w:fldChar w:fldCharType="end"/>
            </w:r>
          </w:hyperlink>
        </w:p>
        <w:p w14:paraId="0650F59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89" w:history="1">
            <w:r>
              <w:rPr>
                <w:rStyle w:val="Hyperlink"/>
                <w:rFonts w:eastAsia="Google Sans"/>
                <w:noProof/>
              </w:rPr>
              <w:t>2.4.5.</w:t>
            </w:r>
            <w:r>
              <w:rPr>
                <w:rFonts w:asciiTheme="minorHAnsi" w:eastAsiaTheme="minorEastAsia" w:hAnsiTheme="minorHAnsi" w:cstheme="minorBidi"/>
                <w:noProof/>
                <w:lang w:val="pt-BR" w:eastAsia="pt-BR"/>
              </w:rPr>
              <w:tab/>
            </w:r>
            <w:r>
              <w:rPr>
                <w:rStyle w:val="Hyperlink"/>
                <w:rFonts w:eastAsia="Google Sans"/>
                <w:noProof/>
              </w:rPr>
              <w:t>A Reta do Mercado de Capitais (Capital Market Line - CML)</w:t>
            </w:r>
            <w:r>
              <w:rPr>
                <w:noProof/>
                <w:webHidden/>
              </w:rPr>
              <w:tab/>
              <w:fldChar w:fldCharType="begin"/>
              <w:instrText xml:space="preserve"> PAGEREF _Toc230856989 \h </w:instrText>
              <w:fldChar w:fldCharType="separate"/>
              <w:t>29</w:t>
              <w:fldChar w:fldCharType="end"/>
            </w:r>
          </w:hyperlink>
        </w:p>
        <w:p w14:paraId="6AEB3224"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0" w:history="1">
            <w:r>
              <w:rPr>
                <w:rStyle w:val="Hyperlink"/>
                <w:rFonts w:eastAsia="Google Sans Text"/>
                <w:noProof/>
              </w:rPr>
              <w:t>2.4.6.</w:t>
            </w:r>
            <w:r>
              <w:rPr>
                <w:rFonts w:asciiTheme="minorHAnsi" w:eastAsiaTheme="minorEastAsia" w:hAnsiTheme="minorHAnsi" w:cstheme="minorBidi"/>
                <w:noProof/>
                <w:lang w:val="pt-BR" w:eastAsia="pt-BR"/>
              </w:rPr>
              <w:tab/>
            </w:r>
            <w:r>
              <w:rPr>
                <w:rStyle w:val="Hyperlink"/>
                <w:rFonts w:eastAsia="Google Sans Text"/>
                <w:bCs/>
                <w:noProof/>
              </w:rPr>
              <w:t>Considerações sobre Taxas de Empréstimo Diferenciadas</w:t>
            </w:r>
            <w:r>
              <w:rPr>
                <w:noProof/>
                <w:webHidden/>
              </w:rPr>
              <w:tab/>
              <w:fldChar w:fldCharType="begin"/>
              <w:instrText xml:space="preserve"> PAGEREF _Toc230856990 \h </w:instrText>
              <w:fldChar w:fldCharType="separate"/>
              <w:t>30</w:t>
              <w:fldChar w:fldCharType="end"/>
            </w:r>
          </w:hyperlink>
        </w:p>
        <w:p w14:paraId="5BEF926D"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91" w:history="1">
            <w:r>
              <w:rPr>
                <w:rStyle w:val="Hyperlink"/>
                <w:rFonts w:eastAsia="Google Sans"/>
                <w:noProof/>
              </w:rPr>
              <w:t>2.5.</w:t>
            </w:r>
            <w:r>
              <w:rPr>
                <w:rFonts w:asciiTheme="minorHAnsi" w:eastAsiaTheme="minorEastAsia" w:hAnsiTheme="minorHAnsi" w:cstheme="minorBidi"/>
                <w:noProof/>
                <w:lang w:val="pt-BR" w:eastAsia="pt-BR"/>
              </w:rPr>
              <w:tab/>
            </w:r>
            <w:r>
              <w:rPr>
                <w:rStyle w:val="Hyperlink"/>
                <w:rFonts w:eastAsia="Google Sans"/>
                <w:noProof/>
              </w:rPr>
              <w:t>Avaliação de Desempenho: O Índice de Sharpe</w:t>
            </w:r>
            <w:r>
              <w:rPr>
                <w:noProof/>
                <w:webHidden/>
              </w:rPr>
              <w:tab/>
              <w:fldChar w:fldCharType="begin"/>
              <w:instrText xml:space="preserve"> PAGEREF _Toc230856991 \h </w:instrText>
              <w:fldChar w:fldCharType="separate"/>
              <w:t>30</w:t>
              <w:fldChar w:fldCharType="end"/>
            </w:r>
          </w:hyperlink>
        </w:p>
        <w:p w14:paraId="10D14979"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2" w:history="1">
            <w:r>
              <w:rPr>
                <w:rStyle w:val="Hyperlink"/>
                <w:rFonts w:eastAsia="Google Sans"/>
                <w:noProof/>
              </w:rPr>
              <w:t>2.5.1.</w:t>
            </w:r>
            <w:r>
              <w:rPr>
                <w:rFonts w:asciiTheme="minorHAnsi" w:eastAsiaTheme="minorEastAsia" w:hAnsiTheme="minorHAnsi" w:cstheme="minorBidi"/>
                <w:noProof/>
                <w:lang w:val="pt-BR" w:eastAsia="pt-BR"/>
              </w:rPr>
              <w:tab/>
            </w:r>
            <w:r>
              <w:rPr>
                <w:rStyle w:val="Hyperlink"/>
                <w:rFonts w:eastAsia="Google Sans"/>
                <w:noProof/>
              </w:rPr>
              <w:t>Definição e Interpretação</w:t>
            </w:r>
            <w:r>
              <w:rPr>
                <w:noProof/>
                <w:webHidden/>
              </w:rPr>
              <w:tab/>
              <w:fldChar w:fldCharType="begin"/>
              <w:instrText xml:space="preserve"> PAGEREF _Toc230856992 \h </w:instrText>
              <w:fldChar w:fldCharType="separate"/>
              <w:t>30</w:t>
              <w:fldChar w:fldCharType="end"/>
            </w:r>
          </w:hyperlink>
        </w:p>
        <w:p w14:paraId="47FC73AF"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3" w:history="1">
            <w:r>
              <w:rPr>
                <w:rStyle w:val="Hyperlink"/>
                <w:rFonts w:eastAsia="Google Sans"/>
                <w:noProof/>
              </w:rPr>
              <w:t>2.5.2.</w:t>
            </w:r>
            <w:r>
              <w:rPr>
                <w:rFonts w:asciiTheme="minorHAnsi" w:eastAsiaTheme="minorEastAsia" w:hAnsiTheme="minorHAnsi" w:cstheme="minorBidi"/>
                <w:noProof/>
                <w:lang w:val="pt-BR" w:eastAsia="pt-BR"/>
              </w:rPr>
              <w:tab/>
            </w:r>
            <w:r>
              <w:rPr>
                <w:rStyle w:val="Hyperlink"/>
                <w:rFonts w:eastAsia="Google Sans"/>
                <w:noProof/>
              </w:rPr>
              <w:t>Importância e Aplicação</w:t>
            </w:r>
            <w:r>
              <w:rPr>
                <w:noProof/>
                <w:webHidden/>
              </w:rPr>
              <w:tab/>
              <w:fldChar w:fldCharType="begin"/>
              <w:instrText xml:space="preserve"> PAGEREF _Toc230856993 \h </w:instrText>
              <w:fldChar w:fldCharType="separate"/>
              <w:t>31</w:t>
              <w:fldChar w:fldCharType="end"/>
            </w:r>
          </w:hyperlink>
        </w:p>
        <w:p w14:paraId="3AEEDA6A"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6994" w:history="1">
            <w:r>
              <w:rPr>
                <w:rStyle w:val="Hyperlink"/>
                <w:rFonts w:eastAsia="Google Sans"/>
                <w:noProof/>
              </w:rPr>
              <w:t>2.6.</w:t>
            </w:r>
            <w:r>
              <w:rPr>
                <w:rFonts w:asciiTheme="minorHAnsi" w:eastAsiaTheme="minorEastAsia" w:hAnsiTheme="minorHAnsi" w:cstheme="minorBidi"/>
                <w:noProof/>
                <w:lang w:val="pt-BR" w:eastAsia="pt-BR"/>
              </w:rPr>
              <w:tab/>
            </w:r>
            <w:r>
              <w:rPr>
                <w:rStyle w:val="Hyperlink"/>
                <w:rFonts w:eastAsia="Google Sans"/>
                <w:noProof/>
              </w:rPr>
              <w:t>O Modelo de Precificação de Ativos de Capital (CAPM)</w:t>
            </w:r>
            <w:r>
              <w:rPr>
                <w:noProof/>
                <w:webHidden/>
              </w:rPr>
              <w:tab/>
              <w:fldChar w:fldCharType="begin"/>
              <w:instrText xml:space="preserve"> PAGEREF _Toc230856994 \h </w:instrText>
              <w:fldChar w:fldCharType="separate"/>
              <w:t>31</w:t>
              <w:fldChar w:fldCharType="end"/>
            </w:r>
          </w:hyperlink>
        </w:p>
        <w:p w14:paraId="783DE62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5" w:history="1">
            <w:r>
              <w:rPr>
                <w:rStyle w:val="Hyperlink"/>
                <w:rFonts w:eastAsia="Google Sans"/>
                <w:noProof/>
              </w:rPr>
              <w:t>2.6.1.</w:t>
            </w:r>
            <w:r>
              <w:rPr>
                <w:rFonts w:asciiTheme="minorHAnsi" w:eastAsiaTheme="minorEastAsia" w:hAnsiTheme="minorHAnsi" w:cstheme="minorBidi"/>
                <w:noProof/>
                <w:lang w:val="pt-BR" w:eastAsia="pt-BR"/>
              </w:rPr>
              <w:tab/>
            </w:r>
            <w:r>
              <w:rPr>
                <w:rStyle w:val="Hyperlink"/>
                <w:rFonts w:eastAsia="Google Sans"/>
                <w:noProof/>
              </w:rPr>
              <w:t>Origem e Desenvolvedores</w:t>
            </w:r>
            <w:r>
              <w:rPr>
                <w:noProof/>
                <w:webHidden/>
              </w:rPr>
              <w:tab/>
              <w:fldChar w:fldCharType="begin"/>
              <w:instrText xml:space="preserve"> PAGEREF _Toc230856995 \h </w:instrText>
              <w:fldChar w:fldCharType="separate"/>
              <w:t>31</w:t>
              <w:fldChar w:fldCharType="end"/>
            </w:r>
          </w:hyperlink>
        </w:p>
        <w:p w14:paraId="79B44C19"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6" w:history="1">
            <w:r>
              <w:rPr>
                <w:rStyle w:val="Hyperlink"/>
                <w:rFonts w:eastAsia="Google Sans"/>
                <w:noProof/>
              </w:rPr>
              <w:t>2.6.2.</w:t>
            </w:r>
            <w:r>
              <w:rPr>
                <w:rFonts w:asciiTheme="minorHAnsi" w:eastAsiaTheme="minorEastAsia" w:hAnsiTheme="minorHAnsi" w:cstheme="minorBidi"/>
                <w:noProof/>
                <w:lang w:val="pt-BR" w:eastAsia="pt-BR"/>
              </w:rPr>
              <w:tab/>
            </w:r>
            <w:r>
              <w:rPr>
                <w:rStyle w:val="Hyperlink"/>
                <w:rFonts w:eastAsia="Google Sans"/>
                <w:noProof/>
              </w:rPr>
              <w:t>Decomposição do Risco: Sistemático vs. Não Sistemático</w:t>
            </w:r>
            <w:r>
              <w:rPr>
                <w:noProof/>
                <w:webHidden/>
              </w:rPr>
              <w:tab/>
              <w:fldChar w:fldCharType="begin"/>
              <w:instrText xml:space="preserve"> PAGEREF _Toc230856996 \h </w:instrText>
              <w:fldChar w:fldCharType="separate"/>
              <w:t>31</w:t>
              <w:fldChar w:fldCharType="end"/>
            </w:r>
          </w:hyperlink>
        </w:p>
        <w:p w14:paraId="14D84FC0"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7" w:history="1">
            <w:r>
              <w:rPr>
                <w:rStyle w:val="Hyperlink"/>
                <w:rFonts w:eastAsia="Google Sans"/>
                <w:noProof/>
              </w:rPr>
              <w:t>2.6.3.</w:t>
            </w:r>
            <w:r>
              <w:rPr>
                <w:rFonts w:asciiTheme="minorHAnsi" w:eastAsiaTheme="minorEastAsia" w:hAnsiTheme="minorHAnsi" w:cstheme="minorBidi"/>
                <w:noProof/>
                <w:lang w:val="pt-BR" w:eastAsia="pt-BR"/>
              </w:rPr>
              <w:tab/>
            </w:r>
            <w:r>
              <w:rPr>
                <w:rStyle w:val="Hyperlink"/>
                <w:rFonts w:eastAsia="Google Sans"/>
                <w:noProof/>
              </w:rPr>
              <w:t>O Coeficiente Beta e a Reta do Mercado de Títulos (SML)</w:t>
            </w:r>
            <w:r>
              <w:rPr>
                <w:noProof/>
                <w:webHidden/>
              </w:rPr>
              <w:tab/>
              <w:fldChar w:fldCharType="begin"/>
              <w:instrText xml:space="preserve"> PAGEREF _Toc230856997 \h </w:instrText>
              <w:fldChar w:fldCharType="separate"/>
              <w:t>32</w:t>
              <w:fldChar w:fldCharType="end"/>
            </w:r>
          </w:hyperlink>
        </w:p>
        <w:p w14:paraId="4978252F"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8" w:history="1">
            <w:r>
              <w:rPr>
                <w:rStyle w:val="Hyperlink"/>
                <w:rFonts w:eastAsia="Google Sans"/>
                <w:noProof/>
              </w:rPr>
              <w:t>2.6.4.</w:t>
            </w:r>
            <w:r>
              <w:rPr>
                <w:rFonts w:asciiTheme="minorHAnsi" w:eastAsiaTheme="minorEastAsia" w:hAnsiTheme="minorHAnsi" w:cstheme="minorBidi"/>
                <w:noProof/>
                <w:lang w:val="pt-BR" w:eastAsia="pt-BR"/>
              </w:rPr>
              <w:tab/>
            </w:r>
            <w:r>
              <w:rPr>
                <w:rStyle w:val="Hyperlink"/>
                <w:noProof/>
                <w:lang w:val="pt-BR" w:eastAsia="pt-BR"/>
              </w:rPr>
              <w:t>A Reta do Mercado de Títulos (SML)</w:t>
            </w:r>
            <w:r>
              <w:rPr>
                <w:noProof/>
                <w:webHidden/>
              </w:rPr>
              <w:tab/>
              <w:fldChar w:fldCharType="begin"/>
              <w:instrText xml:space="preserve"> PAGEREF _Toc230856998 \h </w:instrText>
              <w:fldChar w:fldCharType="separate"/>
              <w:t>32</w:t>
              <w:fldChar w:fldCharType="end"/>
            </w:r>
          </w:hyperlink>
        </w:p>
        <w:p w14:paraId="21374AE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6999" w:history="1">
            <w:r>
              <w:rPr>
                <w:rStyle w:val="Hyperlink"/>
                <w:noProof/>
              </w:rPr>
              <w:t>2.6.5.</w:t>
            </w:r>
            <w:r>
              <w:rPr>
                <w:rFonts w:asciiTheme="minorHAnsi" w:eastAsiaTheme="minorEastAsia" w:hAnsiTheme="minorHAnsi" w:cstheme="minorBidi"/>
                <w:noProof/>
                <w:lang w:val="pt-BR" w:eastAsia="pt-BR"/>
              </w:rPr>
              <w:tab/>
            </w:r>
            <w:r>
              <w:rPr>
                <w:rStyle w:val="Hyperlink"/>
                <w:bCs/>
                <w:noProof/>
                <w:shd w:val="clear" w:color="auto" w:fill="FFFFFF"/>
              </w:rPr>
              <w:t>Diferença entre CML e SML:</w:t>
            </w:r>
            <w:r>
              <w:rPr>
                <w:noProof/>
                <w:webHidden/>
              </w:rPr>
              <w:tab/>
              <w:fldChar w:fldCharType="begin"/>
              <w:instrText xml:space="preserve"> PAGEREF _Toc230856999 \h </w:instrText>
              <w:fldChar w:fldCharType="separate"/>
              <w:t>33</w:t>
              <w:fldChar w:fldCharType="end"/>
            </w:r>
          </w:hyperlink>
        </w:p>
        <w:p w14:paraId="614136B0"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00" w:history="1">
            <w:r>
              <w:rPr>
                <w:rStyle w:val="Hyperlink"/>
                <w:b/>
                <w:bCs/>
                <w:noProof/>
              </w:rPr>
              <w:t>2.7.</w:t>
            </w:r>
            <w:r>
              <w:rPr>
                <w:rFonts w:asciiTheme="minorHAnsi" w:eastAsiaTheme="minorEastAsia" w:hAnsiTheme="minorHAnsi" w:cstheme="minorBidi"/>
                <w:noProof/>
                <w:lang w:val="pt-BR" w:eastAsia="pt-BR"/>
              </w:rPr>
              <w:tab/>
            </w:r>
            <w:r>
              <w:rPr>
                <w:rStyle w:val="Hyperlink"/>
                <w:rFonts w:eastAsia="Google Sans"/>
                <w:b/>
                <w:bCs/>
                <w:noProof/>
              </w:rPr>
              <w:t>Pressupostos, Críticas e Limitações Teóricas</w:t>
            </w:r>
            <w:r>
              <w:rPr>
                <w:noProof/>
                <w:webHidden/>
              </w:rPr>
              <w:tab/>
              <w:fldChar w:fldCharType="begin"/>
              <w:instrText xml:space="preserve"> PAGEREF _Toc230857000 \h </w:instrText>
              <w:fldChar w:fldCharType="separate"/>
              <w:t>34</w:t>
              <w:fldChar w:fldCharType="end"/>
            </w:r>
          </w:hyperlink>
        </w:p>
        <w:p w14:paraId="1DDBF5A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1" w:history="1">
            <w:r>
              <w:rPr>
                <w:rStyle w:val="Hyperlink"/>
                <w:rFonts w:eastAsia="Google Sans"/>
                <w:noProof/>
              </w:rPr>
              <w:t>2.7.1.</w:t>
            </w:r>
            <w:r>
              <w:rPr>
                <w:rFonts w:asciiTheme="minorHAnsi" w:eastAsiaTheme="minorEastAsia" w:hAnsiTheme="minorHAnsi" w:cstheme="minorBidi"/>
                <w:noProof/>
                <w:lang w:val="pt-BR" w:eastAsia="pt-BR"/>
              </w:rPr>
              <w:tab/>
            </w:r>
            <w:r>
              <w:rPr>
                <w:rStyle w:val="Hyperlink"/>
                <w:rFonts w:eastAsia="Google Sans"/>
                <w:noProof/>
              </w:rPr>
              <w:t>Pressupostos Fundamentais: A Racionalidade VNM</w:t>
            </w:r>
            <w:r>
              <w:rPr>
                <w:noProof/>
                <w:webHidden/>
              </w:rPr>
              <w:tab/>
              <w:fldChar w:fldCharType="begin"/>
              <w:instrText xml:space="preserve"> PAGEREF _Toc230857001 \h </w:instrText>
              <w:fldChar w:fldCharType="separate"/>
              <w:t>34</w:t>
              <w:fldChar w:fldCharType="end"/>
            </w:r>
          </w:hyperlink>
        </w:p>
        <w:p w14:paraId="1A6CAB5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2" w:history="1">
            <w:r>
              <w:rPr>
                <w:rStyle w:val="Hyperlink"/>
                <w:noProof/>
              </w:rPr>
              <w:t>2.7.2.</w:t>
            </w:r>
            <w:r>
              <w:rPr>
                <w:rFonts w:asciiTheme="minorHAnsi" w:eastAsiaTheme="minorEastAsia" w:hAnsiTheme="minorHAnsi" w:cstheme="minorBidi"/>
                <w:noProof/>
                <w:lang w:val="pt-BR" w:eastAsia="pt-BR"/>
              </w:rPr>
              <w:tab/>
            </w:r>
            <w:r>
              <w:rPr>
                <w:rStyle w:val="Hyperlink"/>
                <w:rFonts w:eastAsia="Google Sans"/>
                <w:noProof/>
              </w:rPr>
              <w:t>Limitações e a Realidade dos Mercados</w:t>
            </w:r>
            <w:r>
              <w:rPr>
                <w:noProof/>
                <w:webHidden/>
              </w:rPr>
              <w:tab/>
              <w:fldChar w:fldCharType="begin"/>
              <w:instrText xml:space="preserve"> PAGEREF _Toc230857002 \h </w:instrText>
              <w:fldChar w:fldCharType="separate"/>
              <w:t>36</w:t>
              <w:fldChar w:fldCharType="end"/>
            </w:r>
          </w:hyperlink>
        </w:p>
        <w:p w14:paraId="55F6ED7E"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03" w:history="1">
            <w:r>
              <w:rPr>
                <w:rStyle w:val="Hyperlink"/>
                <w:b/>
                <w:bCs/>
                <w:noProof/>
              </w:rPr>
              <w:t>2.8.</w:t>
            </w:r>
            <w:r>
              <w:rPr>
                <w:rFonts w:asciiTheme="minorHAnsi" w:eastAsiaTheme="minorEastAsia" w:hAnsiTheme="minorHAnsi" w:cstheme="minorBidi"/>
                <w:noProof/>
                <w:lang w:val="pt-BR" w:eastAsia="pt-BR"/>
              </w:rPr>
              <w:tab/>
            </w:r>
            <w:r>
              <w:rPr>
                <w:rStyle w:val="Hyperlink"/>
                <w:b/>
                <w:bCs/>
                <w:noProof/>
                <w:lang w:val="pt-BR" w:eastAsia="pt-BR"/>
              </w:rPr>
              <w:t>A Teoria Pós-Moderna do Portfólio (PMPT) e a Gestão de Risco Assimétrica</w:t>
            </w:r>
            <w:r>
              <w:rPr>
                <w:noProof/>
                <w:webHidden/>
              </w:rPr>
              <w:tab/>
              <w:fldChar w:fldCharType="begin"/>
              <w:instrText xml:space="preserve"> PAGEREF _Toc230857003 \h </w:instrText>
              <w:fldChar w:fldCharType="separate"/>
              <w:t>38</w:t>
              <w:fldChar w:fldCharType="end"/>
            </w:r>
          </w:hyperlink>
        </w:p>
        <w:p w14:paraId="7D01EB63"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4" w:history="1">
            <w:r>
              <w:rPr>
                <w:rStyle w:val="Hyperlink"/>
                <w:noProof/>
              </w:rPr>
              <w:t>2.8.1.</w:t>
            </w:r>
            <w:r>
              <w:rPr>
                <w:rFonts w:asciiTheme="minorHAnsi" w:eastAsiaTheme="minorEastAsia" w:hAnsiTheme="minorHAnsi" w:cstheme="minorBidi"/>
                <w:noProof/>
                <w:lang w:val="pt-BR" w:eastAsia="pt-BR"/>
              </w:rPr>
              <w:tab/>
            </w:r>
            <w:r>
              <w:rPr>
                <w:rStyle w:val="Hyperlink"/>
                <w:noProof/>
                <w:lang w:val="pt-BR" w:eastAsia="pt-BR"/>
              </w:rPr>
              <w:t>Introdução: A Evolução Paradigmática e a Necessidade Histórica da PMPT</w:t>
            </w:r>
            <w:r>
              <w:rPr>
                <w:noProof/>
                <w:webHidden/>
              </w:rPr>
              <w:tab/>
              <w:fldChar w:fldCharType="begin"/>
              <w:instrText xml:space="preserve"> PAGEREF _Toc230857004 \h </w:instrText>
              <w:fldChar w:fldCharType="separate"/>
              <w:t>38</w:t>
              <w:fldChar w:fldCharType="end"/>
            </w:r>
          </w:hyperlink>
        </w:p>
        <w:p w14:paraId="4DB03564"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5" w:history="1">
            <w:r>
              <w:rPr>
                <w:rStyle w:val="Hyperlink"/>
                <w:noProof/>
              </w:rPr>
              <w:t>2.8.2.</w:t>
            </w:r>
            <w:r>
              <w:rPr>
                <w:rFonts w:asciiTheme="minorHAnsi" w:eastAsiaTheme="minorEastAsia" w:hAnsiTheme="minorHAnsi" w:cstheme="minorBidi"/>
                <w:noProof/>
                <w:lang w:val="pt-BR" w:eastAsia="pt-BR"/>
              </w:rPr>
              <w:tab/>
            </w:r>
            <w:r>
              <w:rPr>
                <w:rStyle w:val="Hyperlink"/>
                <w:noProof/>
                <w:lang w:eastAsia="pt-BR"/>
              </w:rPr>
              <w:t>O "Esquecimento Tecnológico" e as Origens em Markowitz (1959)</w:t>
            </w:r>
            <w:r>
              <w:rPr>
                <w:noProof/>
                <w:webHidden/>
              </w:rPr>
              <w:tab/>
              <w:fldChar w:fldCharType="begin"/>
              <w:instrText xml:space="preserve"> PAGEREF _Toc230857005 \h </w:instrText>
              <w:fldChar w:fldCharType="separate"/>
              <w:t>38</w:t>
              <w:fldChar w:fldCharType="end"/>
            </w:r>
          </w:hyperlink>
        </w:p>
        <w:p w14:paraId="7BFD240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6" w:history="1">
            <w:r>
              <w:rPr>
                <w:rStyle w:val="Hyperlink"/>
                <w:noProof/>
              </w:rPr>
              <w:t>2.8.3.</w:t>
            </w:r>
            <w:r>
              <w:rPr>
                <w:rFonts w:asciiTheme="minorHAnsi" w:eastAsiaTheme="minorEastAsia" w:hAnsiTheme="minorHAnsi" w:cstheme="minorBidi"/>
                <w:noProof/>
                <w:lang w:val="pt-BR" w:eastAsia="pt-BR"/>
              </w:rPr>
              <w:tab/>
            </w:r>
            <w:r>
              <w:rPr>
                <w:rStyle w:val="Hyperlink"/>
                <w:noProof/>
                <w:lang w:eastAsia="pt-BR"/>
              </w:rPr>
              <w:t>A Consolidação da PMPT: Rom, Ferguson e o Instituto de Pesquisa de Pensões</w:t>
            </w:r>
            <w:r>
              <w:rPr>
                <w:noProof/>
                <w:webHidden/>
              </w:rPr>
              <w:tab/>
              <w:fldChar w:fldCharType="begin"/>
              <w:instrText xml:space="preserve"> PAGEREF _Toc230857006 \h </w:instrText>
              <w:fldChar w:fldCharType="separate"/>
              <w:t>39</w:t>
              <w:fldChar w:fldCharType="end"/>
            </w:r>
          </w:hyperlink>
        </w:p>
        <w:p w14:paraId="395D080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7" w:history="1">
            <w:r>
              <w:rPr>
                <w:rStyle w:val="Hyperlink"/>
                <w:noProof/>
              </w:rPr>
              <w:t>2.8.4.</w:t>
            </w:r>
            <w:r>
              <w:rPr>
                <w:rFonts w:asciiTheme="minorHAnsi" w:eastAsiaTheme="minorEastAsia" w:hAnsiTheme="minorHAnsi" w:cstheme="minorBidi"/>
                <w:noProof/>
                <w:lang w:val="pt-BR" w:eastAsia="pt-BR"/>
              </w:rPr>
              <w:tab/>
            </w:r>
            <w:r>
              <w:rPr>
                <w:rStyle w:val="Hyperlink"/>
                <w:noProof/>
                <w:lang w:eastAsia="pt-BR"/>
              </w:rPr>
              <w:t>O Fenômeno da "Maximização de Erros" e a Instabilidade das Soluções</w:t>
            </w:r>
            <w:r>
              <w:rPr>
                <w:noProof/>
                <w:webHidden/>
              </w:rPr>
              <w:tab/>
              <w:fldChar w:fldCharType="begin"/>
              <w:instrText xml:space="preserve"> PAGEREF _Toc230857007 \h </w:instrText>
              <w:fldChar w:fldCharType="separate"/>
              <w:t>40</w:t>
              <w:fldChar w:fldCharType="end"/>
            </w:r>
          </w:hyperlink>
        </w:p>
        <w:p w14:paraId="410AA1FB"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8" w:history="1">
            <w:r>
              <w:rPr>
                <w:rStyle w:val="Hyperlink"/>
                <w:noProof/>
              </w:rPr>
              <w:t>2.8.5.</w:t>
            </w:r>
            <w:r>
              <w:rPr>
                <w:rFonts w:asciiTheme="minorHAnsi" w:eastAsiaTheme="minorEastAsia" w:hAnsiTheme="minorHAnsi" w:cstheme="minorBidi"/>
                <w:noProof/>
                <w:lang w:val="pt-BR" w:eastAsia="pt-BR"/>
              </w:rPr>
              <w:tab/>
            </w:r>
            <w:r>
              <w:rPr>
                <w:rStyle w:val="Hyperlink"/>
                <w:noProof/>
                <w:lang w:val="pt-BR" w:eastAsia="pt-BR"/>
              </w:rPr>
              <w:t>A Limitação da Utilidade Quadrática e a Cegueira à Assimetria</w:t>
            </w:r>
            <w:r>
              <w:rPr>
                <w:noProof/>
                <w:webHidden/>
              </w:rPr>
              <w:tab/>
              <w:fldChar w:fldCharType="begin"/>
              <w:instrText xml:space="preserve"> PAGEREF _Toc230857008 \h </w:instrText>
              <w:fldChar w:fldCharType="separate"/>
              <w:t>41</w:t>
              <w:fldChar w:fldCharType="end"/>
            </w:r>
          </w:hyperlink>
        </w:p>
        <w:p w14:paraId="4FF4EA0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09" w:history="1">
            <w:r>
              <w:rPr>
                <w:rStyle w:val="Hyperlink"/>
                <w:noProof/>
              </w:rPr>
              <w:t>2.8.6.</w:t>
            </w:r>
            <w:r>
              <w:rPr>
                <w:rFonts w:asciiTheme="minorHAnsi" w:eastAsiaTheme="minorEastAsia" w:hAnsiTheme="minorHAnsi" w:cstheme="minorBidi"/>
                <w:noProof/>
                <w:lang w:val="pt-BR" w:eastAsia="pt-BR"/>
              </w:rPr>
              <w:tab/>
            </w:r>
            <w:r>
              <w:rPr>
                <w:rStyle w:val="Hyperlink"/>
                <w:noProof/>
                <w:lang w:eastAsia="pt-BR"/>
              </w:rPr>
              <w:t>A Insuficiência da Variância e a Gênese da PMPT</w:t>
            </w:r>
            <w:r>
              <w:rPr>
                <w:noProof/>
                <w:webHidden/>
              </w:rPr>
              <w:tab/>
              <w:fldChar w:fldCharType="begin"/>
              <w:instrText xml:space="preserve"> PAGEREF _Toc230857009 \h </w:instrText>
              <w:fldChar w:fldCharType="separate"/>
              <w:t>42</w:t>
              <w:fldChar w:fldCharType="end"/>
            </w:r>
          </w:hyperlink>
        </w:p>
        <w:p w14:paraId="01C40D0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10" w:history="1">
            <w:r>
              <w:rPr>
                <w:rStyle w:val="Hyperlink"/>
                <w:noProof/>
              </w:rPr>
              <w:t>2.8.7.</w:t>
            </w:r>
            <w:r>
              <w:rPr>
                <w:rFonts w:asciiTheme="minorHAnsi" w:eastAsiaTheme="minorEastAsia" w:hAnsiTheme="minorHAnsi" w:cstheme="minorBidi"/>
                <w:noProof/>
                <w:lang w:val="pt-BR" w:eastAsia="pt-BR"/>
              </w:rPr>
              <w:tab/>
            </w:r>
            <w:r>
              <w:rPr>
                <w:rStyle w:val="Hyperlink"/>
                <w:noProof/>
                <w:lang w:eastAsia="pt-BR"/>
              </w:rPr>
              <w:t>Métricas de Risco: Do VaR às Medidas Coerentes</w:t>
            </w:r>
            <w:r>
              <w:rPr>
                <w:noProof/>
                <w:webHidden/>
              </w:rPr>
              <w:tab/>
              <w:fldChar w:fldCharType="begin"/>
              <w:instrText xml:space="preserve"> PAGEREF _Toc230857010 \h </w:instrText>
              <w:fldChar w:fldCharType="separate"/>
              <w:t>42</w:t>
              <w:fldChar w:fldCharType="end"/>
            </w:r>
          </w:hyperlink>
        </w:p>
        <w:p w14:paraId="59359020"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11" w:history="1">
            <w:r>
              <w:rPr>
                <w:rStyle w:val="Hyperlink"/>
                <w:noProof/>
              </w:rPr>
              <w:t>2.8.8.</w:t>
            </w:r>
            <w:r>
              <w:rPr>
                <w:rFonts w:asciiTheme="minorHAnsi" w:eastAsiaTheme="minorEastAsia" w:hAnsiTheme="minorHAnsi" w:cstheme="minorBidi"/>
                <w:noProof/>
                <w:lang w:val="pt-BR" w:eastAsia="pt-BR"/>
              </w:rPr>
              <w:tab/>
            </w:r>
            <w:r>
              <w:rPr>
                <w:rStyle w:val="Hyperlink"/>
                <w:noProof/>
                <w:lang w:val="pt-BR" w:eastAsia="pt-BR"/>
              </w:rPr>
              <w:t>Transição da MPT para a PMPT</w:t>
            </w:r>
            <w:r>
              <w:rPr>
                <w:noProof/>
                <w:webHidden/>
              </w:rPr>
              <w:tab/>
              <w:fldChar w:fldCharType="begin"/>
              <w:instrText xml:space="preserve"> PAGEREF _Toc230857011 \h </w:instrText>
              <w:fldChar w:fldCharType="separate"/>
              <w:t>43</w:t>
              <w:fldChar w:fldCharType="end"/>
            </w:r>
          </w:hyperlink>
        </w:p>
        <w:p w14:paraId="76E704C0"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12" w:history="1">
            <w:r>
              <w:rPr>
                <w:rStyle w:val="Hyperlink"/>
                <w:b/>
                <w:bCs/>
                <w:noProof/>
                <w:lang w:val="pt-BR" w:eastAsia="pt-BR"/>
              </w:rPr>
              <w:t>2.9.</w:t>
            </w:r>
            <w:r>
              <w:rPr>
                <w:rFonts w:asciiTheme="minorHAnsi" w:eastAsiaTheme="minorEastAsia" w:hAnsiTheme="minorHAnsi" w:cstheme="minorBidi"/>
                <w:noProof/>
                <w:lang w:val="pt-BR" w:eastAsia="pt-BR"/>
              </w:rPr>
              <w:tab/>
            </w:r>
            <w:r>
              <w:rPr>
                <w:rStyle w:val="Hyperlink"/>
                <w:b/>
                <w:bCs/>
                <w:noProof/>
                <w:lang w:val="pt-BR" w:eastAsia="pt-BR"/>
              </w:rPr>
              <w:t>Desconstrução Crítica da MPT: As Falácias da Normalidade e da Utilidade Quadrática</w:t>
            </w:r>
            <w:r>
              <w:rPr>
                <w:noProof/>
                <w:webHidden/>
              </w:rPr>
              <w:tab/>
              <w:fldChar w:fldCharType="begin"/>
              <w:instrText xml:space="preserve"> PAGEREF _Toc230857012 \h </w:instrText>
              <w:fldChar w:fldCharType="separate"/>
              <w:t>44</w:t>
              <w:fldChar w:fldCharType="end"/>
            </w:r>
          </w:hyperlink>
        </w:p>
        <w:p w14:paraId="17AE248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13" w:history="1">
            <w:r>
              <w:rPr>
                <w:rStyle w:val="Hyperlink"/>
                <w:b/>
                <w:bCs/>
                <w:noProof/>
                <w:lang w:val="pt-BR" w:eastAsia="pt-BR"/>
              </w:rPr>
              <w:t>2.9.1.</w:t>
            </w:r>
            <w:r>
              <w:rPr>
                <w:rFonts w:asciiTheme="minorHAnsi" w:eastAsiaTheme="minorEastAsia" w:hAnsiTheme="minorHAnsi" w:cstheme="minorBidi"/>
                <w:noProof/>
                <w:lang w:val="pt-BR" w:eastAsia="pt-BR"/>
              </w:rPr>
              <w:tab/>
            </w:r>
            <w:r>
              <w:rPr>
                <w:rStyle w:val="Hyperlink"/>
                <w:noProof/>
                <w:lang w:val="pt-BR" w:eastAsia="pt-BR"/>
              </w:rPr>
              <w:t>A Tirania da Curva de Sino: Caudas Gordas e Assimetria</w:t>
            </w:r>
            <w:r>
              <w:rPr>
                <w:noProof/>
                <w:webHidden/>
              </w:rPr>
              <w:tab/>
              <w:fldChar w:fldCharType="begin"/>
              <w:instrText xml:space="preserve"> PAGEREF _Toc230857013 \h </w:instrText>
              <w:fldChar w:fldCharType="separate"/>
              <w:t>44</w:t>
              <w:fldChar w:fldCharType="end"/>
            </w:r>
          </w:hyperlink>
        </w:p>
        <w:p w14:paraId="0EBBFC61"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14" w:history="1">
            <w:r>
              <w:rPr>
                <w:rStyle w:val="Hyperlink"/>
                <w:noProof/>
                <w:lang w:val="pt-BR" w:eastAsia="pt-BR"/>
              </w:rPr>
              <w:t>2.9.1.1.</w:t>
            </w:r>
            <w:r>
              <w:rPr>
                <w:rFonts w:asciiTheme="minorHAnsi" w:eastAsiaTheme="minorEastAsia" w:hAnsiTheme="minorHAnsi" w:cstheme="minorBidi"/>
                <w:noProof/>
                <w:lang w:val="pt-BR" w:eastAsia="pt-BR"/>
              </w:rPr>
              <w:tab/>
            </w:r>
            <w:r>
              <w:rPr>
                <w:rStyle w:val="Hyperlink"/>
                <w:noProof/>
                <w:lang w:val="pt-BR" w:eastAsia="pt-BR"/>
              </w:rPr>
              <w:t>Implicação para a Gestão de Portfólio</w:t>
            </w:r>
            <w:r>
              <w:rPr>
                <w:noProof/>
                <w:webHidden/>
              </w:rPr>
              <w:tab/>
              <w:fldChar w:fldCharType="begin"/>
              <w:instrText xml:space="preserve"> PAGEREF _Toc230857014 \h </w:instrText>
              <w:fldChar w:fldCharType="separate"/>
              <w:t>44</w:t>
              <w:fldChar w:fldCharType="end"/>
            </w:r>
          </w:hyperlink>
        </w:p>
        <w:p w14:paraId="5CCDC49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15" w:history="1">
            <w:r>
              <w:rPr>
                <w:rStyle w:val="Hyperlink"/>
                <w:b/>
                <w:bCs/>
                <w:noProof/>
                <w:lang w:val="pt-BR" w:eastAsia="pt-BR"/>
              </w:rPr>
              <w:t>2.9.2.</w:t>
            </w:r>
            <w:r>
              <w:rPr>
                <w:rFonts w:asciiTheme="minorHAnsi" w:eastAsiaTheme="minorEastAsia" w:hAnsiTheme="minorHAnsi" w:cstheme="minorBidi"/>
                <w:noProof/>
                <w:lang w:val="pt-BR" w:eastAsia="pt-BR"/>
              </w:rPr>
              <w:tab/>
            </w:r>
            <w:r>
              <w:rPr>
                <w:rStyle w:val="Hyperlink"/>
                <w:noProof/>
                <w:lang w:val="pt-BR" w:eastAsia="pt-BR"/>
              </w:rPr>
              <w:t>A Função de Utilidade e a Teoria da Perspectiva</w:t>
            </w:r>
            <w:r>
              <w:rPr>
                <w:noProof/>
                <w:webHidden/>
              </w:rPr>
              <w:tab/>
              <w:fldChar w:fldCharType="begin"/>
              <w:instrText xml:space="preserve"> PAGEREF _Toc230857015 \h </w:instrText>
              <w:fldChar w:fldCharType="separate"/>
              <w:t>45</w:t>
              <w:fldChar w:fldCharType="end"/>
            </w:r>
          </w:hyperlink>
        </w:p>
        <w:p w14:paraId="5CFBCD44"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16" w:history="1">
            <w:r>
              <w:rPr>
                <w:rStyle w:val="Hyperlink"/>
                <w:b/>
                <w:bCs/>
                <w:noProof/>
                <w:lang w:val="pt-BR" w:eastAsia="pt-BR"/>
              </w:rPr>
              <w:t>2.10.</w:t>
            </w:r>
            <w:r>
              <w:rPr>
                <w:rFonts w:asciiTheme="minorHAnsi" w:eastAsiaTheme="minorEastAsia" w:hAnsiTheme="minorHAnsi" w:cstheme="minorBidi"/>
                <w:noProof/>
                <w:lang w:val="pt-BR" w:eastAsia="pt-BR"/>
              </w:rPr>
              <w:tab/>
            </w:r>
            <w:r>
              <w:rPr>
                <w:rStyle w:val="Hyperlink"/>
                <w:b/>
                <w:bCs/>
                <w:noProof/>
                <w:lang w:val="pt-BR" w:eastAsia="pt-BR"/>
              </w:rPr>
              <w:t xml:space="preserve">Conceitos Fundamentais de </w:t>
            </w:r>
            <w:r>
              <w:rPr>
                <w:rStyle w:val="Hyperlink"/>
                <w:b/>
                <w:bCs/>
                <w:i/>
                <w:iCs/>
                <w:noProof/>
                <w:lang w:val="pt-BR" w:eastAsia="pt-BR"/>
              </w:rPr>
              <w:t>'Downside Risk'</w:t>
            </w:r>
            <w:r>
              <w:rPr>
                <w:rStyle w:val="Hyperlink"/>
                <w:b/>
                <w:bCs/>
                <w:noProof/>
                <w:lang w:val="pt-BR" w:eastAsia="pt-BR"/>
              </w:rPr>
              <w:t>: A Estrutura dos Momentos Parciais Inferiores (LPM)</w:t>
            </w:r>
            <w:r>
              <w:rPr>
                <w:noProof/>
                <w:webHidden/>
              </w:rPr>
              <w:tab/>
              <w:fldChar w:fldCharType="begin"/>
              <w:instrText xml:space="preserve"> PAGEREF _Toc230857016 \h </w:instrText>
              <w:fldChar w:fldCharType="separate"/>
              <w:t>46</w:t>
              <w:fldChar w:fldCharType="end"/>
            </w:r>
          </w:hyperlink>
        </w:p>
        <w:p w14:paraId="42FE7F92"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17" w:history="1">
            <w:r>
              <w:rPr>
                <w:rStyle w:val="Hyperlink"/>
                <w:b/>
                <w:bCs/>
                <w:noProof/>
                <w:lang w:val="pt-BR" w:eastAsia="pt-BR"/>
              </w:rPr>
              <w:t>2.10.1.</w:t>
            </w:r>
            <w:r>
              <w:rPr>
                <w:rFonts w:asciiTheme="minorHAnsi" w:eastAsiaTheme="minorEastAsia" w:hAnsiTheme="minorHAnsi" w:cstheme="minorBidi"/>
                <w:noProof/>
                <w:lang w:val="pt-BR" w:eastAsia="pt-BR"/>
              </w:rPr>
              <w:tab/>
            </w:r>
            <w:r>
              <w:rPr>
                <w:rStyle w:val="Hyperlink"/>
                <w:noProof/>
                <w:lang w:val="pt-BR" w:eastAsia="pt-BR"/>
              </w:rPr>
              <w:t>Definição Matemática dos LPMs</w:t>
            </w:r>
            <w:r>
              <w:rPr>
                <w:noProof/>
                <w:webHidden/>
              </w:rPr>
              <w:tab/>
              <w:fldChar w:fldCharType="begin"/>
              <w:instrText xml:space="preserve"> PAGEREF _Toc230857017 \h </w:instrText>
              <w:fldChar w:fldCharType="separate"/>
              <w:t>46</w:t>
              <w:fldChar w:fldCharType="end"/>
            </w:r>
          </w:hyperlink>
        </w:p>
        <w:p w14:paraId="3870E406"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18" w:history="1">
            <w:r>
              <w:rPr>
                <w:rStyle w:val="Hyperlink"/>
                <w:b/>
                <w:bCs/>
                <w:noProof/>
                <w:lang w:val="pt-BR" w:eastAsia="pt-BR"/>
              </w:rPr>
              <w:t>2.10.2.</w:t>
            </w:r>
            <w:r>
              <w:rPr>
                <w:rFonts w:asciiTheme="minorHAnsi" w:eastAsiaTheme="minorEastAsia" w:hAnsiTheme="minorHAnsi" w:cstheme="minorBidi"/>
                <w:noProof/>
                <w:lang w:val="pt-BR" w:eastAsia="pt-BR"/>
              </w:rPr>
              <w:tab/>
            </w:r>
            <w:r>
              <w:rPr>
                <w:rStyle w:val="Hyperlink"/>
                <w:noProof/>
                <w:lang w:val="pt-BR" w:eastAsia="pt-BR"/>
              </w:rPr>
              <w:t>A Hierarquia dos Graus de LPM e suas Interpretações</w:t>
            </w:r>
            <w:r>
              <w:rPr>
                <w:noProof/>
                <w:webHidden/>
              </w:rPr>
              <w:tab/>
              <w:fldChar w:fldCharType="begin"/>
              <w:instrText xml:space="preserve"> PAGEREF _Toc230857018 \h </w:instrText>
              <w:fldChar w:fldCharType="separate"/>
              <w:t>47</w:t>
              <w:fldChar w:fldCharType="end"/>
            </w:r>
          </w:hyperlink>
        </w:p>
        <w:p w14:paraId="5DE887CE"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19" w:history="1">
            <w:r>
              <w:rPr>
                <w:rStyle w:val="Hyperlink"/>
                <w:b/>
                <w:bCs/>
                <w:noProof/>
                <w:lang w:val="pt-BR" w:eastAsia="pt-BR"/>
              </w:rPr>
              <w:t>2.10.3.</w:t>
            </w:r>
            <w:r>
              <w:rPr>
                <w:rFonts w:asciiTheme="minorHAnsi" w:eastAsiaTheme="minorEastAsia" w:hAnsiTheme="minorHAnsi" w:cstheme="minorBidi"/>
                <w:noProof/>
                <w:lang w:val="pt-BR" w:eastAsia="pt-BR"/>
              </w:rPr>
              <w:tab/>
            </w:r>
            <w:r>
              <w:rPr>
                <w:rStyle w:val="Hyperlink"/>
                <w:noProof/>
                <w:lang w:val="pt-BR" w:eastAsia="pt-BR"/>
              </w:rPr>
              <w:t>Semivariância vs. Variância: O Impacto na Alocação</w:t>
            </w:r>
            <w:r>
              <w:rPr>
                <w:noProof/>
                <w:webHidden/>
              </w:rPr>
              <w:tab/>
              <w:fldChar w:fldCharType="begin"/>
              <w:instrText xml:space="preserve"> PAGEREF _Toc230857019 \h </w:instrText>
              <w:fldChar w:fldCharType="separate"/>
              <w:t>48</w:t>
              <w:fldChar w:fldCharType="end"/>
            </w:r>
          </w:hyperlink>
        </w:p>
        <w:p w14:paraId="3CAECA9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20" w:history="1">
            <w:r>
              <w:rPr>
                <w:rStyle w:val="Hyperlink"/>
                <w:b/>
                <w:bCs/>
                <w:noProof/>
                <w:lang w:val="pt-BR" w:eastAsia="pt-BR"/>
              </w:rPr>
              <w:t>2.11.</w:t>
            </w:r>
            <w:r>
              <w:rPr>
                <w:rFonts w:asciiTheme="minorHAnsi" w:eastAsiaTheme="minorEastAsia" w:hAnsiTheme="minorHAnsi" w:cstheme="minorBidi"/>
                <w:noProof/>
                <w:lang w:val="pt-BR" w:eastAsia="pt-BR"/>
              </w:rPr>
              <w:tab/>
            </w:r>
            <w:r>
              <w:rPr>
                <w:rStyle w:val="Hyperlink"/>
                <w:b/>
                <w:bCs/>
                <w:noProof/>
                <w:lang w:val="pt-BR" w:eastAsia="pt-BR"/>
              </w:rPr>
              <w:t>Métricas Avançadas de Risco e Propriedades de Coerência</w:t>
            </w:r>
            <w:r>
              <w:rPr>
                <w:noProof/>
                <w:webHidden/>
              </w:rPr>
              <w:tab/>
              <w:fldChar w:fldCharType="begin"/>
              <w:instrText xml:space="preserve"> PAGEREF _Toc230857020 \h </w:instrText>
              <w:fldChar w:fldCharType="separate"/>
              <w:t>48</w:t>
              <w:fldChar w:fldCharType="end"/>
            </w:r>
          </w:hyperlink>
        </w:p>
        <w:p w14:paraId="189E09A0"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1" w:history="1">
            <w:r>
              <w:rPr>
                <w:rStyle w:val="Hyperlink"/>
                <w:b/>
                <w:bCs/>
                <w:noProof/>
                <w:lang w:val="pt-BR" w:eastAsia="pt-BR"/>
              </w:rPr>
              <w:t>2.11.1.</w:t>
            </w:r>
            <w:r>
              <w:rPr>
                <w:rFonts w:asciiTheme="minorHAnsi" w:eastAsiaTheme="minorEastAsia" w:hAnsiTheme="minorHAnsi" w:cstheme="minorBidi"/>
                <w:noProof/>
                <w:lang w:val="pt-BR" w:eastAsia="pt-BR"/>
              </w:rPr>
              <w:tab/>
            </w:r>
            <w:r>
              <w:rPr>
                <w:rStyle w:val="Hyperlink"/>
                <w:noProof/>
                <w:lang w:val="pt-BR" w:eastAsia="pt-BR"/>
              </w:rPr>
              <w:t>Value at Risk (VaR): A Revolução Incoerente</w:t>
            </w:r>
            <w:r>
              <w:rPr>
                <w:noProof/>
                <w:webHidden/>
              </w:rPr>
              <w:tab/>
              <w:fldChar w:fldCharType="begin"/>
              <w:instrText xml:space="preserve"> PAGEREF _Toc230857021 \h </w:instrText>
              <w:fldChar w:fldCharType="separate"/>
              <w:t>49</w:t>
              <w:fldChar w:fldCharType="end"/>
            </w:r>
          </w:hyperlink>
        </w:p>
        <w:p w14:paraId="01E3F6A7"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2" w:history="1">
            <w:r>
              <w:rPr>
                <w:rStyle w:val="Hyperlink"/>
                <w:b/>
                <w:bCs/>
                <w:noProof/>
                <w:lang w:val="pt-BR" w:eastAsia="pt-BR"/>
              </w:rPr>
              <w:t>2.11.2.</w:t>
            </w:r>
            <w:r>
              <w:rPr>
                <w:rFonts w:asciiTheme="minorHAnsi" w:eastAsiaTheme="minorEastAsia" w:hAnsiTheme="minorHAnsi" w:cstheme="minorBidi"/>
                <w:noProof/>
                <w:lang w:val="pt-BR" w:eastAsia="pt-BR"/>
              </w:rPr>
              <w:tab/>
            </w:r>
            <w:r>
              <w:rPr>
                <w:rStyle w:val="Hyperlink"/>
                <w:noProof/>
                <w:lang w:val="pt-BR" w:eastAsia="pt-BR"/>
              </w:rPr>
              <w:t>Medidas de Risco Coerentes e os Axiomas de Artzner</w:t>
            </w:r>
            <w:r>
              <w:rPr>
                <w:noProof/>
                <w:webHidden/>
              </w:rPr>
              <w:tab/>
              <w:fldChar w:fldCharType="begin"/>
              <w:instrText xml:space="preserve"> PAGEREF _Toc230857022 \h </w:instrText>
              <w:fldChar w:fldCharType="separate"/>
              <w:t>49</w:t>
              <w:fldChar w:fldCharType="end"/>
            </w:r>
          </w:hyperlink>
        </w:p>
        <w:p w14:paraId="217A08A3"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3" w:history="1">
            <w:r>
              <w:rPr>
                <w:rStyle w:val="Hyperlink"/>
                <w:b/>
                <w:bCs/>
                <w:noProof/>
                <w:lang w:val="en-US" w:eastAsia="pt-BR"/>
              </w:rPr>
              <w:t>2.11.3.</w:t>
            </w:r>
            <w:r>
              <w:rPr>
                <w:rFonts w:asciiTheme="minorHAnsi" w:eastAsiaTheme="minorEastAsia" w:hAnsiTheme="minorHAnsi" w:cstheme="minorBidi"/>
                <w:noProof/>
                <w:lang w:val="pt-BR" w:eastAsia="pt-BR"/>
              </w:rPr>
              <w:tab/>
            </w:r>
            <w:r>
              <w:rPr>
                <w:rStyle w:val="Hyperlink"/>
                <w:noProof/>
                <w:lang w:val="en-US" w:eastAsia="pt-BR"/>
              </w:rPr>
              <w:t>Conditional Value at Risk (CVaR) / Expected Shortfall (ES)</w:t>
            </w:r>
            <w:r>
              <w:rPr>
                <w:noProof/>
                <w:webHidden/>
              </w:rPr>
              <w:tab/>
              <w:fldChar w:fldCharType="begin"/>
              <w:instrText xml:space="preserve"> PAGEREF _Toc230857023 \h </w:instrText>
              <w:fldChar w:fldCharType="separate"/>
              <w:t>50</w:t>
              <w:fldChar w:fldCharType="end"/>
            </w:r>
          </w:hyperlink>
        </w:p>
        <w:p w14:paraId="61AA0FE2"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4" w:history="1">
            <w:r>
              <w:rPr>
                <w:rStyle w:val="Hyperlink"/>
                <w:b/>
                <w:bCs/>
                <w:noProof/>
                <w:lang w:val="en-US" w:eastAsia="pt-BR"/>
              </w:rPr>
              <w:t>2.11.4.</w:t>
            </w:r>
            <w:r>
              <w:rPr>
                <w:rFonts w:asciiTheme="minorHAnsi" w:eastAsiaTheme="minorEastAsia" w:hAnsiTheme="minorHAnsi" w:cstheme="minorBidi"/>
                <w:noProof/>
                <w:lang w:val="pt-BR" w:eastAsia="pt-BR"/>
              </w:rPr>
              <w:tab/>
            </w:r>
            <w:r>
              <w:rPr>
                <w:rStyle w:val="Hyperlink"/>
                <w:bCs/>
                <w:noProof/>
                <w:lang w:val="pt-BR" w:eastAsia="pt-BR"/>
              </w:rPr>
              <w:t>Superioridade do CVaR na PMPT</w:t>
            </w:r>
            <w:r>
              <w:rPr>
                <w:noProof/>
                <w:webHidden/>
              </w:rPr>
              <w:tab/>
              <w:fldChar w:fldCharType="begin"/>
              <w:instrText xml:space="preserve"> PAGEREF _Toc230857024 \h </w:instrText>
              <w:fldChar w:fldCharType="separate"/>
              <w:t>50</w:t>
              <w:fldChar w:fldCharType="end"/>
            </w:r>
          </w:hyperlink>
        </w:p>
        <w:p w14:paraId="54304A8F"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25" w:history="1">
            <w:r>
              <w:rPr>
                <w:rStyle w:val="Hyperlink"/>
                <w:b/>
                <w:bCs/>
                <w:noProof/>
                <w:lang w:val="pt-BR" w:eastAsia="pt-BR"/>
              </w:rPr>
              <w:t>2.12.</w:t>
            </w:r>
            <w:r>
              <w:rPr>
                <w:rFonts w:asciiTheme="minorHAnsi" w:eastAsiaTheme="minorEastAsia" w:hAnsiTheme="minorHAnsi" w:cstheme="minorBidi"/>
                <w:noProof/>
                <w:lang w:val="pt-BR" w:eastAsia="pt-BR"/>
              </w:rPr>
              <w:tab/>
            </w:r>
            <w:r>
              <w:rPr>
                <w:rStyle w:val="Hyperlink"/>
                <w:b/>
                <w:bCs/>
                <w:noProof/>
                <w:lang w:val="pt-BR" w:eastAsia="pt-BR"/>
              </w:rPr>
              <w:t>Indicadores de Desempenho Ajustados: Sortino, Omega e a Generalização Kappa</w:t>
            </w:r>
            <w:r>
              <w:rPr>
                <w:noProof/>
                <w:webHidden/>
              </w:rPr>
              <w:tab/>
              <w:fldChar w:fldCharType="begin"/>
              <w:instrText xml:space="preserve"> PAGEREF _Toc230857025 \h </w:instrText>
              <w:fldChar w:fldCharType="separate"/>
              <w:t>51</w:t>
              <w:fldChar w:fldCharType="end"/>
            </w:r>
          </w:hyperlink>
        </w:p>
        <w:p w14:paraId="5BA93AA5"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6" w:history="1">
            <w:r>
              <w:rPr>
                <w:rStyle w:val="Hyperlink"/>
                <w:b/>
                <w:bCs/>
                <w:noProof/>
                <w:lang w:val="pt-BR" w:eastAsia="pt-BR"/>
              </w:rPr>
              <w:t>2.12.1.</w:t>
            </w:r>
            <w:r>
              <w:rPr>
                <w:rFonts w:asciiTheme="minorHAnsi" w:eastAsiaTheme="minorEastAsia" w:hAnsiTheme="minorHAnsi" w:cstheme="minorBidi"/>
                <w:noProof/>
                <w:lang w:val="pt-BR" w:eastAsia="pt-BR"/>
              </w:rPr>
              <w:tab/>
            </w:r>
            <w:r>
              <w:rPr>
                <w:rStyle w:val="Hyperlink"/>
                <w:noProof/>
                <w:lang w:val="pt-BR" w:eastAsia="pt-BR"/>
              </w:rPr>
              <w:t>Índice de Sortino: Refinando Sharpe</w:t>
            </w:r>
            <w:r>
              <w:rPr>
                <w:noProof/>
                <w:webHidden/>
              </w:rPr>
              <w:tab/>
              <w:fldChar w:fldCharType="begin"/>
              <w:instrText xml:space="preserve"> PAGEREF _Toc230857026 \h </w:instrText>
              <w:fldChar w:fldCharType="separate"/>
              <w:t>51</w:t>
              <w:fldChar w:fldCharType="end"/>
            </w:r>
          </w:hyperlink>
        </w:p>
        <w:p w14:paraId="063BBEF6"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7" w:history="1">
            <w:r>
              <w:rPr>
                <w:rStyle w:val="Hyperlink"/>
                <w:b/>
                <w:bCs/>
                <w:noProof/>
                <w:lang w:val="pt-BR" w:eastAsia="pt-BR"/>
              </w:rPr>
              <w:t>2.12.2.</w:t>
            </w:r>
            <w:r>
              <w:rPr>
                <w:rFonts w:asciiTheme="minorHAnsi" w:eastAsiaTheme="minorEastAsia" w:hAnsiTheme="minorHAnsi" w:cstheme="minorBidi"/>
                <w:noProof/>
                <w:lang w:val="pt-BR" w:eastAsia="pt-BR"/>
              </w:rPr>
              <w:tab/>
            </w:r>
            <w:r>
              <w:rPr>
                <w:rStyle w:val="Hyperlink"/>
                <w:noProof/>
                <w:lang w:val="pt-BR" w:eastAsia="pt-BR"/>
              </w:rPr>
              <w:t>O Índice Omega: Capturando Todos os Momentos</w:t>
            </w:r>
            <w:r>
              <w:rPr>
                <w:noProof/>
                <w:webHidden/>
              </w:rPr>
              <w:tab/>
              <w:fldChar w:fldCharType="begin"/>
              <w:instrText xml:space="preserve"> PAGEREF _Toc230857027 \h </w:instrText>
              <w:fldChar w:fldCharType="separate"/>
              <w:t>51</w:t>
              <w:fldChar w:fldCharType="end"/>
            </w:r>
          </w:hyperlink>
        </w:p>
        <w:p w14:paraId="3D198FE0"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28" w:history="1">
            <w:r>
              <w:rPr>
                <w:rStyle w:val="Hyperlink"/>
                <w:b/>
                <w:bCs/>
                <w:noProof/>
                <w:lang w:val="pt-BR" w:eastAsia="pt-BR"/>
              </w:rPr>
              <w:t>2.12.3.</w:t>
            </w:r>
            <w:r>
              <w:rPr>
                <w:rFonts w:asciiTheme="minorHAnsi" w:eastAsiaTheme="minorEastAsia" w:hAnsiTheme="minorHAnsi" w:cstheme="minorBidi"/>
                <w:noProof/>
                <w:lang w:val="pt-BR" w:eastAsia="pt-BR"/>
              </w:rPr>
              <w:tab/>
            </w:r>
            <w:r>
              <w:rPr>
                <w:rStyle w:val="Hyperlink"/>
                <w:noProof/>
                <w:lang w:val="pt-BR" w:eastAsia="pt-BR"/>
              </w:rPr>
              <w:t>O Índice Kappa: A Generalização Unificadora</w:t>
            </w:r>
            <w:r>
              <w:rPr>
                <w:noProof/>
                <w:webHidden/>
              </w:rPr>
              <w:tab/>
              <w:fldChar w:fldCharType="begin"/>
              <w:instrText xml:space="preserve"> PAGEREF _Toc230857028 \h </w:instrText>
              <w:fldChar w:fldCharType="separate"/>
              <w:t>52</w:t>
              <w:fldChar w:fldCharType="end"/>
            </w:r>
          </w:hyperlink>
        </w:p>
        <w:p w14:paraId="18B15A2C"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29" w:history="1">
            <w:r>
              <w:rPr>
                <w:rStyle w:val="Hyperlink"/>
                <w:b/>
                <w:bCs/>
                <w:noProof/>
                <w:lang w:val="pt-BR" w:eastAsia="pt-BR"/>
              </w:rPr>
              <w:t>2.13.</w:t>
            </w:r>
            <w:r>
              <w:rPr>
                <w:rFonts w:asciiTheme="minorHAnsi" w:eastAsiaTheme="minorEastAsia" w:hAnsiTheme="minorHAnsi" w:cstheme="minorBidi"/>
                <w:noProof/>
                <w:lang w:val="pt-BR" w:eastAsia="pt-BR"/>
              </w:rPr>
              <w:tab/>
            </w:r>
            <w:r>
              <w:rPr>
                <w:rStyle w:val="Hyperlink"/>
                <w:b/>
                <w:bCs/>
                <w:noProof/>
                <w:lang w:val="pt-BR" w:eastAsia="pt-BR"/>
              </w:rPr>
              <w:t>Fronteiras Eficientes: A Geometria da Assimetria</w:t>
            </w:r>
            <w:r>
              <w:rPr>
                <w:noProof/>
                <w:webHidden/>
              </w:rPr>
              <w:tab/>
              <w:fldChar w:fldCharType="begin"/>
              <w:instrText xml:space="preserve"> PAGEREF _Toc230857029 \h </w:instrText>
              <w:fldChar w:fldCharType="separate"/>
              <w:t>53</w:t>
              <w:fldChar w:fldCharType="end"/>
            </w:r>
          </w:hyperlink>
        </w:p>
        <w:p w14:paraId="66DCFCA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30" w:history="1">
            <w:r>
              <w:rPr>
                <w:rStyle w:val="Hyperlink"/>
                <w:b/>
                <w:bCs/>
                <w:noProof/>
                <w:lang w:val="pt-BR" w:eastAsia="pt-BR"/>
              </w:rPr>
              <w:t>2.14.</w:t>
            </w:r>
            <w:r>
              <w:rPr>
                <w:rFonts w:asciiTheme="minorHAnsi" w:eastAsiaTheme="minorEastAsia" w:hAnsiTheme="minorHAnsi" w:cstheme="minorBidi"/>
                <w:noProof/>
                <w:lang w:val="pt-BR" w:eastAsia="pt-BR"/>
              </w:rPr>
              <w:tab/>
            </w:r>
            <w:r>
              <w:rPr>
                <w:rStyle w:val="Hyperlink"/>
                <w:b/>
                <w:bCs/>
                <w:noProof/>
                <w:lang w:val="pt-BR" w:eastAsia="pt-BR"/>
              </w:rPr>
              <w:t>Avanços Recentes e Integração com Machine Learning (2024-2025)</w:t>
            </w:r>
            <w:r>
              <w:rPr>
                <w:noProof/>
                <w:webHidden/>
              </w:rPr>
              <w:tab/>
              <w:fldChar w:fldCharType="begin"/>
              <w:instrText xml:space="preserve"> PAGEREF _Toc230857030 \h </w:instrText>
              <w:fldChar w:fldCharType="separate"/>
              <w:t>53</w:t>
              <w:fldChar w:fldCharType="end"/>
            </w:r>
          </w:hyperlink>
        </w:p>
        <w:p w14:paraId="46D4CAF6"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31" w:history="1">
            <w:r>
              <w:rPr>
                <w:rStyle w:val="Hyperlink"/>
                <w:b/>
                <w:bCs/>
                <w:noProof/>
                <w:lang w:val="pt-BR" w:eastAsia="pt-BR"/>
              </w:rPr>
              <w:t>2.15.</w:t>
            </w:r>
            <w:r>
              <w:rPr>
                <w:rFonts w:asciiTheme="minorHAnsi" w:eastAsiaTheme="minorEastAsia" w:hAnsiTheme="minorHAnsi" w:cstheme="minorBidi"/>
                <w:noProof/>
                <w:lang w:val="pt-BR" w:eastAsia="pt-BR"/>
              </w:rPr>
              <w:tab/>
            </w:r>
            <w:r>
              <w:rPr>
                <w:rStyle w:val="Hyperlink"/>
                <w:b/>
                <w:bCs/>
                <w:noProof/>
                <w:lang w:val="pt-BR" w:eastAsia="pt-BR"/>
              </w:rPr>
              <w:t>Conclusão</w:t>
            </w:r>
            <w:r>
              <w:rPr>
                <w:noProof/>
                <w:webHidden/>
              </w:rPr>
              <w:tab/>
              <w:fldChar w:fldCharType="begin"/>
              <w:instrText xml:space="preserve"> PAGEREF _Toc230857031 \h </w:instrText>
              <w:fldChar w:fldCharType="separate"/>
              <w:t>54</w:t>
              <w:fldChar w:fldCharType="end"/>
            </w:r>
          </w:hyperlink>
        </w:p>
        <w:p w14:paraId="6C7B1FB9"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32" w:history="1">
            <w:r>
              <w:rPr>
                <w:rStyle w:val="Hyperlink"/>
                <w:b/>
                <w:bCs/>
                <w:noProof/>
                <w:lang w:val="pt-BR" w:eastAsia="pt-BR"/>
              </w:rPr>
              <w:t>2.16.</w:t>
            </w:r>
            <w:r>
              <w:rPr>
                <w:rFonts w:asciiTheme="minorHAnsi" w:eastAsiaTheme="minorEastAsia" w:hAnsiTheme="minorHAnsi" w:cstheme="minorBidi"/>
                <w:noProof/>
                <w:lang w:val="pt-BR" w:eastAsia="pt-BR"/>
              </w:rPr>
              <w:tab/>
            </w:r>
            <w:r>
              <w:rPr>
                <w:rStyle w:val="Hyperlink"/>
                <w:b/>
                <w:bCs/>
                <w:noProof/>
                <w:lang w:val="pt-BR"/>
              </w:rPr>
              <w:t>O Modelo de Black-Litterman: Uma Reconstrução Bayesiana da Alocação de Ativos</w:t>
            </w:r>
            <w:r>
              <w:rPr>
                <w:noProof/>
                <w:webHidden/>
              </w:rPr>
              <w:tab/>
              <w:fldChar w:fldCharType="begin"/>
              <w:instrText xml:space="preserve"> PAGEREF _Toc230857032 \h </w:instrText>
              <w:fldChar w:fldCharType="separate"/>
              <w:t>56</w:t>
              <w:fldChar w:fldCharType="end"/>
            </w:r>
          </w:hyperlink>
        </w:p>
        <w:p w14:paraId="4A7CECAD"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3" w:history="1">
            <w:r>
              <w:rPr>
                <w:rStyle w:val="Hyperlink"/>
                <w:b/>
                <w:bCs/>
                <w:noProof/>
                <w:lang w:val="pt-BR"/>
              </w:rPr>
              <w:t>2.16.1.</w:t>
            </w:r>
            <w:r>
              <w:rPr>
                <w:rFonts w:asciiTheme="minorHAnsi" w:eastAsiaTheme="minorEastAsia" w:hAnsiTheme="minorHAnsi" w:cstheme="minorBidi"/>
                <w:noProof/>
                <w:lang w:val="pt-BR" w:eastAsia="pt-BR"/>
              </w:rPr>
              <w:tab/>
            </w:r>
            <w:r>
              <w:rPr>
                <w:rStyle w:val="Hyperlink"/>
                <w:noProof/>
                <w:lang w:val="pt-BR"/>
              </w:rPr>
              <w:t>Introdução: A Gênese Histórica e a Motivação Teórica</w:t>
            </w:r>
            <w:r>
              <w:rPr>
                <w:noProof/>
                <w:webHidden/>
              </w:rPr>
              <w:tab/>
              <w:fldChar w:fldCharType="begin"/>
              <w:instrText xml:space="preserve"> PAGEREF _Toc230857033 \h </w:instrText>
              <w:fldChar w:fldCharType="separate"/>
              <w:t>56</w:t>
              <w:fldChar w:fldCharType="end"/>
            </w:r>
          </w:hyperlink>
        </w:p>
        <w:p w14:paraId="3590750D"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4" w:history="1">
            <w:r>
              <w:rPr>
                <w:rStyle w:val="Hyperlink"/>
                <w:b/>
                <w:bCs/>
                <w:noProof/>
                <w:lang w:val="pt-BR"/>
              </w:rPr>
              <w:t>2.16.2.</w:t>
            </w:r>
            <w:r>
              <w:rPr>
                <w:rFonts w:asciiTheme="minorHAnsi" w:eastAsiaTheme="minorEastAsia" w:hAnsiTheme="minorHAnsi" w:cstheme="minorBidi"/>
                <w:noProof/>
                <w:lang w:val="pt-BR" w:eastAsia="pt-BR"/>
              </w:rPr>
              <w:tab/>
            </w:r>
            <w:r>
              <w:rPr>
                <w:rStyle w:val="Hyperlink"/>
                <w:noProof/>
                <w:lang w:val="pt-BR"/>
              </w:rPr>
              <w:t>O Contexto da Goldman Sachs e a Colaboração Black-Litterman</w:t>
            </w:r>
            <w:r>
              <w:rPr>
                <w:noProof/>
                <w:webHidden/>
              </w:rPr>
              <w:tab/>
              <w:fldChar w:fldCharType="begin"/>
              <w:instrText xml:space="preserve"> PAGEREF _Toc230857034 \h </w:instrText>
              <w:fldChar w:fldCharType="separate"/>
              <w:t>56</w:t>
              <w:fldChar w:fldCharType="end"/>
            </w:r>
          </w:hyperlink>
        </w:p>
        <w:p w14:paraId="01E74327"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5" w:history="1">
            <w:r>
              <w:rPr>
                <w:rStyle w:val="Hyperlink"/>
                <w:b/>
                <w:bCs/>
                <w:noProof/>
                <w:lang w:val="pt-BR"/>
              </w:rPr>
              <w:t>2.16.3.</w:t>
            </w:r>
            <w:r>
              <w:rPr>
                <w:rFonts w:asciiTheme="minorHAnsi" w:eastAsiaTheme="minorEastAsia" w:hAnsiTheme="minorHAnsi" w:cstheme="minorBidi"/>
                <w:noProof/>
                <w:lang w:val="pt-BR" w:eastAsia="pt-BR"/>
              </w:rPr>
              <w:tab/>
            </w:r>
            <w:r>
              <w:rPr>
                <w:rStyle w:val="Hyperlink"/>
                <w:noProof/>
              </w:rPr>
              <w:t>As Limitações da Média-Variância e a Gênese do Black-Litterman</w:t>
            </w:r>
            <w:r>
              <w:rPr>
                <w:noProof/>
                <w:webHidden/>
              </w:rPr>
              <w:tab/>
              <w:fldChar w:fldCharType="begin"/>
              <w:instrText xml:space="preserve"> PAGEREF _Toc230857035 \h </w:instrText>
              <w:fldChar w:fldCharType="separate"/>
              <w:t>57</w:t>
              <w:fldChar w:fldCharType="end"/>
            </w:r>
          </w:hyperlink>
        </w:p>
        <w:p w14:paraId="2007D0F7"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6" w:history="1">
            <w:r>
              <w:rPr>
                <w:rStyle w:val="Hyperlink"/>
                <w:b/>
                <w:bCs/>
                <w:noProof/>
                <w:lang w:val="pt-BR"/>
              </w:rPr>
              <w:t>2.16.4.</w:t>
            </w:r>
            <w:r>
              <w:rPr>
                <w:rFonts w:asciiTheme="minorHAnsi" w:eastAsiaTheme="minorEastAsia" w:hAnsiTheme="minorHAnsi" w:cstheme="minorBidi"/>
                <w:noProof/>
                <w:lang w:val="pt-BR" w:eastAsia="pt-BR"/>
              </w:rPr>
              <w:tab/>
            </w:r>
            <w:r>
              <w:rPr>
                <w:rStyle w:val="Hyperlink"/>
                <w:bCs/>
                <w:noProof/>
              </w:rPr>
              <w:t>A Estrutura Bayesiana: Prior, Visões e Posterior</w:t>
            </w:r>
            <w:r>
              <w:rPr>
                <w:noProof/>
                <w:webHidden/>
              </w:rPr>
              <w:tab/>
              <w:fldChar w:fldCharType="begin"/>
              <w:instrText xml:space="preserve"> PAGEREF _Toc230857036 \h </w:instrText>
              <w:fldChar w:fldCharType="separate"/>
              <w:t>57</w:t>
              <w:fldChar w:fldCharType="end"/>
            </w:r>
          </w:hyperlink>
        </w:p>
        <w:p w14:paraId="66E84422"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7" w:history="1">
            <w:r>
              <w:rPr>
                <w:rStyle w:val="Hyperlink"/>
                <w:b/>
                <w:bCs/>
                <w:noProof/>
                <w:lang w:val="pt-BR"/>
              </w:rPr>
              <w:t>2.16.5.</w:t>
            </w:r>
            <w:r>
              <w:rPr>
                <w:rFonts w:asciiTheme="minorHAnsi" w:eastAsiaTheme="minorEastAsia" w:hAnsiTheme="minorHAnsi" w:cstheme="minorBidi"/>
                <w:noProof/>
                <w:lang w:val="pt-BR" w:eastAsia="pt-BR"/>
              </w:rPr>
              <w:tab/>
            </w:r>
            <w:r>
              <w:rPr>
                <w:rStyle w:val="Hyperlink"/>
                <w:noProof/>
                <w:lang w:val="pt-BR"/>
              </w:rPr>
              <w:t>Derivação Matemática Detalhada: A "Fórmula Mestra"</w:t>
            </w:r>
            <w:r>
              <w:rPr>
                <w:noProof/>
                <w:webHidden/>
              </w:rPr>
              <w:tab/>
              <w:fldChar w:fldCharType="begin"/>
              <w:instrText xml:space="preserve"> PAGEREF _Toc230857037 \h </w:instrText>
              <w:fldChar w:fldCharType="separate"/>
              <w:t>58</w:t>
              <w:fldChar w:fldCharType="end"/>
            </w:r>
          </w:hyperlink>
        </w:p>
        <w:p w14:paraId="778ACA3A"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38" w:history="1">
            <w:r>
              <w:rPr>
                <w:rStyle w:val="Hyperlink"/>
                <w:b/>
                <w:bCs/>
                <w:noProof/>
                <w:lang w:val="pt-BR"/>
              </w:rPr>
              <w:t>2.16.6.</w:t>
            </w:r>
            <w:r>
              <w:rPr>
                <w:rFonts w:asciiTheme="minorHAnsi" w:eastAsiaTheme="minorEastAsia" w:hAnsiTheme="minorHAnsi" w:cstheme="minorBidi"/>
                <w:noProof/>
                <w:lang w:val="pt-BR" w:eastAsia="pt-BR"/>
              </w:rPr>
              <w:tab/>
            </w:r>
            <w:r>
              <w:rPr>
                <w:rStyle w:val="Hyperlink"/>
                <w:noProof/>
                <w:lang w:val="pt-BR"/>
              </w:rPr>
              <w:t>A Crítica à MPT: O Dilema da "Maximização de Erros" e as Soluções de Canto</w:t>
            </w:r>
            <w:r>
              <w:rPr>
                <w:noProof/>
                <w:webHidden/>
              </w:rPr>
              <w:tab/>
              <w:fldChar w:fldCharType="begin"/>
              <w:instrText xml:space="preserve"> PAGEREF _Toc230857038 \h </w:instrText>
              <w:fldChar w:fldCharType="separate"/>
              <w:t>59</w:t>
              <w:fldChar w:fldCharType="end"/>
            </w:r>
          </w:hyperlink>
        </w:p>
        <w:p w14:paraId="227D1945"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39" w:history="1">
            <w:r>
              <w:rPr>
                <w:rStyle w:val="Hyperlink"/>
                <w:b/>
                <w:bCs/>
                <w:noProof/>
                <w:lang w:val="pt-BR"/>
              </w:rPr>
              <w:t>2.17.</w:t>
            </w:r>
            <w:r>
              <w:rPr>
                <w:rFonts w:asciiTheme="minorHAnsi" w:eastAsiaTheme="minorEastAsia" w:hAnsiTheme="minorHAnsi" w:cstheme="minorBidi"/>
                <w:noProof/>
                <w:lang w:val="pt-BR" w:eastAsia="pt-BR"/>
              </w:rPr>
              <w:tab/>
            </w:r>
            <w:r>
              <w:rPr>
                <w:rStyle w:val="Hyperlink"/>
                <w:b/>
                <w:bCs/>
                <w:noProof/>
                <w:lang w:val="pt-BR"/>
              </w:rPr>
              <w:t>Fundamentos Matemáticos: A Arquitetura Bayesiana</w:t>
            </w:r>
            <w:r>
              <w:rPr>
                <w:noProof/>
                <w:webHidden/>
              </w:rPr>
              <w:tab/>
              <w:fldChar w:fldCharType="begin"/>
              <w:instrText xml:space="preserve"> PAGEREF _Toc230857039 \h </w:instrText>
              <w:fldChar w:fldCharType="separate"/>
              <w:t>60</w:t>
              <w:fldChar w:fldCharType="end"/>
            </w:r>
          </w:hyperlink>
        </w:p>
        <w:p w14:paraId="343F2BD5"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0" w:history="1">
            <w:r>
              <w:rPr>
                <w:rStyle w:val="Hyperlink"/>
                <w:b/>
                <w:bCs/>
                <w:noProof/>
                <w:lang w:val="pt-BR"/>
              </w:rPr>
              <w:t>2.17.1.</w:t>
            </w:r>
            <w:r>
              <w:rPr>
                <w:rFonts w:asciiTheme="minorHAnsi" w:eastAsiaTheme="minorEastAsia" w:hAnsiTheme="minorHAnsi" w:cstheme="minorBidi"/>
                <w:noProof/>
                <w:lang w:val="pt-BR" w:eastAsia="pt-BR"/>
              </w:rPr>
              <w:tab/>
            </w:r>
            <w:r>
              <w:rPr>
                <w:rStyle w:val="Hyperlink"/>
                <w:bCs/>
                <w:noProof/>
                <w:lang w:val="pt-BR"/>
              </w:rPr>
              <w:t>Derivação Matemática Detalhada: A "Fórmula Mestra"</w:t>
            </w:r>
            <w:r>
              <w:rPr>
                <w:noProof/>
                <w:webHidden/>
              </w:rPr>
              <w:tab/>
              <w:fldChar w:fldCharType="begin"/>
              <w:instrText xml:space="preserve"> PAGEREF _Toc230857040 \h </w:instrText>
              <w:fldChar w:fldCharType="separate"/>
              <w:t>61</w:t>
              <w:fldChar w:fldCharType="end"/>
            </w:r>
          </w:hyperlink>
        </w:p>
        <w:p w14:paraId="768153F5"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1" w:history="1">
            <w:r>
              <w:rPr>
                <w:rStyle w:val="Hyperlink"/>
                <w:b/>
                <w:bCs/>
                <w:noProof/>
                <w:lang w:val="pt-BR"/>
              </w:rPr>
              <w:t>2.17.2.</w:t>
            </w:r>
            <w:r>
              <w:rPr>
                <w:rFonts w:asciiTheme="minorHAnsi" w:eastAsiaTheme="minorEastAsia" w:hAnsiTheme="minorHAnsi" w:cstheme="minorBidi"/>
                <w:noProof/>
                <w:lang w:val="pt-BR" w:eastAsia="pt-BR"/>
              </w:rPr>
              <w:tab/>
            </w:r>
            <w:r>
              <w:rPr>
                <w:rStyle w:val="Hyperlink"/>
                <w:bCs/>
                <w:noProof/>
                <w:lang w:val="pt-BR"/>
              </w:rPr>
              <w:t xml:space="preserve">O Vetor de Retornos Implícitos </w:t>
            </w:r>
            <m:oMath>
              <m:r>
                <w:rPr>
                  <w:rStyle w:val="Hyperlink"/>
                  <w:rFonts w:ascii="Cambria Math" w:hAnsi="Cambria Math"/>
                  <w:noProof/>
                  <w:lang w:val="pt-BR"/>
                </w:rPr>
                <m:t>(</m:t>
              </m:r>
              <m:r>
                <m:rPr>
                  <m:sty m:val="p"/>
                </m:rPr>
                <w:rPr>
                  <w:rStyle w:val="Hyperlink"/>
                  <w:rFonts w:ascii="Cambria Math" w:hAnsi="Cambria Math"/>
                  <w:noProof/>
                  <w:lang w:val="pt-BR"/>
                </w:rPr>
                <m:t>Π</m:t>
              </m:r>
              <m:r>
                <w:rPr>
                  <w:rStyle w:val="Hyperlink"/>
                  <w:rFonts w:ascii="Cambria Math" w:hAnsi="Cambria Math"/>
                  <w:noProof/>
                  <w:lang w:val="pt-BR"/>
                </w:rPr>
                <m:t>)</m:t>
              </m:r>
            </m:oMath>
            <w:r>
              <w:rPr>
                <w:rStyle w:val="Hyperlink"/>
                <w:bCs/>
                <w:noProof/>
                <w:lang w:val="pt-BR"/>
              </w:rPr>
              <w:t xml:space="preserve"> e a Otimização Reversa</w:t>
            </w:r>
            <w:r>
              <w:rPr>
                <w:noProof/>
                <w:webHidden/>
              </w:rPr>
              <w:tab/>
              <w:fldChar w:fldCharType="begin"/>
              <w:instrText xml:space="preserve"> PAGEREF _Toc230857041 \h </w:instrText>
              <w:fldChar w:fldCharType="separate"/>
              <w:t>61</w:t>
              <w:fldChar w:fldCharType="end"/>
            </w:r>
          </w:hyperlink>
        </w:p>
        <w:p w14:paraId="5A7EC614"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2" w:history="1">
            <w:r>
              <w:rPr>
                <w:rStyle w:val="Hyperlink"/>
                <w:b/>
                <w:bCs/>
                <w:noProof/>
                <w:lang w:val="pt-BR"/>
              </w:rPr>
              <w:t>2.17.3.</w:t>
            </w:r>
            <w:r>
              <w:rPr>
                <w:rFonts w:asciiTheme="minorHAnsi" w:eastAsiaTheme="minorEastAsia" w:hAnsiTheme="minorHAnsi" w:cstheme="minorBidi"/>
                <w:noProof/>
                <w:lang w:val="pt-BR" w:eastAsia="pt-BR"/>
              </w:rPr>
              <w:tab/>
            </w:r>
            <w:r>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Pr>
                <w:noProof/>
                <w:webHidden/>
              </w:rPr>
              <w:tab/>
              <w:fldChar w:fldCharType="begin"/>
              <w:instrText xml:space="preserve"> PAGEREF _Toc230857042 \h </w:instrText>
              <w:fldChar w:fldCharType="separate"/>
              <w:t>62</w:t>
              <w:fldChar w:fldCharType="end"/>
            </w:r>
          </w:hyperlink>
        </w:p>
        <w:p w14:paraId="4C81D2A5"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3" w:history="1">
            <w:r>
              <w:rPr>
                <w:rStyle w:val="Hyperlink"/>
                <w:b/>
                <w:bCs/>
                <w:noProof/>
                <w:lang w:val="pt-BR"/>
              </w:rPr>
              <w:t>2.17.4.</w:t>
            </w:r>
            <w:r>
              <w:rPr>
                <w:rFonts w:asciiTheme="minorHAnsi" w:eastAsiaTheme="minorEastAsia" w:hAnsiTheme="minorHAnsi" w:cstheme="minorBidi"/>
                <w:noProof/>
                <w:lang w:val="pt-BR" w:eastAsia="pt-BR"/>
              </w:rPr>
              <w:tab/>
            </w:r>
            <w:r>
              <w:rPr>
                <w:rStyle w:val="Hyperlink"/>
                <w:bCs/>
                <w:noProof/>
                <w:lang w:val="pt-BR"/>
              </w:rPr>
              <w:t>A Fórmula Mestra de Black-Litterman</w:t>
            </w:r>
            <w:r>
              <w:rPr>
                <w:noProof/>
                <w:webHidden/>
              </w:rPr>
              <w:tab/>
              <w:fldChar w:fldCharType="begin"/>
              <w:instrText xml:space="preserve"> PAGEREF _Toc230857043 \h </w:instrText>
              <w:fldChar w:fldCharType="separate"/>
              <w:t>63</w:t>
              <w:fldChar w:fldCharType="end"/>
            </w:r>
          </w:hyperlink>
        </w:p>
        <w:p w14:paraId="2B7AD49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44" w:history="1">
            <w:r>
              <w:rPr>
                <w:rStyle w:val="Hyperlink"/>
                <w:b/>
                <w:bCs/>
                <w:noProof/>
                <w:lang w:val="pt-BR"/>
              </w:rPr>
              <w:t>2.18.</w:t>
            </w:r>
            <w:r>
              <w:rPr>
                <w:rFonts w:asciiTheme="minorHAnsi" w:eastAsiaTheme="minorEastAsia" w:hAnsiTheme="minorHAnsi" w:cstheme="minorBidi"/>
                <w:noProof/>
                <w:lang w:val="pt-BR" w:eastAsia="pt-BR"/>
              </w:rPr>
              <w:tab/>
            </w:r>
            <w:r>
              <w:rPr>
                <w:rStyle w:val="Hyperlink"/>
                <w:b/>
                <w:bCs/>
                <w:noProof/>
                <w:lang w:val="pt-BR"/>
              </w:rPr>
              <w:t xml:space="preserve">A Controvérsia Teórica sobre o Escalar Tau </w:t>
            </w:r>
            <m:oMath>
              <m:r>
                <m:rPr>
                  <m:sty m:val="bi"/>
                </m:rPr>
                <w:rPr>
                  <w:rStyle w:val="Hyperlink"/>
                  <w:rFonts w:ascii="Cambria Math" w:hAnsi="Cambria Math"/>
                  <w:noProof/>
                  <w:lang w:val="pt-BR"/>
                </w:rPr>
                <m:t>(τ)</m:t>
              </m:r>
            </m:oMath>
            <w:r>
              <w:rPr>
                <w:noProof/>
                <w:webHidden/>
              </w:rPr>
              <w:tab/>
              <w:fldChar w:fldCharType="begin"/>
              <w:instrText xml:space="preserve"> PAGEREF _Toc230857044 \h </w:instrText>
              <w:fldChar w:fldCharType="separate"/>
              <w:t>64</w:t>
              <w:fldChar w:fldCharType="end"/>
            </w:r>
          </w:hyperlink>
        </w:p>
        <w:p w14:paraId="2239833D"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45" w:history="1">
            <w:r>
              <w:rPr>
                <w:rStyle w:val="Hyperlink"/>
                <w:b/>
                <w:bCs/>
                <w:noProof/>
                <w:lang w:val="pt-BR"/>
              </w:rPr>
              <w:t>2.19.</w:t>
            </w:r>
            <w:r>
              <w:rPr>
                <w:rFonts w:asciiTheme="minorHAnsi" w:eastAsiaTheme="minorEastAsia" w:hAnsiTheme="minorHAnsi" w:cstheme="minorBidi"/>
                <w:noProof/>
                <w:lang w:val="pt-BR" w:eastAsia="pt-BR"/>
              </w:rPr>
              <w:tab/>
            </w:r>
            <w:r>
              <w:rPr>
                <w:rStyle w:val="Hyperlink"/>
                <w:b/>
                <w:bCs/>
                <w:noProof/>
                <w:lang w:val="pt-BR"/>
              </w:rPr>
              <w:t xml:space="preserve">Inovações Práticas: O Método de Idzorek e a Matriz </w:t>
            </w:r>
            <m:oMath>
              <m:r>
                <m:rPr>
                  <m:sty m:val="b"/>
                </m:rPr>
                <w:rPr>
                  <w:rStyle w:val="Hyperlink"/>
                  <w:rFonts w:ascii="Cambria Math" w:hAnsi="Cambria Math"/>
                  <w:noProof/>
                  <w:lang w:val="pt-BR"/>
                </w:rPr>
                <m:t>Ω</m:t>
              </m:r>
            </m:oMath>
            <w:r>
              <w:rPr>
                <w:noProof/>
                <w:webHidden/>
              </w:rPr>
              <w:tab/>
              <w:fldChar w:fldCharType="begin"/>
              <w:instrText xml:space="preserve"> PAGEREF _Toc230857045 \h </w:instrText>
              <w:fldChar w:fldCharType="separate"/>
              <w:t>65</w:t>
              <w:fldChar w:fldCharType="end"/>
            </w:r>
          </w:hyperlink>
        </w:p>
        <w:p w14:paraId="136C765B"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6" w:history="1">
            <w:r>
              <w:rPr>
                <w:rStyle w:val="Hyperlink"/>
                <w:b/>
                <w:bCs/>
                <w:noProof/>
                <w:lang w:val="pt-BR"/>
              </w:rPr>
              <w:t>2.19.1.</w:t>
            </w:r>
            <w:r>
              <w:rPr>
                <w:rFonts w:asciiTheme="minorHAnsi" w:eastAsiaTheme="minorEastAsia" w:hAnsiTheme="minorHAnsi" w:cstheme="minorBidi"/>
                <w:noProof/>
                <w:lang w:val="pt-BR" w:eastAsia="pt-BR"/>
              </w:rPr>
              <w:tab/>
            </w:r>
            <w:r>
              <w:rPr>
                <w:rStyle w:val="Hyperlink"/>
                <w:bCs/>
                <w:noProof/>
                <w:lang w:val="pt-BR"/>
              </w:rPr>
              <w:t>O Algoritmo de Confiança Percentual (Idzorek, 2005)</w:t>
            </w:r>
            <w:r>
              <w:rPr>
                <w:noProof/>
                <w:webHidden/>
              </w:rPr>
              <w:tab/>
              <w:fldChar w:fldCharType="begin"/>
              <w:instrText xml:space="preserve"> PAGEREF _Toc230857046 \h </w:instrText>
              <w:fldChar w:fldCharType="separate"/>
              <w:t>65</w:t>
              <w:fldChar w:fldCharType="end"/>
            </w:r>
          </w:hyperlink>
        </w:p>
        <w:p w14:paraId="4305479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47" w:history="1">
            <w:r>
              <w:rPr>
                <w:rStyle w:val="Hyperlink"/>
                <w:b/>
                <w:bCs/>
                <w:noProof/>
                <w:lang w:val="pt-BR"/>
              </w:rPr>
              <w:t>2.20.</w:t>
            </w:r>
            <w:r>
              <w:rPr>
                <w:rFonts w:asciiTheme="minorHAnsi" w:eastAsiaTheme="minorEastAsia" w:hAnsiTheme="minorHAnsi" w:cstheme="minorBidi"/>
                <w:noProof/>
                <w:lang w:val="pt-BR" w:eastAsia="pt-BR"/>
              </w:rPr>
              <w:tab/>
            </w:r>
            <w:r>
              <w:rPr>
                <w:rStyle w:val="Hyperlink"/>
                <w:b/>
                <w:bCs/>
                <w:noProof/>
                <w:lang w:val="pt-BR"/>
              </w:rPr>
              <w:t>Comparação Crítica: BL, MPT e PMPT</w:t>
            </w:r>
            <w:r>
              <w:rPr>
                <w:noProof/>
                <w:webHidden/>
              </w:rPr>
              <w:tab/>
              <w:fldChar w:fldCharType="begin"/>
              <w:instrText xml:space="preserve"> PAGEREF _Toc230857047 \h </w:instrText>
              <w:fldChar w:fldCharType="separate"/>
              <w:t>66</w:t>
              <w:fldChar w:fldCharType="end"/>
            </w:r>
          </w:hyperlink>
        </w:p>
        <w:p w14:paraId="3C975C98"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8" w:history="1">
            <w:r>
              <w:rPr>
                <w:rStyle w:val="Hyperlink"/>
                <w:b/>
                <w:bCs/>
                <w:noProof/>
                <w:lang w:val="pt-BR"/>
              </w:rPr>
              <w:t>2.20.1.</w:t>
            </w:r>
            <w:r>
              <w:rPr>
                <w:rFonts w:asciiTheme="minorHAnsi" w:eastAsiaTheme="minorEastAsia" w:hAnsiTheme="minorHAnsi" w:cstheme="minorBidi"/>
                <w:noProof/>
                <w:lang w:val="pt-BR" w:eastAsia="pt-BR"/>
              </w:rPr>
              <w:tab/>
            </w:r>
            <w:r>
              <w:rPr>
                <w:rStyle w:val="Hyperlink"/>
                <w:bCs/>
                <w:noProof/>
                <w:lang w:val="pt-BR"/>
              </w:rPr>
              <w:t>MPT vs. BL: A Correção da Estabilidade</w:t>
            </w:r>
            <w:r>
              <w:rPr>
                <w:noProof/>
                <w:webHidden/>
              </w:rPr>
              <w:tab/>
              <w:fldChar w:fldCharType="begin"/>
              <w:instrText xml:space="preserve"> PAGEREF _Toc230857048 \h </w:instrText>
              <w:fldChar w:fldCharType="separate"/>
              <w:t>66</w:t>
              <w:fldChar w:fldCharType="end"/>
            </w:r>
          </w:hyperlink>
        </w:p>
        <w:p w14:paraId="15C801AC"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49" w:history="1">
            <w:r>
              <w:rPr>
                <w:rStyle w:val="Hyperlink"/>
                <w:b/>
                <w:bCs/>
                <w:noProof/>
                <w:lang w:val="pt-BR"/>
              </w:rPr>
              <w:t>2.20.2.</w:t>
            </w:r>
            <w:r>
              <w:rPr>
                <w:rFonts w:asciiTheme="minorHAnsi" w:eastAsiaTheme="minorEastAsia" w:hAnsiTheme="minorHAnsi" w:cstheme="minorBidi"/>
                <w:noProof/>
                <w:lang w:val="pt-BR" w:eastAsia="pt-BR"/>
              </w:rPr>
              <w:tab/>
            </w:r>
            <w:r>
              <w:rPr>
                <w:rStyle w:val="Hyperlink"/>
                <w:bCs/>
                <w:noProof/>
                <w:lang w:val="pt-BR"/>
              </w:rPr>
              <w:t>BL vs. PMPT: Complementaridade Estrutural</w:t>
            </w:r>
            <w:r>
              <w:rPr>
                <w:noProof/>
                <w:webHidden/>
              </w:rPr>
              <w:tab/>
              <w:fldChar w:fldCharType="begin"/>
              <w:instrText xml:space="preserve"> PAGEREF _Toc230857049 \h </w:instrText>
              <w:fldChar w:fldCharType="separate"/>
              <w:t>66</w:t>
              <w:fldChar w:fldCharType="end"/>
            </w:r>
          </w:hyperlink>
        </w:p>
        <w:p w14:paraId="34F4DDC8"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0" w:history="1">
            <w:r>
              <w:rPr>
                <w:rStyle w:val="Hyperlink"/>
                <w:b/>
                <w:bCs/>
                <w:noProof/>
                <w:lang w:val="pt-BR"/>
              </w:rPr>
              <w:t>2.21.</w:t>
            </w:r>
            <w:r>
              <w:rPr>
                <w:rFonts w:asciiTheme="minorHAnsi" w:eastAsiaTheme="minorEastAsia" w:hAnsiTheme="minorHAnsi" w:cstheme="minorBidi"/>
                <w:noProof/>
                <w:lang w:val="pt-BR" w:eastAsia="pt-BR"/>
              </w:rPr>
              <w:tab/>
            </w:r>
            <w:r>
              <w:rPr>
                <w:rStyle w:val="Hyperlink"/>
                <w:b/>
                <w:bCs/>
                <w:noProof/>
                <w:lang w:val="pt-BR"/>
              </w:rPr>
              <w:t>Limitações e Extensões Modernas</w:t>
            </w:r>
            <w:r>
              <w:rPr>
                <w:noProof/>
                <w:webHidden/>
              </w:rPr>
              <w:tab/>
              <w:fldChar w:fldCharType="begin"/>
              <w:instrText xml:space="preserve"> PAGEREF _Toc230857050 \h </w:instrText>
              <w:fldChar w:fldCharType="separate"/>
              <w:t>67</w:t>
              <w:fldChar w:fldCharType="end"/>
            </w:r>
          </w:hyperlink>
        </w:p>
        <w:p w14:paraId="30ED0146"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51" w:history="1">
            <w:r>
              <w:rPr>
                <w:rStyle w:val="Hyperlink"/>
                <w:b/>
                <w:bCs/>
                <w:noProof/>
                <w:lang w:val="pt-BR"/>
              </w:rPr>
              <w:t>2.21.1.</w:t>
            </w:r>
            <w:r>
              <w:rPr>
                <w:rFonts w:asciiTheme="minorHAnsi" w:eastAsiaTheme="minorEastAsia" w:hAnsiTheme="minorHAnsi" w:cstheme="minorBidi"/>
                <w:noProof/>
                <w:lang w:val="pt-BR" w:eastAsia="pt-BR"/>
              </w:rPr>
              <w:tab/>
            </w:r>
            <w:r>
              <w:rPr>
                <w:rStyle w:val="Hyperlink"/>
                <w:bCs/>
                <w:noProof/>
                <w:lang w:val="pt-BR"/>
              </w:rPr>
              <w:t>Dependência da Normalidade e do CAPM</w:t>
            </w:r>
            <w:r>
              <w:rPr>
                <w:noProof/>
                <w:webHidden/>
              </w:rPr>
              <w:tab/>
              <w:fldChar w:fldCharType="begin"/>
              <w:instrText xml:space="preserve"> PAGEREF _Toc230857051 \h </w:instrText>
              <w:fldChar w:fldCharType="separate"/>
              <w:t>67</w:t>
              <w:fldChar w:fldCharType="end"/>
            </w:r>
          </w:hyperlink>
        </w:p>
        <w:p w14:paraId="0F569613" w14:textId="77777777" w:rsidR="00FE3CE2" w:rsidRDefault="00000000">
          <w:pPr>
            <w:pStyle w:val="Sumrio3"/>
            <w:tabs>
              <w:tab w:val="left" w:pos="1440"/>
              <w:tab w:val="right" w:leader="dot" w:pos="8494"/>
            </w:tabs>
            <w:rPr>
              <w:rFonts w:asciiTheme="minorHAnsi" w:eastAsiaTheme="minorEastAsia" w:hAnsiTheme="minorHAnsi" w:cstheme="minorBidi"/>
              <w:noProof/>
              <w:lang w:val="pt-BR" w:eastAsia="pt-BR"/>
            </w:rPr>
          </w:pPr>
          <w:hyperlink w:anchor="_Toc230857052" w:history="1">
            <w:r>
              <w:rPr>
                <w:rStyle w:val="Hyperlink"/>
                <w:b/>
                <w:bCs/>
                <w:noProof/>
                <w:lang w:val="en-US"/>
              </w:rPr>
              <w:t>2.21.2.</w:t>
            </w:r>
            <w:r>
              <w:rPr>
                <w:rFonts w:asciiTheme="minorHAnsi" w:eastAsiaTheme="minorEastAsia" w:hAnsiTheme="minorHAnsi" w:cstheme="minorBidi"/>
                <w:noProof/>
                <w:lang w:val="pt-BR" w:eastAsia="pt-BR"/>
              </w:rPr>
              <w:tab/>
            </w:r>
            <w:r>
              <w:rPr>
                <w:rStyle w:val="Hyperlink"/>
                <w:bCs/>
                <w:noProof/>
                <w:lang w:val="en-US"/>
              </w:rPr>
              <w:t>Entropy Pooling e Fully Flexible Views (Meucci)</w:t>
            </w:r>
            <w:r>
              <w:rPr>
                <w:noProof/>
                <w:webHidden/>
              </w:rPr>
              <w:tab/>
              <w:fldChar w:fldCharType="begin"/>
              <w:instrText xml:space="preserve"> PAGEREF _Toc230857052 \h </w:instrText>
              <w:fldChar w:fldCharType="separate"/>
              <w:t>68</w:t>
              <w:fldChar w:fldCharType="end"/>
            </w:r>
          </w:hyperlink>
        </w:p>
        <w:p w14:paraId="07C820DC"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3" w:history="1">
            <w:r>
              <w:rPr>
                <w:rStyle w:val="Hyperlink"/>
                <w:b/>
                <w:bCs/>
                <w:noProof/>
                <w:lang w:val="pt-BR"/>
              </w:rPr>
              <w:t>2.22.</w:t>
            </w:r>
            <w:r>
              <w:rPr>
                <w:rFonts w:asciiTheme="minorHAnsi" w:eastAsiaTheme="minorEastAsia" w:hAnsiTheme="minorHAnsi" w:cstheme="minorBidi"/>
                <w:noProof/>
                <w:lang w:val="pt-BR" w:eastAsia="pt-BR"/>
              </w:rPr>
              <w:tab/>
            </w:r>
            <w:r>
              <w:rPr>
                <w:rStyle w:val="Hyperlink"/>
                <w:b/>
                <w:bCs/>
                <w:noProof/>
                <w:lang w:val="pt-BR"/>
              </w:rPr>
              <w:t>Conclusão do Capítulo</w:t>
            </w:r>
            <w:r>
              <w:rPr>
                <w:noProof/>
                <w:webHidden/>
              </w:rPr>
              <w:tab/>
              <w:fldChar w:fldCharType="begin"/>
              <w:instrText xml:space="preserve"> PAGEREF _Toc230857053 \h </w:instrText>
              <w:fldChar w:fldCharType="separate"/>
              <w:t>68</w:t>
              <w:fldChar w:fldCharType="end"/>
            </w:r>
          </w:hyperlink>
        </w:p>
        <w:p w14:paraId="23A1561D"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7054" w:history="1">
            <w:r>
              <w:rPr>
                <w:rStyle w:val="Hyperlink"/>
                <w:noProof/>
                <w:w w:val="99"/>
              </w:rPr>
              <w:t>3.</w:t>
            </w:r>
            <w:r>
              <w:rPr>
                <w:rFonts w:asciiTheme="minorHAnsi" w:eastAsiaTheme="minorEastAsia" w:hAnsiTheme="minorHAnsi" w:cstheme="minorBidi"/>
                <w:noProof/>
                <w:lang w:val="pt-BR" w:eastAsia="pt-BR"/>
              </w:rPr>
              <w:tab/>
            </w:r>
            <w:r>
              <w:rPr>
                <w:rStyle w:val="Hyperlink"/>
                <w:noProof/>
              </w:rPr>
              <w:t>CAPÍTULO 3 — METODOLOGIA DA PESQUISA</w:t>
            </w:r>
            <w:r>
              <w:rPr>
                <w:noProof/>
                <w:webHidden/>
              </w:rPr>
              <w:tab/>
              <w:fldChar w:fldCharType="begin"/>
              <w:instrText xml:space="preserve"> PAGEREF _Toc230857054 \h </w:instrText>
              <w:fldChar w:fldCharType="separate"/>
              <w:t>70</w:t>
              <w:fldChar w:fldCharType="end"/>
            </w:r>
          </w:hyperlink>
        </w:p>
        <w:p w14:paraId="7F71673B"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5" w:history="1">
            <w:r>
              <w:rPr>
                <w:rStyle w:val="Hyperlink"/>
                <w:noProof/>
              </w:rPr>
              <w:t>3.1.</w:t>
            </w:r>
            <w:r>
              <w:rPr>
                <w:rFonts w:asciiTheme="minorHAnsi" w:eastAsiaTheme="minorEastAsia" w:hAnsiTheme="minorHAnsi" w:cstheme="minorBidi"/>
                <w:noProof/>
                <w:lang w:val="pt-BR" w:eastAsia="pt-BR"/>
              </w:rPr>
              <w:tab/>
            </w:r>
            <w:r>
              <w:rPr>
                <w:rStyle w:val="Hyperlink"/>
                <w:noProof/>
              </w:rPr>
              <w:t>Natureza e Classificação da Pesquisa</w:t>
            </w:r>
            <w:r>
              <w:rPr>
                <w:noProof/>
                <w:webHidden/>
              </w:rPr>
              <w:tab/>
              <w:fldChar w:fldCharType="begin"/>
              <w:instrText xml:space="preserve"> PAGEREF _Toc230857055 \h </w:instrText>
              <w:fldChar w:fldCharType="separate"/>
              <w:t>70</w:t>
              <w:fldChar w:fldCharType="end"/>
            </w:r>
          </w:hyperlink>
        </w:p>
        <w:p w14:paraId="3C923453"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6" w:history="1">
            <w:r>
              <w:rPr>
                <w:rStyle w:val="Hyperlink"/>
                <w:noProof/>
              </w:rPr>
              <w:t>3.2.</w:t>
            </w:r>
            <w:r>
              <w:rPr>
                <w:rFonts w:asciiTheme="minorHAnsi" w:eastAsiaTheme="minorEastAsia" w:hAnsiTheme="minorHAnsi" w:cstheme="minorBidi"/>
                <w:noProof/>
                <w:lang w:val="pt-BR" w:eastAsia="pt-BR"/>
              </w:rPr>
              <w:tab/>
            </w:r>
            <w:r>
              <w:rPr>
                <w:rStyle w:val="Hyperlink"/>
                <w:noProof/>
              </w:rPr>
              <w:t>Universo, Amostra e Fonte dos Dados</w:t>
            </w:r>
            <w:r>
              <w:rPr>
                <w:noProof/>
                <w:webHidden/>
              </w:rPr>
              <w:tab/>
              <w:fldChar w:fldCharType="begin"/>
              <w:instrText xml:space="preserve"> PAGEREF _Toc230857056 \h </w:instrText>
              <w:fldChar w:fldCharType="separate"/>
              <w:t>70</w:t>
              <w:fldChar w:fldCharType="end"/>
            </w:r>
          </w:hyperlink>
        </w:p>
        <w:p w14:paraId="4FEE319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57" w:history="1">
            <w:r>
              <w:rPr>
                <w:rStyle w:val="Hyperlink"/>
                <w:noProof/>
              </w:rPr>
              <w:t>3.2.1.</w:t>
            </w:r>
            <w:r>
              <w:rPr>
                <w:rFonts w:asciiTheme="minorHAnsi" w:eastAsiaTheme="minorEastAsia" w:hAnsiTheme="minorHAnsi" w:cstheme="minorBidi"/>
                <w:noProof/>
                <w:lang w:val="pt-BR" w:eastAsia="pt-BR"/>
              </w:rPr>
              <w:tab/>
            </w:r>
            <w:r>
              <w:rPr>
                <w:rStyle w:val="Hyperlink"/>
                <w:noProof/>
              </w:rPr>
              <w:t>Critério de Inclusão na Amostra</w:t>
            </w:r>
            <w:r>
              <w:rPr>
                <w:noProof/>
                <w:webHidden/>
              </w:rPr>
              <w:tab/>
              <w:fldChar w:fldCharType="begin"/>
              <w:instrText xml:space="preserve"> PAGEREF _Toc230857057 \h </w:instrText>
              <w:fldChar w:fldCharType="separate"/>
              <w:t>70</w:t>
              <w:fldChar w:fldCharType="end"/>
            </w:r>
          </w:hyperlink>
        </w:p>
        <w:p w14:paraId="7FF134BC"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58" w:history="1">
            <w:r>
              <w:rPr>
                <w:rStyle w:val="Hyperlink"/>
                <w:noProof/>
              </w:rPr>
              <w:t>3.3.</w:t>
            </w:r>
            <w:r>
              <w:rPr>
                <w:rFonts w:asciiTheme="minorHAnsi" w:eastAsiaTheme="minorEastAsia" w:hAnsiTheme="minorHAnsi" w:cstheme="minorBidi"/>
                <w:noProof/>
                <w:lang w:val="pt-BR" w:eastAsia="pt-BR"/>
              </w:rPr>
              <w:tab/>
            </w:r>
            <w:r>
              <w:rPr>
                <w:rStyle w:val="Hyperlink"/>
                <w:noProof/>
              </w:rPr>
              <w:t>Tratamento e Preparação dos Dados</w:t>
            </w:r>
            <w:r>
              <w:rPr>
                <w:noProof/>
                <w:webHidden/>
              </w:rPr>
              <w:tab/>
              <w:fldChar w:fldCharType="begin"/>
              <w:instrText xml:space="preserve"> PAGEREF _Toc230857058 \h </w:instrText>
              <w:fldChar w:fldCharType="separate"/>
              <w:t>71</w:t>
              <w:fldChar w:fldCharType="end"/>
            </w:r>
          </w:hyperlink>
        </w:p>
        <w:p w14:paraId="63810A0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59" w:history="1">
            <w:r>
              <w:rPr>
                <w:rStyle w:val="Hyperlink"/>
                <w:noProof/>
              </w:rPr>
              <w:t>3.3.1.</w:t>
            </w:r>
            <w:r>
              <w:rPr>
                <w:rFonts w:asciiTheme="minorHAnsi" w:eastAsiaTheme="minorEastAsia" w:hAnsiTheme="minorHAnsi" w:cstheme="minorBidi"/>
                <w:noProof/>
                <w:lang w:val="pt-BR" w:eastAsia="pt-BR"/>
              </w:rPr>
              <w:tab/>
            </w:r>
            <w:r>
              <w:rPr>
                <w:rStyle w:val="Hyperlink"/>
                <w:noProof/>
              </w:rPr>
              <w:t>Filtragem de Liquidez e Remoção de Anomalias</w:t>
            </w:r>
            <w:r>
              <w:rPr>
                <w:noProof/>
                <w:webHidden/>
              </w:rPr>
              <w:tab/>
              <w:fldChar w:fldCharType="begin"/>
              <w:instrText xml:space="preserve"> PAGEREF _Toc230857059 \h </w:instrText>
              <w:fldChar w:fldCharType="separate"/>
              <w:t>71</w:t>
              <w:fldChar w:fldCharType="end"/>
            </w:r>
          </w:hyperlink>
        </w:p>
        <w:p w14:paraId="686B9B5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0" w:history="1">
            <w:r>
              <w:rPr>
                <w:rStyle w:val="Hyperlink"/>
                <w:noProof/>
              </w:rPr>
              <w:t>3.3.2.</w:t>
            </w:r>
            <w:r>
              <w:rPr>
                <w:rFonts w:asciiTheme="minorHAnsi" w:eastAsiaTheme="minorEastAsia" w:hAnsiTheme="minorHAnsi" w:cstheme="minorBidi"/>
                <w:noProof/>
                <w:lang w:val="pt-BR" w:eastAsia="pt-BR"/>
              </w:rPr>
              <w:tab/>
            </w:r>
            <w:r>
              <w:rPr>
                <w:rStyle w:val="Hyperlink"/>
                <w:noProof/>
              </w:rPr>
              <w:t>Transformação dos Preços em Retornos</w:t>
            </w:r>
            <w:r>
              <w:rPr>
                <w:noProof/>
                <w:webHidden/>
              </w:rPr>
              <w:tab/>
              <w:fldChar w:fldCharType="begin"/>
              <w:instrText xml:space="preserve"> PAGEREF _Toc230857060 \h </w:instrText>
              <w:fldChar w:fldCharType="separate"/>
              <w:t>72</w:t>
              <w:fldChar w:fldCharType="end"/>
            </w:r>
          </w:hyperlink>
        </w:p>
        <w:p w14:paraId="03344EA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1" w:history="1">
            <w:r>
              <w:rPr>
                <w:rStyle w:val="Hyperlink"/>
                <w:noProof/>
              </w:rPr>
              <w:t>3.3.3.</w:t>
            </w:r>
            <w:r>
              <w:rPr>
                <w:rFonts w:asciiTheme="minorHAnsi" w:eastAsiaTheme="minorEastAsia" w:hAnsiTheme="minorHAnsi" w:cstheme="minorBidi"/>
                <w:noProof/>
                <w:lang w:val="pt-BR" w:eastAsia="pt-BR"/>
              </w:rPr>
              <w:tab/>
            </w:r>
            <w:r>
              <w:rPr>
                <w:rStyle w:val="Hyperlink"/>
                <w:noProof/>
              </w:rPr>
              <w:t>Diagnóstico Econométrico das Séries</w:t>
            </w:r>
            <w:r>
              <w:rPr>
                <w:noProof/>
                <w:webHidden/>
              </w:rPr>
              <w:tab/>
              <w:fldChar w:fldCharType="begin"/>
              <w:instrText xml:space="preserve"> PAGEREF _Toc230857061 \h </w:instrText>
              <w:fldChar w:fldCharType="separate"/>
              <w:t>72</w:t>
              <w:fldChar w:fldCharType="end"/>
            </w:r>
          </w:hyperlink>
        </w:p>
        <w:p w14:paraId="08BA068E"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62" w:history="1">
            <w:r>
              <w:rPr>
                <w:rStyle w:val="Hyperlink"/>
                <w:noProof/>
              </w:rPr>
              <w:t>3.4.</w:t>
            </w:r>
            <w:r>
              <w:rPr>
                <w:rFonts w:asciiTheme="minorHAnsi" w:eastAsiaTheme="minorEastAsia" w:hAnsiTheme="minorHAnsi" w:cstheme="minorBidi"/>
                <w:noProof/>
                <w:lang w:val="pt-BR" w:eastAsia="pt-BR"/>
              </w:rPr>
              <w:tab/>
            </w:r>
            <w:r>
              <w:rPr>
                <w:rStyle w:val="Hyperlink"/>
                <w:noProof/>
              </w:rPr>
              <w:t>Estimação dos Parâmetros de Otimização</w:t>
            </w:r>
            <w:r>
              <w:rPr>
                <w:noProof/>
                <w:webHidden/>
              </w:rPr>
              <w:tab/>
              <w:fldChar w:fldCharType="begin"/>
              <w:instrText xml:space="preserve"> PAGEREF _Toc230857062 \h </w:instrText>
              <w:fldChar w:fldCharType="separate"/>
              <w:t>74</w:t>
              <w:fldChar w:fldCharType="end"/>
            </w:r>
          </w:hyperlink>
        </w:p>
        <w:p w14:paraId="639A3DAB"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3" w:history="1">
            <w:r>
              <w:rPr>
                <w:rStyle w:val="Hyperlink"/>
                <w:noProof/>
              </w:rPr>
              <w:t>3.4.1.</w:t>
            </w:r>
            <w:r>
              <w:rPr>
                <w:rFonts w:asciiTheme="minorHAnsi" w:eastAsiaTheme="minorEastAsia" w:hAnsiTheme="minorHAnsi" w:cstheme="minorBidi"/>
                <w:noProof/>
                <w:lang w:val="pt-BR" w:eastAsia="pt-BR"/>
              </w:rPr>
              <w:tab/>
            </w:r>
            <w:r>
              <w:rPr>
                <w:rStyle w:val="Hyperlink"/>
                <w:noProof/>
              </w:rPr>
              <w:t>Prêmio de Risco (Excesso de Retorno)</w:t>
            </w:r>
            <w:r>
              <w:rPr>
                <w:noProof/>
                <w:webHidden/>
              </w:rPr>
              <w:tab/>
              <w:fldChar w:fldCharType="begin"/>
              <w:instrText xml:space="preserve"> PAGEREF _Toc230857063 \h </w:instrText>
              <w:fldChar w:fldCharType="separate"/>
              <w:t>74</w:t>
              <w:fldChar w:fldCharType="end"/>
            </w:r>
          </w:hyperlink>
        </w:p>
        <w:p w14:paraId="2F3CAFEA"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4" w:history="1">
            <w:r>
              <w:rPr>
                <w:rStyle w:val="Hyperlink"/>
                <w:noProof/>
              </w:rPr>
              <w:t>3.4.2.</w:t>
            </w:r>
            <w:r>
              <w:rPr>
                <w:rFonts w:asciiTheme="minorHAnsi" w:eastAsiaTheme="minorEastAsia" w:hAnsiTheme="minorHAnsi" w:cstheme="minorBidi"/>
                <w:noProof/>
                <w:lang w:val="pt-BR" w:eastAsia="pt-BR"/>
              </w:rPr>
              <w:tab/>
            </w:r>
            <w:r>
              <w:rPr>
                <w:rStyle w:val="Hyperlink"/>
                <w:noProof/>
              </w:rPr>
              <w:t>Retornos Esperados e Matriz de Covariância</w:t>
            </w:r>
            <w:r>
              <w:rPr>
                <w:noProof/>
                <w:webHidden/>
              </w:rPr>
              <w:tab/>
              <w:fldChar w:fldCharType="begin"/>
              <w:instrText xml:space="preserve"> PAGEREF _Toc230857064 \h </w:instrText>
              <w:fldChar w:fldCharType="separate"/>
              <w:t>74</w:t>
              <w:fldChar w:fldCharType="end"/>
            </w:r>
          </w:hyperlink>
        </w:p>
        <w:p w14:paraId="463576A7"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65" w:history="1">
            <w:r>
              <w:rPr>
                <w:rStyle w:val="Hyperlink"/>
                <w:noProof/>
              </w:rPr>
              <w:t>3.5.</w:t>
            </w:r>
            <w:r>
              <w:rPr>
                <w:rFonts w:asciiTheme="minorHAnsi" w:eastAsiaTheme="minorEastAsia" w:hAnsiTheme="minorHAnsi" w:cstheme="minorBidi"/>
                <w:noProof/>
                <w:lang w:val="pt-BR" w:eastAsia="pt-BR"/>
              </w:rPr>
              <w:tab/>
            </w:r>
            <w:r>
              <w:rPr>
                <w:rStyle w:val="Hyperlink"/>
                <w:noProof/>
              </w:rPr>
              <w:t>Modelos de Otimização Implementados</w:t>
            </w:r>
            <w:r>
              <w:rPr>
                <w:noProof/>
                <w:webHidden/>
              </w:rPr>
              <w:tab/>
              <w:fldChar w:fldCharType="begin"/>
              <w:instrText xml:space="preserve"> PAGEREF _Toc230857065 \h </w:instrText>
              <w:fldChar w:fldCharType="separate"/>
              <w:t>75</w:t>
              <w:fldChar w:fldCharType="end"/>
            </w:r>
          </w:hyperlink>
        </w:p>
        <w:p w14:paraId="0C15CBEC"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6" w:history="1">
            <w:r>
              <w:rPr>
                <w:rStyle w:val="Hyperlink"/>
                <w:noProof/>
              </w:rPr>
              <w:t>3.5.1.</w:t>
            </w:r>
            <w:r>
              <w:rPr>
                <w:rFonts w:asciiTheme="minorHAnsi" w:eastAsiaTheme="minorEastAsia" w:hAnsiTheme="minorHAnsi" w:cstheme="minorBidi"/>
                <w:noProof/>
                <w:lang w:val="pt-BR" w:eastAsia="pt-BR"/>
              </w:rPr>
              <w:tab/>
            </w:r>
            <w:r>
              <w:rPr>
                <w:rStyle w:val="Hyperlink"/>
                <w:noProof/>
              </w:rPr>
              <w:t>Otimização de Máximo Índice de Sharpe com Penalidade</w:t>
            </w:r>
            <w:r>
              <w:rPr>
                <w:noProof/>
                <w:webHidden/>
              </w:rPr>
              <w:tab/>
              <w:fldChar w:fldCharType="begin"/>
              <w:instrText xml:space="preserve"> PAGEREF _Toc230857066 \h </w:instrText>
              <w:fldChar w:fldCharType="separate"/>
              <w:t>75</w:t>
              <w:fldChar w:fldCharType="end"/>
            </w:r>
          </w:hyperlink>
        </w:p>
        <w:p w14:paraId="3B3CDBC0"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7" w:history="1">
            <w:r>
              <w:rPr>
                <w:rStyle w:val="Hyperlink"/>
                <w:noProof/>
              </w:rPr>
              <w:t>3.5.2.</w:t>
            </w:r>
            <w:r>
              <w:rPr>
                <w:rFonts w:asciiTheme="minorHAnsi" w:eastAsiaTheme="minorEastAsia" w:hAnsiTheme="minorHAnsi" w:cstheme="minorBidi"/>
                <w:noProof/>
                <w:lang w:val="pt-BR" w:eastAsia="pt-BR"/>
              </w:rPr>
              <w:tab/>
            </w:r>
            <w:r>
              <w:rPr>
                <w:rStyle w:val="Hyperlink"/>
                <w:noProof/>
              </w:rPr>
              <w:t>Carteira de Mínima Variância Global com Penalidade L1</w:t>
            </w:r>
            <w:r>
              <w:rPr>
                <w:noProof/>
                <w:webHidden/>
              </w:rPr>
              <w:tab/>
              <w:fldChar w:fldCharType="begin"/>
              <w:instrText xml:space="preserve"> PAGEREF _Toc230857067 \h </w:instrText>
              <w:fldChar w:fldCharType="separate"/>
              <w:t>75</w:t>
              <w:fldChar w:fldCharType="end"/>
            </w:r>
          </w:hyperlink>
        </w:p>
        <w:p w14:paraId="28C72560"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68" w:history="1">
            <w:r>
              <w:rPr>
                <w:rStyle w:val="Hyperlink"/>
                <w:noProof/>
              </w:rPr>
              <w:t>3.5.3.</w:t>
            </w:r>
            <w:r>
              <w:rPr>
                <w:rFonts w:asciiTheme="minorHAnsi" w:eastAsiaTheme="minorEastAsia" w:hAnsiTheme="minorHAnsi" w:cstheme="minorBidi"/>
                <w:noProof/>
                <w:lang w:val="pt-BR" w:eastAsia="pt-BR"/>
              </w:rPr>
              <w:tab/>
            </w:r>
            <w:r>
              <w:rPr>
                <w:rStyle w:val="Hyperlink"/>
                <w:noProof/>
              </w:rPr>
              <w:r>
                <w:rPr>
                  <w:color w:val="000000"/>
                  <w:sz w:val="24"/>
                  <w:szCs w:val="24"/>
                  <w:lang w:val="pt-BR" w:eastAsia="pt-BR"/>
                </w:rPr>
                <w:t>Modelo Black-Litterman com Visões de Momentum 12-1</w:t>
              </w:r>
            </w:r>
            <w:r>
              <w:rPr>
                <w:noProof/>
                <w:webHidden/>
              </w:rPr>
              <w:tab/>
              <w:fldChar w:fldCharType="begin"/>
              <w:instrText xml:space="preserve"> PAGEREF _Toc230857068 \h </w:instrText>
              <w:fldChar w:fldCharType="separate"/>
              <w:t>76</w:t>
              <w:fldChar w:fldCharType="end"/>
            </w:r>
          </w:hyperlink>
        </w:p>
        <w:p w14:paraId="7AF1986E"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69" w:history="1">
            <w:r>
              <w:rPr>
                <w:rStyle w:val="Hyperlink"/>
                <w:noProof/>
              </w:rPr>
              <w:t>3.6.</w:t>
            </w:r>
            <w:r>
              <w:rPr>
                <w:rFonts w:asciiTheme="minorHAnsi" w:eastAsiaTheme="minorEastAsia" w:hAnsiTheme="minorHAnsi" w:cstheme="minorBidi"/>
                <w:noProof/>
                <w:lang w:val="pt-BR" w:eastAsia="pt-BR"/>
              </w:rPr>
              <w:tab/>
            </w:r>
            <w:r>
              <w:rPr>
                <w:rStyle w:val="Hyperlink"/>
                <w:noProof/>
              </w:rPr>
              <w:t>Protocolo de Backtesting com Janelas Expansivas</w:t>
            </w:r>
            <w:r>
              <w:rPr>
                <w:noProof/>
                <w:webHidden/>
              </w:rPr>
              <w:tab/>
              <w:fldChar w:fldCharType="begin"/>
              <w:instrText xml:space="preserve"> PAGEREF _Toc230857069 \h </w:instrText>
              <w:fldChar w:fldCharType="separate"/>
              <w:t>77</w:t>
              <w:fldChar w:fldCharType="end"/>
            </w:r>
          </w:hyperlink>
        </w:p>
        <w:p w14:paraId="2171BBE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70" w:history="1">
            <w:r>
              <w:rPr>
                <w:rStyle w:val="Hyperlink"/>
                <w:noProof/>
              </w:rPr>
              <w:t>3.7.</w:t>
            </w:r>
            <w:r>
              <w:rPr>
                <w:rFonts w:asciiTheme="minorHAnsi" w:eastAsiaTheme="minorEastAsia" w:hAnsiTheme="minorHAnsi" w:cstheme="minorBidi"/>
                <w:noProof/>
                <w:lang w:val="pt-BR" w:eastAsia="pt-BR"/>
              </w:rPr>
              <w:tab/>
            </w:r>
            <w:r>
              <w:rPr>
                <w:rStyle w:val="Hyperlink"/>
                <w:noProof/>
              </w:rPr>
              <w:t>Métricas de Avaliação de Desempenho</w:t>
            </w:r>
            <w:r>
              <w:rPr>
                <w:noProof/>
                <w:webHidden/>
              </w:rPr>
              <w:tab/>
              <w:fldChar w:fldCharType="begin"/>
              <w:instrText xml:space="preserve"> PAGEREF _Toc230857070 \h </w:instrText>
              <w:fldChar w:fldCharType="separate"/>
              <w:t>77</w:t>
              <w:fldChar w:fldCharType="end"/>
            </w:r>
          </w:hyperlink>
        </w:p>
        <w:p w14:paraId="234193C3"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7071" w:history="1">
            <w:r>
              <w:rPr>
                <w:rStyle w:val="Hyperlink"/>
                <w:noProof/>
                <w:w w:val="99"/>
              </w:rPr>
              <w:t>4.</w:t>
            </w:r>
            <w:r>
              <w:rPr>
                <w:rFonts w:asciiTheme="minorHAnsi" w:eastAsiaTheme="minorEastAsia" w:hAnsiTheme="minorHAnsi" w:cstheme="minorBidi"/>
                <w:noProof/>
                <w:lang w:val="pt-BR" w:eastAsia="pt-BR"/>
              </w:rPr>
              <w:tab/>
            </w:r>
            <w:r>
              <w:rPr>
                <w:rStyle w:val="Hyperlink"/>
                <w:noProof/>
              </w:rPr>
              <w:t>RESULTADOS E DISCUSSÃO</w:t>
            </w:r>
            <w:r>
              <w:rPr>
                <w:noProof/>
                <w:webHidden/>
              </w:rPr>
              <w:tab/>
              <w:fldChar w:fldCharType="begin"/>
              <w:instrText xml:space="preserve"> PAGEREF _Toc230857071 \h </w:instrText>
              <w:fldChar w:fldCharType="separate"/>
              <w:t>79</w:t>
              <w:fldChar w:fldCharType="end"/>
            </w:r>
          </w:hyperlink>
        </w:p>
        <w:p w14:paraId="25CE5E55"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72" w:history="1">
            <w:r>
              <w:rPr>
                <w:rStyle w:val="Hyperlink"/>
                <w:noProof/>
              </w:rPr>
              <w:t>4.1.</w:t>
            </w:r>
            <w:r>
              <w:rPr>
                <w:rFonts w:asciiTheme="minorHAnsi" w:eastAsiaTheme="minorEastAsia" w:hAnsiTheme="minorHAnsi" w:cstheme="minorBidi"/>
                <w:noProof/>
                <w:lang w:val="pt-BR" w:eastAsia="pt-BR"/>
              </w:rPr>
              <w:tab/>
            </w:r>
            <w:r>
              <w:rPr>
                <w:rStyle w:val="Hyperlink"/>
                <w:noProof/>
              </w:rPr>
              <w:t>Estatísticas Descritivas e Diagnóstico Econométrico</w:t>
            </w:r>
            <w:r>
              <w:rPr>
                <w:noProof/>
                <w:webHidden/>
              </w:rPr>
              <w:tab/>
              <w:fldChar w:fldCharType="begin"/>
              <w:instrText xml:space="preserve"> PAGEREF _Toc230857072 \h </w:instrText>
              <w:fldChar w:fldCharType="separate"/>
              <w:t>79</w:t>
              <w:fldChar w:fldCharType="end"/>
            </w:r>
          </w:hyperlink>
        </w:p>
        <w:p w14:paraId="7905A915"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3" w:history="1">
            <w:r>
              <w:rPr>
                <w:rStyle w:val="Hyperlink"/>
                <w:noProof/>
              </w:rPr>
              <w:t>4.1.1.</w:t>
            </w:r>
            <w:r>
              <w:rPr>
                <w:rFonts w:asciiTheme="minorHAnsi" w:eastAsiaTheme="minorEastAsia" w:hAnsiTheme="minorHAnsi" w:cstheme="minorBidi"/>
                <w:noProof/>
                <w:lang w:val="pt-BR" w:eastAsia="pt-BR"/>
              </w:rPr>
              <w:tab/>
            </w:r>
            <w:r>
              <w:rPr>
                <w:rStyle w:val="Hyperlink"/>
                <w:noProof/>
              </w:rPr>
              <w:r>
                <w:rPr>
                  <w:color w:val="000000"/>
                  <w:sz w:val="24"/>
                  <w:szCs w:val="24"/>
                  <w:lang w:val="pt-BR" w:eastAsia="pt-BR"/>
                </w:rPr>
                <w:t>Modelo Black-Litterman com Visões de Momentum 12-1</w:t>
              </w:r>
            </w:r>
            <w:r>
              <w:rPr>
                <w:noProof/>
                <w:webHidden/>
              </w:rPr>
              <w:tab/>
              <w:fldChar w:fldCharType="begin"/>
              <w:instrText xml:space="preserve"> PAGEREF _Toc230857073 \h </w:instrText>
              <w:fldChar w:fldCharType="separate"/>
              <w:t>79</w:t>
              <w:fldChar w:fldCharType="end"/>
            </w:r>
          </w:hyperlink>
        </w:p>
        <w:p w14:paraId="6934926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4" w:history="1">
            <w:r>
              <w:rPr>
                <w:rStyle w:val="Hyperlink"/>
                <w:noProof/>
              </w:rPr>
              <w:t>4.1.2.</w:t>
            </w:r>
            <w:r>
              <w:rPr>
                <w:rFonts w:asciiTheme="minorHAnsi" w:eastAsiaTheme="minorEastAsia" w:hAnsiTheme="minorHAnsi" w:cstheme="minorBidi"/>
                <w:noProof/>
                <w:lang w:val="pt-BR" w:eastAsia="pt-BR"/>
              </w:rPr>
              <w:tab/>
            </w:r>
            <w:r>
              <w:rPr>
                <w:rStyle w:val="Hyperlink"/>
                <w:noProof/>
              </w:rPr>
              <w:t>Distribuição dos Retornos — Evidência de Não-Normalidade</w:t>
            </w:r>
            <w:r>
              <w:rPr>
                <w:noProof/>
                <w:webHidden/>
              </w:rPr>
              <w:tab/>
              <w:fldChar w:fldCharType="begin"/>
              <w:instrText xml:space="preserve"> PAGEREF _Toc230857074 \h </w:instrText>
              <w:fldChar w:fldCharType="separate"/>
              <w:t>79</w:t>
              <w:fldChar w:fldCharType="end"/>
            </w:r>
          </w:hyperlink>
        </w:p>
        <w:p w14:paraId="20E131F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5" w:history="1">
            <w:r>
              <w:rPr>
                <w:rStyle w:val="Hyperlink"/>
                <w:noProof/>
              </w:rPr>
              <w:t>4.1.3.</w:t>
            </w:r>
            <w:r>
              <w:rPr>
                <w:rFonts w:asciiTheme="minorHAnsi" w:eastAsiaTheme="minorEastAsia" w:hAnsiTheme="minorHAnsi" w:cstheme="minorBidi"/>
                <w:noProof/>
                <w:lang w:val="pt-BR" w:eastAsia="pt-BR"/>
              </w:rPr>
              <w:tab/>
            </w:r>
            <w:r>
              <w:rPr>
                <w:rStyle w:val="Hyperlink"/>
                <w:noProof/>
              </w:rPr>
              <w:t>Comportamento da Volatilidade por Subperíodo</w:t>
            </w:r>
            <w:r>
              <w:rPr>
                <w:noProof/>
                <w:webHidden/>
              </w:rPr>
              <w:tab/>
              <w:fldChar w:fldCharType="begin"/>
              <w:instrText xml:space="preserve"> PAGEREF _Toc230857075 \h </w:instrText>
              <w:fldChar w:fldCharType="separate"/>
              <w:t>80</w:t>
              <w:fldChar w:fldCharType="end"/>
            </w:r>
          </w:hyperlink>
        </w:p>
        <w:p w14:paraId="7A479611"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6" w:history="1">
            <w:r>
              <w:rPr>
                <w:rStyle w:val="Hyperlink"/>
                <w:noProof/>
              </w:rPr>
              <w:t>4.1.4.</w:t>
            </w:r>
            <w:r>
              <w:rPr>
                <w:rFonts w:asciiTheme="minorHAnsi" w:eastAsiaTheme="minorEastAsia" w:hAnsiTheme="minorHAnsi" w:cstheme="minorBidi"/>
                <w:noProof/>
                <w:lang w:val="pt-BR" w:eastAsia="pt-BR"/>
              </w:rPr>
              <w:tab/>
            </w:r>
            <w:r>
              <w:rPr>
                <w:rStyle w:val="Hyperlink"/>
                <w:noProof/>
              </w:rPr>
              <w:t>Estrutura de Correlação</w:t>
            </w:r>
            <w:r>
              <w:rPr>
                <w:noProof/>
                <w:webHidden/>
              </w:rPr>
              <w:tab/>
              <w:fldChar w:fldCharType="begin"/>
              <w:instrText xml:space="preserve"> PAGEREF _Toc230857076 \h </w:instrText>
              <w:fldChar w:fldCharType="separate"/>
              <w:t>80</w:t>
              <w:fldChar w:fldCharType="end"/>
            </w:r>
          </w:hyperlink>
        </w:p>
        <w:p w14:paraId="2754FE3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7" w:history="1">
            <w:r>
              <w:rPr>
                <w:rStyle w:val="Hyperlink"/>
                <w:noProof/>
              </w:rPr>
              <w:t>4.1.5.</w:t>
            </w:r>
            <w:r>
              <w:rPr>
                <w:rFonts w:asciiTheme="minorHAnsi" w:eastAsiaTheme="minorEastAsia" w:hAnsiTheme="minorHAnsi" w:cstheme="minorBidi"/>
                <w:noProof/>
                <w:lang w:val="pt-BR" w:eastAsia="pt-BR"/>
              </w:rPr>
              <w:tab/>
            </w:r>
            <w:r>
              <w:rPr>
                <w:rStyle w:val="Hyperlink"/>
                <w:noProof/>
              </w:rPr>
              <w:t>Síntese do Diagnóstico Econométrico</w:t>
            </w:r>
            <w:r>
              <w:rPr>
                <w:noProof/>
                <w:webHidden/>
              </w:rPr>
              <w:tab/>
              <w:fldChar w:fldCharType="begin"/>
              <w:instrText xml:space="preserve"> PAGEREF _Toc230857077 \h </w:instrText>
              <w:fldChar w:fldCharType="separate"/>
              <w:t>81</w:t>
              <w:fldChar w:fldCharType="end"/>
            </w:r>
          </w:hyperlink>
        </w:p>
        <w:p w14:paraId="02AA51F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78" w:history="1">
            <w:r>
              <w:rPr>
                <w:rStyle w:val="Hyperlink"/>
                <w:noProof/>
              </w:rPr>
              <w:t>4.2.</w:t>
            </w:r>
            <w:r>
              <w:rPr>
                <w:rFonts w:asciiTheme="minorHAnsi" w:eastAsiaTheme="minorEastAsia" w:hAnsiTheme="minorHAnsi" w:cstheme="minorBidi"/>
                <w:noProof/>
                <w:lang w:val="pt-BR" w:eastAsia="pt-BR"/>
              </w:rPr>
              <w:tab/>
            </w:r>
            <w:r>
              <w:rPr>
                <w:rStyle w:val="Hyperlink"/>
                <w:noProof/>
              </w:rPr>
              <w:t xml:space="preserve">Resultados do Backtest </w:t>
            </w:r>
            <w:r>
              <w:rPr>
                <w:rStyle w:val="Hyperlink"/>
                <w:i/>
                <w:iCs/>
                <w:noProof/>
              </w:rPr>
              <w:t>Out-of-Sample</w:t>
            </w:r>
            <w:r>
              <w:rPr>
                <w:rStyle w:val="Hyperlink"/>
                <w:noProof/>
              </w:rPr>
              <w:t xml:space="preserve"> (2015–2025)Caracterização da Amostra Final</w:t>
            </w:r>
            <w:r>
              <w:rPr>
                <w:noProof/>
                <w:webHidden/>
              </w:rPr>
              <w:tab/>
              <w:fldChar w:fldCharType="begin"/>
              <w:instrText xml:space="preserve"> PAGEREF _Toc230857078 \h </w:instrText>
              <w:fldChar w:fldCharType="separate"/>
              <w:t>81</w:t>
              <w:fldChar w:fldCharType="end"/>
            </w:r>
          </w:hyperlink>
        </w:p>
        <w:p w14:paraId="5B162D9E"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79" w:history="1">
            <w:r>
              <w:rPr>
                <w:rStyle w:val="Hyperlink"/>
                <w:noProof/>
              </w:rPr>
              <w:t>4.2.1.</w:t>
            </w:r>
            <w:r>
              <w:rPr>
                <w:rFonts w:asciiTheme="minorHAnsi" w:eastAsiaTheme="minorEastAsia" w:hAnsiTheme="minorHAnsi" w:cstheme="minorBidi"/>
                <w:noProof/>
                <w:lang w:val="pt-BR" w:eastAsia="pt-BR"/>
              </w:rPr>
              <w:tab/>
            </w:r>
            <w:r>
              <w:rPr>
                <w:rStyle w:val="Hyperlink"/>
                <w:noProof/>
              </w:rPr>
              <w:t>Estratégia 1 — Mínima Variância Global com L1</w:t>
            </w:r>
            <w:r>
              <w:rPr>
                <w:noProof/>
                <w:webHidden/>
              </w:rPr>
              <w:tab/>
              <w:fldChar w:fldCharType="begin"/>
              <w:instrText xml:space="preserve"> PAGEREF _Toc230857079 \h </w:instrText>
              <w:fldChar w:fldCharType="separate"/>
              <w:t>82</w:t>
              <w:fldChar w:fldCharType="end"/>
            </w:r>
          </w:hyperlink>
        </w:p>
        <w:p w14:paraId="7CE0E089"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0" w:history="1">
            <w:r>
              <w:rPr>
                <w:rStyle w:val="Hyperlink"/>
                <w:noProof/>
              </w:rPr>
              <w:t>4.2.2.</w:t>
            </w:r>
            <w:r>
              <w:rPr>
                <w:rFonts w:asciiTheme="minorHAnsi" w:eastAsiaTheme="minorEastAsia" w:hAnsiTheme="minorHAnsi" w:cstheme="minorBidi"/>
                <w:noProof/>
                <w:lang w:val="pt-BR" w:eastAsia="pt-BR"/>
              </w:rPr>
              <w:tab/>
            </w:r>
            <w:r>
              <w:rPr>
                <w:rStyle w:val="Hyperlink"/>
                <w:noProof/>
              </w:rPr>
              <w:t>Estratégia 2 — Máximo Índice de Sharpe com L1</w:t>
            </w:r>
            <w:r>
              <w:rPr>
                <w:noProof/>
                <w:webHidden/>
              </w:rPr>
              <w:tab/>
              <w:fldChar w:fldCharType="begin"/>
              <w:instrText xml:space="preserve"> PAGEREF _Toc230857080 \h </w:instrText>
              <w:fldChar w:fldCharType="separate"/>
              <w:t>83</w:t>
              <w:fldChar w:fldCharType="end"/>
            </w:r>
          </w:hyperlink>
        </w:p>
        <w:p w14:paraId="5A12EC51"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1" w:history="1">
            <w:r>
              <w:rPr>
                <w:rStyle w:val="Hyperlink"/>
                <w:noProof/>
              </w:rPr>
              <w:t>4.2.3.</w:t>
            </w:r>
            <w:r>
              <w:rPr>
                <w:rFonts w:asciiTheme="minorHAnsi" w:eastAsiaTheme="minorEastAsia" w:hAnsiTheme="minorHAnsi" w:cstheme="minorBidi"/>
                <w:noProof/>
                <w:lang w:val="pt-BR" w:eastAsia="pt-BR"/>
              </w:rPr>
              <w:tab/>
            </w:r>
            <w:r>
              <w:rPr>
                <w:rStyle w:val="Hyperlink"/>
                <w:noProof/>
              </w:rPr>
              <w:t>Estratégia 2 — Máximo Índice de Sharpe com L1</w:t>
            </w:r>
            <w:r>
              <w:rPr>
                <w:noProof/>
                <w:webHidden/>
              </w:rPr>
              <w:tab/>
              <w:fldChar w:fldCharType="begin"/>
              <w:instrText xml:space="preserve"> PAGEREF _Toc230857081 \h </w:instrText>
              <w:fldChar w:fldCharType="separate"/>
              <w:t>84</w:t>
              <w:fldChar w:fldCharType="end"/>
            </w:r>
          </w:hyperlink>
        </w:p>
        <w:p w14:paraId="2300C5B4"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82" w:history="1">
            <w:r>
              <w:rPr>
                <w:rStyle w:val="Hyperlink"/>
                <w:noProof/>
              </w:rPr>
              <w:t>4.3.</w:t>
            </w:r>
            <w:r>
              <w:rPr>
                <w:rFonts w:asciiTheme="minorHAnsi" w:eastAsiaTheme="minorEastAsia" w:hAnsiTheme="minorHAnsi" w:cstheme="minorBidi"/>
                <w:noProof/>
                <w:lang w:val="pt-BR" w:eastAsia="pt-BR"/>
              </w:rPr>
              <w:tab/>
            </w:r>
            <w:r>
              <w:rPr>
                <w:rStyle w:val="Hyperlink"/>
                <w:noProof/>
              </w:rPr>
              <w:t>Análise Comparativa entre Estratégias</w:t>
            </w:r>
            <w:r>
              <w:rPr>
                <w:noProof/>
                <w:webHidden/>
              </w:rPr>
              <w:tab/>
              <w:fldChar w:fldCharType="begin"/>
              <w:instrText xml:space="preserve"> PAGEREF _Toc230857082 \h </w:instrText>
              <w:fldChar w:fldCharType="separate"/>
              <w:t>84</w:t>
              <w:fldChar w:fldCharType="end"/>
            </w:r>
          </w:hyperlink>
        </w:p>
        <w:p w14:paraId="6FAD61E7"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3" w:history="1">
            <w:r>
              <w:rPr>
                <w:rStyle w:val="Hyperlink"/>
                <w:noProof/>
              </w:rPr>
              <w:t>4.3.1.</w:t>
            </w:r>
            <w:r>
              <w:rPr>
                <w:rFonts w:asciiTheme="minorHAnsi" w:eastAsiaTheme="minorEastAsia" w:hAnsiTheme="minorHAnsi" w:cstheme="minorBidi"/>
                <w:noProof/>
                <w:lang w:val="pt-BR" w:eastAsia="pt-BR"/>
              </w:rPr>
              <w:tab/>
            </w:r>
            <w:r>
              <w:rPr>
                <w:rStyle w:val="Hyperlink"/>
                <w:noProof/>
              </w:rPr>
              <w:t>Tabela Unificada de Desempenho</w:t>
            </w:r>
            <w:r>
              <w:rPr>
                <w:noProof/>
                <w:webHidden/>
              </w:rPr>
              <w:tab/>
              <w:fldChar w:fldCharType="begin"/>
              <w:instrText xml:space="preserve"> PAGEREF _Toc230857083 \h </w:instrText>
              <w:fldChar w:fldCharType="separate"/>
              <w:t>84</w:t>
              <w:fldChar w:fldCharType="end"/>
            </w:r>
          </w:hyperlink>
        </w:p>
        <w:p w14:paraId="6991E11D"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4" w:history="1">
            <w:r>
              <w:rPr>
                <w:rStyle w:val="Hyperlink"/>
                <w:noProof/>
              </w:rPr>
              <w:t>4.3.2.</w:t>
            </w:r>
            <w:r>
              <w:rPr>
                <w:rFonts w:asciiTheme="minorHAnsi" w:eastAsiaTheme="minorEastAsia" w:hAnsiTheme="minorHAnsi" w:cstheme="minorBidi"/>
                <w:noProof/>
                <w:lang w:val="pt-BR" w:eastAsia="pt-BR"/>
              </w:rPr>
              <w:tab/>
            </w:r>
            <w:r>
              <w:rPr>
                <w:rStyle w:val="Hyperlink"/>
                <w:noProof/>
              </w:rPr>
              <w:t>Hierarquia de Desempenho e o Paradoxo da Complexidade</w:t>
            </w:r>
            <w:r>
              <w:rPr>
                <w:noProof/>
                <w:webHidden/>
              </w:rPr>
              <w:tab/>
              <w:fldChar w:fldCharType="begin"/>
              <w:instrText xml:space="preserve"> PAGEREF _Toc230857084 \h </w:instrText>
              <w:fldChar w:fldCharType="separate"/>
              <w:t>85</w:t>
              <w:fldChar w:fldCharType="end"/>
            </w:r>
          </w:hyperlink>
        </w:p>
        <w:p w14:paraId="1C75FBAA"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5" w:history="1">
            <w:r>
              <w:rPr>
                <w:rStyle w:val="Hyperlink"/>
                <w:noProof/>
              </w:rPr>
              <w:t>4.3.3.</w:t>
            </w:r>
            <w:r>
              <w:rPr>
                <w:rFonts w:asciiTheme="minorHAnsi" w:eastAsiaTheme="minorEastAsia" w:hAnsiTheme="minorHAnsi" w:cstheme="minorBidi"/>
                <w:noProof/>
                <w:lang w:val="pt-BR" w:eastAsia="pt-BR"/>
              </w:rPr>
              <w:tab/>
            </w:r>
            <w:r>
              <w:rPr>
                <w:rStyle w:val="Hyperlink"/>
                <w:noProof/>
              </w:rPr>
              <w:r>
                <w:rPr>
                  <w:color w:val="000000"/>
                  <w:sz w:val="24"/>
                  <w:szCs w:val="24"/>
                  <w:lang w:val="pt-BR" w:eastAsia="pt-BR"/>
                </w:rPr>
                <w:t>Análise do Desempenho do Black-Litterman com Momentum 12-1</w:t>
              </w:r>
            </w:r>
            <w:r>
              <w:rPr>
                <w:noProof/>
                <w:webHidden/>
              </w:rPr>
              <w:tab/>
              <w:fldChar w:fldCharType="begin"/>
              <w:instrText xml:space="preserve"> PAGEREF _Toc230857085 \h </w:instrText>
              <w:fldChar w:fldCharType="separate"/>
              <w:t>85</w:t>
              <w:fldChar w:fldCharType="end"/>
            </w:r>
          </w:hyperlink>
        </w:p>
        <w:p w14:paraId="75447256"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86" w:history="1">
            <w:r>
              <w:rPr>
                <w:rStyle w:val="Hyperlink"/>
                <w:noProof/>
              </w:rPr>
              <w:t>4.3.4.</w:t>
            </w:r>
            <w:r>
              <w:rPr>
                <w:rFonts w:asciiTheme="minorHAnsi" w:eastAsiaTheme="minorEastAsia" w:hAnsiTheme="minorHAnsi" w:cstheme="minorBidi"/>
                <w:noProof/>
                <w:lang w:val="pt-BR" w:eastAsia="pt-BR"/>
              </w:rPr>
              <w:tab/>
            </w:r>
            <w:r>
              <w:rPr>
                <w:rStyle w:val="Hyperlink"/>
                <w:noProof/>
              </w:rPr>
              <w:t>Interpretação à Luz do Referencial Teórico</w:t>
            </w:r>
            <w:r>
              <w:rPr>
                <w:noProof/>
                <w:webHidden/>
              </w:rPr>
              <w:tab/>
              <w:fldChar w:fldCharType="begin"/>
              <w:instrText xml:space="preserve"> PAGEREF _Toc230857086 \h </w:instrText>
              <w:fldChar w:fldCharType="separate"/>
              <w:t>86</w:t>
              <w:fldChar w:fldCharType="end"/>
            </w:r>
          </w:hyperlink>
        </w:p>
        <w:p w14:paraId="5DE3355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87" w:history="1">
            <w:r>
              <w:rPr>
                <w:rStyle w:val="Hyperlink"/>
                <w:noProof/>
              </w:rPr>
              <w:t>4.4.</w:t>
            </w:r>
            <w:r>
              <w:rPr>
                <w:rFonts w:asciiTheme="minorHAnsi" w:eastAsiaTheme="minorEastAsia" w:hAnsiTheme="minorHAnsi" w:cstheme="minorBidi"/>
                <w:noProof/>
                <w:lang w:val="pt-BR" w:eastAsia="pt-BR"/>
              </w:rPr>
              <w:tab/>
            </w:r>
            <w:r>
              <w:rPr>
                <w:rStyle w:val="Hyperlink"/>
                <w:noProof/>
              </w:rPr>
              <w:t>l</w:t>
            </w:r>
            <w:r>
              <w:rPr>
                <w:noProof/>
                <w:webHidden/>
              </w:rPr>
              <w:tab/>
              <w:fldChar w:fldCharType="begin"/>
              <w:instrText xml:space="preserve"> PAGEREF _Toc230857087 \h </w:instrText>
              <w:fldChar w:fldCharType="separate"/>
              <w:t>87</w:t>
              <w:fldChar w:fldCharType="end"/>
            </w:r>
          </w:hyperlink>
        </w:p>
        <w:p w14:paraId="708149CD"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7088" w:history="1">
            <w:r>
              <w:rPr>
                <w:rStyle w:val="Hyperlink"/>
                <w:noProof/>
                <w:w w:val="99"/>
              </w:rPr>
              <w:t>5.</w:t>
            </w:r>
            <w:r>
              <w:rPr>
                <w:rFonts w:asciiTheme="minorHAnsi" w:eastAsiaTheme="minorEastAsia" w:hAnsiTheme="minorHAnsi" w:cstheme="minorBidi"/>
                <w:noProof/>
                <w:lang w:val="pt-BR" w:eastAsia="pt-BR"/>
              </w:rPr>
              <w:tab/>
            </w:r>
            <w:r>
              <w:rPr>
                <w:rStyle w:val="Hyperlink"/>
                <w:noProof/>
              </w:rPr>
              <w:t>CAPÍTULO 5 — CONCLUSÃO</w:t>
            </w:r>
            <w:r>
              <w:rPr>
                <w:noProof/>
                <w:webHidden/>
              </w:rPr>
              <w:tab/>
              <w:fldChar w:fldCharType="begin"/>
              <w:instrText xml:space="preserve"> PAGEREF _Toc230857088 \h </w:instrText>
              <w:fldChar w:fldCharType="separate"/>
              <w:t>88</w:t>
              <w:fldChar w:fldCharType="end"/>
            </w:r>
          </w:hyperlink>
        </w:p>
        <w:p w14:paraId="2AF93476"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89" w:history="1">
            <w:r>
              <w:rPr>
                <w:rStyle w:val="Hyperlink"/>
                <w:noProof/>
              </w:rPr>
              <w:t>5.1.</w:t>
            </w:r>
            <w:r>
              <w:rPr>
                <w:rFonts w:asciiTheme="minorHAnsi" w:eastAsiaTheme="minorEastAsia" w:hAnsiTheme="minorHAnsi" w:cstheme="minorBidi"/>
                <w:noProof/>
                <w:lang w:val="pt-BR" w:eastAsia="pt-BR"/>
              </w:rPr>
              <w:tab/>
            </w:r>
            <w:r>
              <w:rPr>
                <w:rStyle w:val="Hyperlink"/>
                <w:noProof/>
              </w:rPr>
              <w:t>Retomada da Questão de Pesquisa</w:t>
            </w:r>
            <w:r>
              <w:rPr>
                <w:noProof/>
                <w:webHidden/>
              </w:rPr>
              <w:tab/>
              <w:fldChar w:fldCharType="begin"/>
              <w:instrText xml:space="preserve"> PAGEREF _Toc230857089 \h </w:instrText>
              <w:fldChar w:fldCharType="separate"/>
              <w:t>88</w:t>
              <w:fldChar w:fldCharType="end"/>
            </w:r>
          </w:hyperlink>
        </w:p>
        <w:p w14:paraId="355E576D"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0" w:history="1">
            <w:r>
              <w:rPr>
                <w:rStyle w:val="Hyperlink"/>
                <w:noProof/>
              </w:rPr>
              <w:t>5.2.</w:t>
            </w:r>
            <w:r>
              <w:rPr>
                <w:rFonts w:asciiTheme="minorHAnsi" w:eastAsiaTheme="minorEastAsia" w:hAnsiTheme="minorHAnsi" w:cstheme="minorBidi"/>
                <w:noProof/>
                <w:lang w:val="pt-BR" w:eastAsia="pt-BR"/>
              </w:rPr>
              <w:tab/>
            </w:r>
            <w:r>
              <w:rPr>
                <w:rStyle w:val="Hyperlink"/>
                <w:noProof/>
              </w:rPr>
              <w:t>Síntese dos Resultados</w:t>
            </w:r>
            <w:r>
              <w:rPr>
                <w:noProof/>
                <w:webHidden/>
              </w:rPr>
              <w:tab/>
              <w:fldChar w:fldCharType="begin"/>
              <w:instrText xml:space="preserve"> PAGEREF _Toc230857090 \h </w:instrText>
              <w:fldChar w:fldCharType="separate"/>
              <w:t>88</w:t>
              <w:fldChar w:fldCharType="end"/>
            </w:r>
          </w:hyperlink>
        </w:p>
        <w:p w14:paraId="7F4CD227"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1" w:history="1">
            <w:r>
              <w:rPr>
                <w:rStyle w:val="Hyperlink"/>
                <w:noProof/>
              </w:rPr>
              <w:t>5.3.</w:t>
            </w:r>
            <w:r>
              <w:rPr>
                <w:rFonts w:asciiTheme="minorHAnsi" w:eastAsiaTheme="minorEastAsia" w:hAnsiTheme="minorHAnsi" w:cstheme="minorBidi"/>
                <w:noProof/>
                <w:lang w:val="pt-BR" w:eastAsia="pt-BR"/>
              </w:rPr>
              <w:tab/>
            </w:r>
            <w:r>
              <w:rPr>
                <w:rStyle w:val="Hyperlink"/>
                <w:noProof/>
              </w:rPr>
              <w:t>Contribuições do Estudo</w:t>
            </w:r>
            <w:r>
              <w:rPr>
                <w:noProof/>
                <w:webHidden/>
              </w:rPr>
              <w:tab/>
              <w:fldChar w:fldCharType="begin"/>
              <w:instrText xml:space="preserve"> PAGEREF _Toc230857091 \h </w:instrText>
              <w:fldChar w:fldCharType="separate"/>
              <w:t>89</w:t>
              <w:fldChar w:fldCharType="end"/>
            </w:r>
          </w:hyperlink>
        </w:p>
        <w:p w14:paraId="41270F0A"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92" w:history="1">
            <w:r>
              <w:rPr>
                <w:rStyle w:val="Hyperlink"/>
                <w:noProof/>
              </w:rPr>
              <w:t>5.3.1.</w:t>
            </w:r>
            <w:r>
              <w:rPr>
                <w:rFonts w:asciiTheme="minorHAnsi" w:eastAsiaTheme="minorEastAsia" w:hAnsiTheme="minorHAnsi" w:cstheme="minorBidi"/>
                <w:noProof/>
                <w:lang w:val="pt-BR" w:eastAsia="pt-BR"/>
              </w:rPr>
              <w:tab/>
            </w:r>
            <w:r>
              <w:rPr>
                <w:rStyle w:val="Hyperlink"/>
                <w:noProof/>
              </w:rPr>
              <w:t>Confirmação Empírica no Mercado Brasileiro</w:t>
            </w:r>
            <w:r>
              <w:rPr>
                <w:noProof/>
                <w:webHidden/>
              </w:rPr>
              <w:tab/>
              <w:fldChar w:fldCharType="begin"/>
              <w:instrText xml:space="preserve"> PAGEREF _Toc230857092 \h </w:instrText>
              <w:fldChar w:fldCharType="separate"/>
              <w:t>89</w:t>
              <w:fldChar w:fldCharType="end"/>
            </w:r>
          </w:hyperlink>
        </w:p>
        <w:p w14:paraId="1278C9A1"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93" w:history="1">
            <w:r>
              <w:rPr>
                <w:rStyle w:val="Hyperlink"/>
                <w:noProof/>
              </w:rPr>
              <w:t>5.3.2.</w:t>
            </w:r>
            <w:r>
              <w:rPr>
                <w:rFonts w:asciiTheme="minorHAnsi" w:eastAsiaTheme="minorEastAsia" w:hAnsiTheme="minorHAnsi" w:cstheme="minorBidi"/>
                <w:noProof/>
                <w:lang w:val="pt-BR" w:eastAsia="pt-BR"/>
              </w:rPr>
              <w:tab/>
            </w:r>
            <w:r>
              <w:rPr>
                <w:rStyle w:val="Hyperlink"/>
                <w:noProof/>
              </w:rPr>
              <w:t>Implicação Prática para Gestão de Portfólios</w:t>
            </w:r>
            <w:r>
              <w:rPr>
                <w:noProof/>
                <w:webHidden/>
              </w:rPr>
              <w:tab/>
              <w:fldChar w:fldCharType="begin"/>
              <w:instrText xml:space="preserve"> PAGEREF _Toc230857093 \h </w:instrText>
              <w:fldChar w:fldCharType="separate"/>
              <w:t>89</w:t>
              <w:fldChar w:fldCharType="end"/>
            </w:r>
          </w:hyperlink>
        </w:p>
        <w:p w14:paraId="3EDBD48B" w14:textId="77777777" w:rsidR="00FE3CE2" w:rsidRDefault="00000000">
          <w:pPr>
            <w:pStyle w:val="Sumrio3"/>
            <w:tabs>
              <w:tab w:val="left" w:pos="1200"/>
              <w:tab w:val="right" w:leader="dot" w:pos="8494"/>
            </w:tabs>
            <w:rPr>
              <w:rFonts w:asciiTheme="minorHAnsi" w:eastAsiaTheme="minorEastAsia" w:hAnsiTheme="minorHAnsi" w:cstheme="minorBidi"/>
              <w:noProof/>
              <w:lang w:val="pt-BR" w:eastAsia="pt-BR"/>
            </w:rPr>
          </w:pPr>
          <w:hyperlink w:anchor="_Toc230857094" w:history="1">
            <w:r>
              <w:rPr>
                <w:rStyle w:val="Hyperlink"/>
                <w:noProof/>
              </w:rPr>
              <w:t>5.3.3.</w:t>
            </w:r>
            <w:r>
              <w:rPr>
                <w:rFonts w:asciiTheme="minorHAnsi" w:eastAsiaTheme="minorEastAsia" w:hAnsiTheme="minorHAnsi" w:cstheme="minorBidi"/>
                <w:noProof/>
                <w:lang w:val="pt-BR" w:eastAsia="pt-BR"/>
              </w:rPr>
              <w:tab/>
            </w:r>
            <w:r>
              <w:rPr>
                <w:rStyle w:val="Hyperlink"/>
                <w:noProof/>
              </w:rPr>
              <w:t>Evidência sobre os Limites do Aprendizado de Máquina em Finanças</w:t>
            </w:r>
            <w:r>
              <w:rPr>
                <w:noProof/>
                <w:webHidden/>
              </w:rPr>
              <w:tab/>
              <w:fldChar w:fldCharType="begin"/>
              <w:instrText xml:space="preserve"> PAGEREF _Toc230857094 \h </w:instrText>
              <w:fldChar w:fldCharType="separate"/>
              <w:t>90</w:t>
              <w:fldChar w:fldCharType="end"/>
            </w:r>
          </w:hyperlink>
        </w:p>
        <w:p w14:paraId="1275B509"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5" w:history="1">
            <w:r>
              <w:rPr>
                <w:rStyle w:val="Hyperlink"/>
                <w:noProof/>
              </w:rPr>
              <w:t>5.4.</w:t>
            </w:r>
            <w:r>
              <w:rPr>
                <w:rFonts w:asciiTheme="minorHAnsi" w:eastAsiaTheme="minorEastAsia" w:hAnsiTheme="minorHAnsi" w:cstheme="minorBidi"/>
                <w:noProof/>
                <w:lang w:val="pt-BR" w:eastAsia="pt-BR"/>
              </w:rPr>
              <w:tab/>
            </w:r>
            <w:r>
              <w:rPr>
                <w:rStyle w:val="Hyperlink"/>
                <w:noProof/>
              </w:rPr>
              <w:t>Limitações do Estudo</w:t>
            </w:r>
            <w:r>
              <w:rPr>
                <w:noProof/>
                <w:webHidden/>
              </w:rPr>
              <w:tab/>
              <w:fldChar w:fldCharType="begin"/>
              <w:instrText xml:space="preserve"> PAGEREF _Toc230857095 \h </w:instrText>
              <w:fldChar w:fldCharType="separate"/>
              <w:t>90</w:t>
              <w:fldChar w:fldCharType="end"/>
            </w:r>
          </w:hyperlink>
        </w:p>
        <w:p w14:paraId="48AEDA4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6" w:history="1">
            <w:r>
              <w:rPr>
                <w:rStyle w:val="Hyperlink"/>
                <w:noProof/>
              </w:rPr>
              <w:t>5.5.</w:t>
            </w:r>
            <w:r>
              <w:rPr>
                <w:rFonts w:asciiTheme="minorHAnsi" w:eastAsiaTheme="minorEastAsia" w:hAnsiTheme="minorHAnsi" w:cstheme="minorBidi"/>
                <w:noProof/>
                <w:lang w:val="pt-BR" w:eastAsia="pt-BR"/>
              </w:rPr>
              <w:tab/>
            </w:r>
            <w:r>
              <w:rPr>
                <w:rStyle w:val="Hyperlink"/>
                <w:noProof/>
              </w:rPr>
              <w:t>Sugestões para Pesquisas Futuras</w:t>
            </w:r>
            <w:r>
              <w:rPr>
                <w:noProof/>
                <w:webHidden/>
              </w:rPr>
              <w:tab/>
              <w:fldChar w:fldCharType="begin"/>
              <w:instrText xml:space="preserve"> PAGEREF _Toc230857096 \h </w:instrText>
              <w:fldChar w:fldCharType="separate"/>
              <w:t>92</w:t>
              <w:fldChar w:fldCharType="end"/>
            </w:r>
          </w:hyperlink>
        </w:p>
        <w:p w14:paraId="76F7F475"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097" w:history="1">
            <w:r>
              <w:rPr>
                <w:rStyle w:val="Hyperlink"/>
                <w:noProof/>
              </w:rPr>
              <w:t>5.6.</w:t>
            </w:r>
            <w:r>
              <w:rPr>
                <w:rFonts w:asciiTheme="minorHAnsi" w:eastAsiaTheme="minorEastAsia" w:hAnsiTheme="minorHAnsi" w:cstheme="minorBidi"/>
                <w:noProof/>
                <w:lang w:val="pt-BR" w:eastAsia="pt-BR"/>
              </w:rPr>
              <w:tab/>
            </w:r>
            <w:r>
              <w:rPr>
                <w:rStyle w:val="Hyperlink"/>
                <w:noProof/>
              </w:rPr>
              <w:t>Considerações Finais</w:t>
            </w:r>
            <w:r>
              <w:rPr>
                <w:noProof/>
                <w:webHidden/>
              </w:rPr>
              <w:tab/>
              <w:fldChar w:fldCharType="begin"/>
              <w:instrText xml:space="preserve"> PAGEREF _Toc230857097 \h </w:instrText>
              <w:fldChar w:fldCharType="separate"/>
              <w:t>93</w:t>
              <w:fldChar w:fldCharType="end"/>
            </w:r>
          </w:hyperlink>
        </w:p>
        <w:p w14:paraId="216A2E95" w14:textId="77777777" w:rsidR="00FE3CE2" w:rsidRDefault="00000000">
          <w:pPr>
            <w:pStyle w:val="Sumrio1"/>
            <w:tabs>
              <w:tab w:val="left" w:pos="440"/>
              <w:tab w:val="right" w:leader="dot" w:pos="8494"/>
            </w:tabs>
            <w:rPr>
              <w:rFonts w:asciiTheme="minorHAnsi" w:eastAsiaTheme="minorEastAsia" w:hAnsiTheme="minorHAnsi" w:cstheme="minorBidi"/>
              <w:noProof/>
              <w:lang w:val="pt-BR" w:eastAsia="pt-BR"/>
            </w:rPr>
          </w:pPr>
          <w:hyperlink w:anchor="_Toc230857098" w:history="1">
            <w:r>
              <w:rPr>
                <w:rStyle w:val="Hyperlink"/>
                <w:noProof/>
                <w:w w:val="99"/>
              </w:rPr>
              <w:t>6.</w:t>
            </w:r>
            <w:r>
              <w:rPr>
                <w:rFonts w:asciiTheme="minorHAnsi" w:eastAsiaTheme="minorEastAsia" w:hAnsiTheme="minorHAnsi" w:cstheme="minorBidi"/>
                <w:noProof/>
                <w:lang w:val="pt-BR" w:eastAsia="pt-BR"/>
              </w:rPr>
              <w:tab/>
            </w:r>
            <w:r>
              <w:rPr>
                <w:rStyle w:val="Hyperlink"/>
                <w:noProof/>
              </w:rPr>
              <w:t>REFERÊNCIAS</w:t>
            </w:r>
            <w:r>
              <w:rPr>
                <w:noProof/>
                <w:webHidden/>
              </w:rPr>
              <w:tab/>
              <w:fldChar w:fldCharType="begin"/>
              <w:instrText xml:space="preserve"> PAGEREF _Toc230857098 \h </w:instrText>
              <w:fldChar w:fldCharType="separate"/>
              <w:t>94</w:t>
              <w:fldChar w:fldCharType="end"/>
            </w:r>
          </w:hyperlink>
        </w:p>
        <w:p w14:paraId="0189CA32" w14:textId="77777777" w:rsidR="00FE3CE2" w:rsidRDefault="00000000">
          <w:pPr>
            <w:pStyle w:val="Sumrio1"/>
            <w:tabs>
              <w:tab w:val="right" w:leader="dot" w:pos="8494"/>
            </w:tabs>
            <w:rPr>
              <w:rFonts w:asciiTheme="minorHAnsi" w:eastAsiaTheme="minorEastAsia" w:hAnsiTheme="minorHAnsi" w:cstheme="minorBidi"/>
              <w:noProof/>
              <w:lang w:val="pt-BR" w:eastAsia="pt-BR"/>
            </w:rPr>
          </w:pPr>
          <w:hyperlink w:anchor="_Toc230857099" w:history="1">
            <w:r>
              <w:rPr>
                <w:rStyle w:val="Hyperlink"/>
                <w:noProof/>
              </w:rPr>
              <w:t>CRONOGRAMA</w:t>
            </w:r>
            <w:r>
              <w:rPr>
                <w:noProof/>
                <w:webHidden/>
              </w:rPr>
              <w:tab/>
              <w:fldChar w:fldCharType="begin"/>
              <w:instrText xml:space="preserve"> PAGEREF _Toc230857099 \h </w:instrText>
              <w:fldChar w:fldCharType="separate"/>
              <w:t>97</w:t>
              <w:fldChar w:fldCharType="end"/>
            </w:r>
          </w:hyperlink>
        </w:p>
        <w:p w14:paraId="1E1E9F42" w14:textId="77777777" w:rsidR="00FE3CE2" w:rsidRDefault="00000000">
          <w:pPr>
            <w:pStyle w:val="Sumrio1"/>
            <w:tabs>
              <w:tab w:val="right" w:leader="dot" w:pos="8494"/>
            </w:tabs>
            <w:rPr>
              <w:rFonts w:asciiTheme="minorHAnsi" w:eastAsiaTheme="minorEastAsia" w:hAnsiTheme="minorHAnsi" w:cstheme="minorBidi"/>
              <w:noProof/>
              <w:lang w:val="pt-BR" w:eastAsia="pt-BR"/>
            </w:rPr>
          </w:pPr>
          <w:hyperlink w:anchor="_Toc230857100" w:history="1">
            <w:r>
              <w:rPr>
                <w:rStyle w:val="Hyperlink"/>
                <w:b/>
                <w:noProof/>
                <w:lang w:val="en-US"/>
              </w:rPr>
              <w:t>APENDICES</w:t>
            </w:r>
            <w:r>
              <w:rPr>
                <w:noProof/>
                <w:webHidden/>
              </w:rPr>
              <w:tab/>
              <w:fldChar w:fldCharType="begin"/>
              <w:instrText xml:space="preserve"> PAGEREF _Toc230857100 \h </w:instrText>
              <w:fldChar w:fldCharType="separate"/>
              <w:t>98</w:t>
              <w:fldChar w:fldCharType="end"/>
            </w:r>
          </w:hyperlink>
        </w:p>
        <w:p w14:paraId="17D05835" w14:textId="77777777" w:rsidR="00FE3CE2" w:rsidRDefault="00000000">
          <w:pPr>
            <w:pStyle w:val="Sumrio2"/>
            <w:tabs>
              <w:tab w:val="left" w:pos="720"/>
              <w:tab w:val="right" w:leader="dot" w:pos="8494"/>
            </w:tabs>
            <w:rPr>
              <w:rFonts w:asciiTheme="minorHAnsi" w:eastAsiaTheme="minorEastAsia" w:hAnsiTheme="minorHAnsi" w:cstheme="minorBidi"/>
              <w:noProof/>
              <w:lang w:val="pt-BR" w:eastAsia="pt-BR"/>
            </w:rPr>
          </w:pPr>
          <w:hyperlink w:anchor="_Toc230857101" w:history="1">
            <w:r>
              <w:rPr>
                <w:rStyle w:val="Hyperlink"/>
                <w:b/>
                <w:noProof/>
                <w:lang w:val="pt-BR"/>
              </w:rPr>
              <w:t>I.</w:t>
            </w:r>
            <w:r>
              <w:rPr>
                <w:rFonts w:asciiTheme="minorHAnsi" w:eastAsiaTheme="minorEastAsia" w:hAnsiTheme="minorHAnsi" w:cstheme="minorBidi"/>
                <w:noProof/>
                <w:lang w:val="pt-BR" w:eastAsia="pt-BR"/>
              </w:rPr>
              <w:tab/>
            </w:r>
            <w:r>
              <w:rPr>
                <w:rStyle w:val="Hyperlink"/>
                <w:b/>
                <w:noProof/>
                <w:lang w:val="pt-BR"/>
              </w:rPr>
              <w:t>Apêndice A – Lista de Empresas Selecionadas</w:t>
            </w:r>
            <w:r>
              <w:rPr>
                <w:noProof/>
                <w:webHidden/>
              </w:rPr>
              <w:tab/>
              <w:fldChar w:fldCharType="begin"/>
              <w:instrText xml:space="preserve"> PAGEREF _Toc230857101 \h </w:instrText>
              <w:fldChar w:fldCharType="separate"/>
              <w:t>98</w:t>
              <w:fldChar w:fldCharType="end"/>
            </w:r>
          </w:hyperlink>
        </w:p>
        <w:p w14:paraId="2ED4B532" w14:textId="77777777" w:rsidR="00FE3CE2" w:rsidRDefault="00000000">
          <w:pPr>
            <w:pStyle w:val="Sumrio2"/>
            <w:tabs>
              <w:tab w:val="left" w:pos="720"/>
              <w:tab w:val="right" w:leader="dot" w:pos="8494"/>
            </w:tabs>
            <w:rPr>
              <w:rFonts w:asciiTheme="minorHAnsi" w:eastAsiaTheme="minorEastAsia" w:hAnsiTheme="minorHAnsi" w:cstheme="minorBidi"/>
              <w:noProof/>
              <w:lang w:val="pt-BR" w:eastAsia="pt-BR"/>
            </w:rPr>
          </w:pPr>
          <w:hyperlink w:anchor="_Toc230857102" w:history="1">
            <w:r>
              <w:rPr>
                <w:rStyle w:val="Hyperlink"/>
                <w:b/>
                <w:noProof/>
                <w:lang w:val="pt-BR"/>
              </w:rPr>
              <w:t>II.</w:t>
            </w:r>
            <w:r>
              <w:rPr>
                <w:rFonts w:asciiTheme="minorHAnsi" w:eastAsiaTheme="minorEastAsia" w:hAnsiTheme="minorHAnsi" w:cstheme="minorBidi"/>
                <w:noProof/>
                <w:lang w:val="pt-BR" w:eastAsia="pt-BR"/>
              </w:rPr>
              <w:tab/>
            </w:r>
            <w:r>
              <w:rPr>
                <w:rStyle w:val="Hyperlink"/>
                <w:b/>
                <w:noProof/>
              </w:rPr>
              <w:t>Apêndice B – Diretrizes Metodológicas de Higienização e Filtragem de Liquidez da Base de Cotações</w:t>
            </w:r>
            <w:r>
              <w:rPr>
                <w:noProof/>
                <w:webHidden/>
              </w:rPr>
              <w:tab/>
              <w:fldChar w:fldCharType="begin"/>
              <w:instrText xml:space="preserve"> PAGEREF _Toc230857102 \h </w:instrText>
              <w:fldChar w:fldCharType="separate"/>
              <w:t>102</w:t>
              <w:fldChar w:fldCharType="end"/>
            </w:r>
          </w:hyperlink>
        </w:p>
        <w:p w14:paraId="31380962"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3" w:history="1">
            <w:r>
              <w:rPr>
                <w:rStyle w:val="Hyperlink"/>
                <w:b/>
                <w:noProof/>
                <w:lang w:val="pt-BR"/>
              </w:rPr>
              <w:t>III.</w:t>
            </w:r>
            <w:r>
              <w:rPr>
                <w:rFonts w:asciiTheme="minorHAnsi" w:eastAsiaTheme="minorEastAsia" w:hAnsiTheme="minorHAnsi" w:cstheme="minorBidi"/>
                <w:noProof/>
                <w:lang w:val="pt-BR" w:eastAsia="pt-BR"/>
              </w:rPr>
              <w:tab/>
            </w:r>
            <w:r>
              <w:rPr>
                <w:rStyle w:val="Hyperlink"/>
                <w:b/>
                <w:noProof/>
              </w:rPr>
              <w:t>Apêndice C – Transformação Vetorial da Matriz de Cotações em Séries de Retornos Financeiros</w:t>
            </w:r>
            <w:r>
              <w:rPr>
                <w:noProof/>
                <w:webHidden/>
              </w:rPr>
              <w:tab/>
              <w:fldChar w:fldCharType="begin"/>
              <w:instrText xml:space="preserve"> PAGEREF _Toc230857103 \h </w:instrText>
              <w:fldChar w:fldCharType="separate"/>
              <w:t>104</w:t>
              <w:fldChar w:fldCharType="end"/>
            </w:r>
          </w:hyperlink>
        </w:p>
        <w:p w14:paraId="4DCCB800"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4" w:history="1">
            <w:r>
              <w:rPr>
                <w:rStyle w:val="Hyperlink"/>
                <w:b/>
                <w:noProof/>
                <w:lang w:val="pt-BR"/>
              </w:rPr>
              <w:t>IV.</w:t>
            </w:r>
            <w:r>
              <w:rPr>
                <w:rFonts w:asciiTheme="minorHAnsi" w:eastAsiaTheme="minorEastAsia" w:hAnsiTheme="minorHAnsi" w:cstheme="minorBidi"/>
                <w:noProof/>
                <w:lang w:val="pt-BR" w:eastAsia="pt-BR"/>
              </w:rPr>
              <w:tab/>
            </w:r>
            <w:r>
              <w:rPr>
                <w:rStyle w:val="Hyperlink"/>
                <w:b/>
                <w:noProof/>
              </w:rPr>
              <w:t>Apêndice D – Consolidação da Base Mestre e Tratamento do Viés de Antecipação</w:t>
            </w:r>
            <w:r>
              <w:rPr>
                <w:noProof/>
                <w:webHidden/>
              </w:rPr>
              <w:tab/>
              <w:fldChar w:fldCharType="begin"/>
              <w:instrText xml:space="preserve"> PAGEREF _Toc230857104 \h </w:instrText>
              <w:fldChar w:fldCharType="separate"/>
              <w:t>105</w:t>
              <w:fldChar w:fldCharType="end"/>
            </w:r>
          </w:hyperlink>
        </w:p>
        <w:p w14:paraId="41BBAD75" w14:textId="77777777" w:rsidR="00FE3CE2" w:rsidRDefault="00000000">
          <w:pPr>
            <w:pStyle w:val="Sumrio2"/>
            <w:tabs>
              <w:tab w:val="left" w:pos="720"/>
              <w:tab w:val="right" w:leader="dot" w:pos="8494"/>
            </w:tabs>
            <w:rPr>
              <w:rFonts w:asciiTheme="minorHAnsi" w:eastAsiaTheme="minorEastAsia" w:hAnsiTheme="minorHAnsi" w:cstheme="minorBidi"/>
              <w:noProof/>
              <w:lang w:val="pt-BR" w:eastAsia="pt-BR"/>
            </w:rPr>
          </w:pPr>
          <w:hyperlink w:anchor="_Toc230857105" w:history="1">
            <w:r>
              <w:rPr>
                <w:rStyle w:val="Hyperlink"/>
                <w:b/>
                <w:noProof/>
                <w:lang w:val="pt-BR"/>
              </w:rPr>
              <w:t>V.</w:t>
            </w:r>
            <w:r>
              <w:rPr>
                <w:rFonts w:asciiTheme="minorHAnsi" w:eastAsiaTheme="minorEastAsia" w:hAnsiTheme="minorHAnsi" w:cstheme="minorBidi"/>
                <w:noProof/>
                <w:lang w:val="pt-BR" w:eastAsia="pt-BR"/>
              </w:rPr>
              <w:tab/>
            </w:r>
            <w:r>
              <w:rPr>
                <w:rStyle w:val="Hyperlink"/>
                <w:b/>
                <w:noProof/>
              </w:rPr>
              <w:t>Apêndice E – Derivação Do Prémio De Risco E Estabelecimento Dos Retornos Em Excesso</w:t>
            </w:r>
            <w:r>
              <w:rPr>
                <w:noProof/>
                <w:webHidden/>
              </w:rPr>
              <w:tab/>
              <w:fldChar w:fldCharType="begin"/>
              <w:instrText xml:space="preserve"> PAGEREF _Toc230857105 \h </w:instrText>
              <w:fldChar w:fldCharType="separate"/>
              <w:t>106</w:t>
              <w:fldChar w:fldCharType="end"/>
            </w:r>
          </w:hyperlink>
        </w:p>
        <w:p w14:paraId="57FA2E61"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6" w:history="1">
            <w:r>
              <w:rPr>
                <w:rStyle w:val="Hyperlink"/>
                <w:b/>
                <w:noProof/>
                <w:lang w:val="pt-BR"/>
              </w:rPr>
              <w:t>VI.</w:t>
            </w:r>
            <w:r>
              <w:rPr>
                <w:rFonts w:asciiTheme="minorHAnsi" w:eastAsiaTheme="minorEastAsia" w:hAnsiTheme="minorHAnsi" w:cstheme="minorBidi"/>
                <w:noProof/>
                <w:lang w:val="pt-BR" w:eastAsia="pt-BR"/>
              </w:rPr>
              <w:tab/>
            </w:r>
            <w:r>
              <w:rPr>
                <w:rStyle w:val="Hyperlink"/>
                <w:b/>
                <w:noProof/>
              </w:rPr>
              <w:t>Apêndice F – Parâmetros Inferenciais Globais: Covariância, Risco Sistemático e Desempenho Ajustado</w:t>
            </w:r>
            <w:r>
              <w:rPr>
                <w:noProof/>
                <w:webHidden/>
              </w:rPr>
              <w:tab/>
              <w:fldChar w:fldCharType="begin"/>
              <w:instrText xml:space="preserve"> PAGEREF _Toc230857106 \h </w:instrText>
              <w:fldChar w:fldCharType="separate"/>
              <w:t>107</w:t>
              <w:fldChar w:fldCharType="end"/>
            </w:r>
          </w:hyperlink>
        </w:p>
        <w:p w14:paraId="33D22704"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7" w:history="1">
            <w:r>
              <w:rPr>
                <w:rStyle w:val="Hyperlink"/>
                <w:b/>
                <w:noProof/>
                <w:lang w:val="pt-BR"/>
              </w:rPr>
              <w:t>VII.</w:t>
            </w:r>
            <w:r>
              <w:rPr>
                <w:rFonts w:asciiTheme="minorHAnsi" w:eastAsiaTheme="minorEastAsia" w:hAnsiTheme="minorHAnsi" w:cstheme="minorBidi"/>
                <w:noProof/>
                <w:lang w:val="pt-BR" w:eastAsia="pt-BR"/>
              </w:rPr>
              <w:tab/>
            </w:r>
            <w:r>
              <w:rPr>
                <w:rStyle w:val="Hyperlink"/>
                <w:b/>
                <w:noProof/>
              </w:rPr>
              <w:t>Apêndice G – Construção Estocástica e Otimização Numérica da Fronteira Eficiente de Markowitz</w:t>
            </w:r>
            <w:r>
              <w:rPr>
                <w:noProof/>
                <w:webHidden/>
              </w:rPr>
              <w:tab/>
              <w:fldChar w:fldCharType="begin"/>
              <w:instrText xml:space="preserve"> PAGEREF _Toc230857107 \h </w:instrText>
              <w:fldChar w:fldCharType="separate"/>
              <w:t>108</w:t>
              <w:fldChar w:fldCharType="end"/>
            </w:r>
          </w:hyperlink>
        </w:p>
        <w:p w14:paraId="202F8DE3"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8" w:history="1">
            <w:r>
              <w:rPr>
                <w:rStyle w:val="Hyperlink"/>
                <w:b/>
                <w:noProof/>
                <w:lang w:val="pt-BR"/>
              </w:rPr>
              <w:t>VIII.</w:t>
            </w:r>
            <w:r>
              <w:rPr>
                <w:rFonts w:asciiTheme="minorHAnsi" w:eastAsiaTheme="minorEastAsia" w:hAnsiTheme="minorHAnsi" w:cstheme="minorBidi"/>
                <w:noProof/>
                <w:lang w:val="pt-BR" w:eastAsia="pt-BR"/>
              </w:rPr>
              <w:tab/>
            </w:r>
            <w:r>
              <w:rPr>
                <w:rStyle w:val="Hyperlink"/>
                <w:b/>
                <w:noProof/>
              </w:rPr>
              <w:t>Apêndice H – Isolamento Matricial De Covariâncias Negativas E Mapeamento De Hedge Estrutural</w:t>
            </w:r>
            <w:r>
              <w:rPr>
                <w:noProof/>
                <w:webHidden/>
              </w:rPr>
              <w:tab/>
              <w:fldChar w:fldCharType="begin"/>
              <w:instrText xml:space="preserve"> PAGEREF _Toc230857108 \h </w:instrText>
              <w:fldChar w:fldCharType="separate"/>
              <w:t>109</w:t>
              <w:fldChar w:fldCharType="end"/>
            </w:r>
          </w:hyperlink>
        </w:p>
        <w:p w14:paraId="5B62F13D" w14:textId="77777777" w:rsidR="00FE3CE2" w:rsidRDefault="00000000">
          <w:pPr>
            <w:pStyle w:val="Sumrio2"/>
            <w:tabs>
              <w:tab w:val="left" w:pos="960"/>
              <w:tab w:val="right" w:leader="dot" w:pos="8494"/>
            </w:tabs>
            <w:rPr>
              <w:rFonts w:asciiTheme="minorHAnsi" w:eastAsiaTheme="minorEastAsia" w:hAnsiTheme="minorHAnsi" w:cstheme="minorBidi"/>
              <w:noProof/>
              <w:lang w:val="pt-BR" w:eastAsia="pt-BR"/>
            </w:rPr>
          </w:pPr>
          <w:hyperlink w:anchor="_Toc230857109" w:history="1">
            <w:r>
              <w:rPr>
                <w:rStyle w:val="Hyperlink"/>
                <w:b/>
                <w:noProof/>
                <w:lang w:val="pt-BR"/>
              </w:rPr>
              <w:t>IX.</w:t>
            </w:r>
            <w:r>
              <w:rPr>
                <w:rFonts w:asciiTheme="minorHAnsi" w:eastAsiaTheme="minorEastAsia" w:hAnsiTheme="minorHAnsi" w:cstheme="minorBidi"/>
                <w:noProof/>
                <w:lang w:val="pt-BR" w:eastAsia="pt-BR"/>
              </w:rPr>
              <w:tab/>
            </w:r>
            <w:r>
              <w:rPr>
                <w:rStyle w:val="Hyperlink"/>
                <w:b/>
                <w:noProof/>
              </w:rPr>
              <w:t>Apêndice I – Análise de Correlação de Pearson e Clusterização Hierárquica Estrutural</w:t>
            </w:r>
            <w:r>
              <w:rPr>
                <w:noProof/>
                <w:webHidden/>
              </w:rPr>
              <w:tab/>
              <w:fldChar w:fldCharType="begin"/>
              <w:instrText xml:space="preserve"> PAGEREF _Toc230857109 \h </w:instrText>
              <w:fldChar w:fldCharType="separate"/>
              <w:t>110</w:t>
              <w:fldChar w:fldCharType="end"/>
            </w:r>
          </w:hyperlink>
        </w:p>
        <w:p w14:paraId="7DCD9EB4" w14:textId="77777777" w:rsidR="00FE3CE2" w:rsidRDefault="00000000">
          <w:pPr>
            <w:pStyle w:val="Sumrio2"/>
            <w:tabs>
              <w:tab w:val="left" w:pos="720"/>
              <w:tab w:val="right" w:leader="dot" w:pos="8494"/>
            </w:tabs>
            <w:rPr>
              <w:rFonts w:asciiTheme="minorHAnsi" w:eastAsiaTheme="minorEastAsia" w:hAnsiTheme="minorHAnsi" w:cstheme="minorBidi"/>
              <w:noProof/>
              <w:lang w:val="pt-BR" w:eastAsia="pt-BR"/>
            </w:rPr>
          </w:pPr>
          <w:hyperlink w:anchor="_Toc230857110" w:history="1">
            <w:r>
              <w:rPr>
                <w:rStyle w:val="Hyperlink"/>
                <w:b/>
                <w:noProof/>
                <w:lang w:val="pt-BR"/>
              </w:rPr>
              <w:t>X.</w:t>
            </w:r>
            <w:r>
              <w:rPr>
                <w:rFonts w:asciiTheme="minorHAnsi" w:eastAsiaTheme="minorEastAsia" w:hAnsiTheme="minorHAnsi" w:cstheme="minorBidi"/>
                <w:noProof/>
                <w:lang w:val="pt-BR" w:eastAsia="pt-BR"/>
              </w:rPr>
              <w:tab/>
            </w:r>
            <w:r>
              <w:rPr>
                <w:rStyle w:val="Hyperlink"/>
                <w:b/>
                <w:noProof/>
              </w:rPr>
              <w:t>Apêndice J – Engenharia Reversa De Black-Litterman: Extração Do Vetor De Retornos Implícitos De Equilíbrio (Π)</w:t>
            </w:r>
            <w:r>
              <w:rPr>
                <w:noProof/>
                <w:webHidden/>
              </w:rPr>
              <w:tab/>
              <w:fldChar w:fldCharType="begin"/>
              <w:instrText xml:space="preserve"> PAGEREF _Toc230857110 \h </w:instrText>
              <w:fldChar w:fldCharType="separate"/>
              <w:t>111</w:t>
              <w:fldChar w:fldCharType="end"/>
            </w:r>
          </w:hyperlink>
        </w:p>
        <w:p w14:paraId="544E4EA9" w14:textId="77777777" w:rsidR="008E66AE" w:rsidRDefault="008E66AE">
          <w:r>
            <w:rPr>
              <w:b/>
              <w:bCs/>
            </w:rPr>
            <w:fldChar w:fldCharType="end"/>
          </w:r>
        </w:p>
      </w:sdtContent>
    </w:sdt>
    <w:p w14:paraId="5B2C7931" w14:textId="77777777" w:rsidR="008E66AE" w:rsidRDefault="008E66AE">
      <w:pPr>
        <w:rPr>
          <w:spacing w:val="-2"/>
        </w:rPr>
      </w:pPr>
    </w:p>
    <w:p w14:paraId="543237CC" w14:textId="77777777" w:rsidR="008E66AE" w:rsidRDefault="008E66AE">
      <w:pPr>
        <w:rPr>
          <w:spacing w:val="-2"/>
        </w:rPr>
      </w:pPr>
    </w:p>
    <w:p w14:paraId="259375A3" w14:textId="77777777" w:rsidR="008E66AE" w:rsidRDefault="008E66AE">
      <w:pPr>
        <w:rPr>
          <w:b/>
          <w:bCs/>
          <w:spacing w:val="-2"/>
          <w:sz w:val="28"/>
          <w:szCs w:val="28"/>
        </w:rPr>
      </w:pPr>
      <w:r>
        <w:rPr>
          <w:spacing w:val="-2"/>
        </w:rPr>
        <w:br w:type="page"/>
      </w:r>
    </w:p>
    <w:p w14:paraId="2514B09A" w14:textId="77777777" w:rsidR="00657C8B" w:rsidRPr="00D30CD1" w:rsidRDefault="006C6A33" w:rsidP="0072043B">
      <w:pPr>
        <w:pStyle w:val="Ttulo1"/>
        <w:numPr>
          <w:ilvl w:val="0"/>
          <w:numId w:val="1"/>
        </w:numPr>
        <w:tabs>
          <w:tab w:val="left" w:pos="480"/>
        </w:tabs>
        <w:ind w:left="480" w:hanging="359"/>
      </w:pPr>
      <w:bookmarkStart w:id="0" w:name="_Toc230856970"/>
      <w:r>
        <w:rPr>
          <w:spacing w:val="-2"/>
          <w:sz w:val="24"/>
        </w:rPr>
        <w:lastRenderedPageBreak/>
        <w:t>INTRODUÇÃO</w:t>
      </w:r>
      <w:bookmarkEnd w:id="0"/>
    </w:p>
    <w:p w14:paraId="25C7DB3D" w14:textId="77777777" w:rsidR="0028243A" w:rsidRDefault="0028243A" w:rsidP="003E35D3">
      <w:pPr>
        <w:pStyle w:val="Corpodetexto"/>
        <w:spacing w:line="360" w:lineRule="auto"/>
        <w:ind w:firstLine="851"/>
        <w:jc w:val="both"/>
        <w:rPr>
          <w:color w:val="231F20"/>
        </w:rPr>
      </w:pPr>
    </w:p>
    <w:p w14:paraId="7F327E16" w14:textId="77777777" w:rsidR="001D5485" w:rsidRDefault="00F86E06" w:rsidP="00783E64">
      <w:pPr>
        <w:pStyle w:val="NormalWeb"/>
        <w:spacing w:before="0" w:beforeAutospacing="0" w:after="0" w:afterAutospacing="0" w:line="360" w:lineRule="auto"/>
        <w:ind w:firstLine="851"/>
        <w:jc w:val="both"/>
      </w:pPr>
      <w:r>
        <w:t>A alocação de capital iniciou-se quase como uma arte, em que a intuição predominava, amadureceu com a adoção de cálculos, estatísticas e métricas bem definidas. Antes da formalização da Teoria Moderna do Portfólio (MPT), a gestão de carteiras carecia de um arcabouço unificado.</w:t>
      </w:r>
    </w:p>
    <w:p w14:paraId="4F1C0468" w14:textId="77777777" w:rsidR="00A2073A" w:rsidRDefault="00A2073A" w:rsidP="00783E64">
      <w:pPr>
        <w:pStyle w:val="NormalWeb"/>
        <w:spacing w:before="0" w:beforeAutospacing="0" w:after="0" w:afterAutospacing="0" w:line="360" w:lineRule="auto"/>
        <w:ind w:firstLine="851"/>
        <w:jc w:val="both"/>
      </w:pPr>
      <w:r>
        <w:rPr>
          <w:b/>
          <w:bCs/>
        </w:rPr>
        <w:t>A Moderna Teoria do Portfólio (MPT)</w:t>
      </w:r>
      <w:r>
        <w:t>, proposta por Harry Markowitz em sua publicação seminal de 1952, inaugurou 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 Posteriormente, William Sharpe (1966) contribuiu ao propor o Índice de Sharpe, que relaciona o retorno excedente ao risco total da carteira, oferecendo uma métrica objetiva de avaliação de desempenho ajustado ao risco.</w:t>
      </w:r>
    </w:p>
    <w:p w14:paraId="00E1F1B6" w14:textId="77777777" w:rsidR="00A2073A" w:rsidRDefault="00A2073A" w:rsidP="00783E64">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(Damodaran,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(Michaud, 1989).</w:t>
      </w:r>
    </w:p>
    <w:p w14:paraId="7702841E" w14:textId="77777777" w:rsidR="00A2073A" w:rsidRDefault="00A2073A" w:rsidP="00783E64">
      <w:pPr>
        <w:pStyle w:val="NormalWeb"/>
        <w:spacing w:before="0" w:beforeAutospacing="0" w:after="0" w:afterAutospacing="0" w:line="360" w:lineRule="auto"/>
        <w:ind w:firstLine="851"/>
        <w:jc w:val="both"/>
      </w:pPr>
      <w:r>
        <w:t xml:space="preserve">Nesse contexto, </w:t>
      </w:r>
      <w:r>
        <w:rPr>
          <w:b/>
          <w:bCs/>
        </w:rPr>
        <w:t>o Modelo Black-Litterman (1992)</w:t>
      </w:r>
      <w:r>
        <w:t xml:space="preserve"> foi desenvolvido como uma evolução do modelo de Markowitz, visando mitigar tais instabilidades. Utilizando uma abordagem </w:t>
      </w:r>
      <w:r>
        <w:rPr>
          <w:b/>
          <w:bCs/>
        </w:rPr>
        <w:t>Bayesiana</w:t>
      </w:r>
      <w:r>
        <w:t xml:space="preserve">, o modelo combina o retorno de equilíbrio de mercado (o </w:t>
      </w:r>
      <w:r>
        <w:rPr>
          <w:i/>
          <w:iCs/>
        </w:rPr>
        <w:t>Prior</w:t>
      </w:r>
      <w:r>
        <w:t xml:space="preserve">, derivado do CAPM reverso) com as visões subjetivas do investidor (a </w:t>
      </w:r>
      <w:r>
        <w:rPr>
          <w:b/>
          <w:bCs/>
          <w:i/>
          <w:iCs/>
        </w:rPr>
        <w:t>Likelihood</w:t>
      </w:r>
      <w:r>
        <w:t xml:space="preserve">), gerando uma distribuição </w:t>
      </w:r>
      <w:r>
        <w:rPr>
          <w:b/>
          <w:bCs/>
        </w:rPr>
        <w:t>Posterior</w:t>
      </w:r>
      <w:r>
        <w:t xml:space="preserve"> de retornos esperados. Essa fusão gera carteiras mais estáveis, intuitivas e diversificadas, ancoradas na racionalidade do equilíbrio de mercado (Black; Litterman, 1992).</w:t>
      </w:r>
    </w:p>
    <w:p w14:paraId="36936B29" w14:textId="77777777" w:rsidR="00A2073A" w:rsidRDefault="00A2073A" w:rsidP="00783E64">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Pr>
          <w:b/>
          <w:bCs/>
        </w:rPr>
        <w:t>Teoria Pós-Moderna do Portfólio (PMPT)</w:t>
      </w:r>
      <w:r>
        <w:t xml:space="preserve"> (Rom; Ferguson, 1994). Esta abordagem propõe métricas assimétricas que se alinham melhor à aversão à perda do investidor, como a semivariância, o </w:t>
      </w:r>
      <w:r>
        <w:rPr>
          <w:i/>
          <w:iCs/>
        </w:rPr>
        <w:t xml:space="preserve">Conditional Value at </w:t>
        <w:lastRenderedPageBreak/>
        <w:t>Risk</w:t>
      </w:r>
      <w:r>
        <w:t xml:space="preserve"> (CVaR) e o Índice de Sortino, priorizando a análise do </w:t>
      </w:r>
      <w:r>
        <w:rPr>
          <w:i/>
          <w:iCs/>
        </w:rPr>
        <w:t>downside risk</w:t>
      </w:r>
      <w:r>
        <w:t xml:space="preserve"> em detrimento da volatilidade total (Sortino; Van Der Meer, 1991).</w:t>
      </w:r>
    </w:p>
    <w:p w14:paraId="5082D770" w14:textId="77777777" w:rsidR="00A2073A" w:rsidRDefault="00A2073A" w:rsidP="00783E64">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Pr>
          <w:b/>
          <w:bCs/>
        </w:rPr>
        <w:t>Qual a eficácia comparativa de carteiras construídas sob as óticas da MPT, PMPT e Black-Litterman, quando submetidas a diferentes métodos de estimação de inputs (Séries Temporais e Machine Learning) no mercado brasileiro?</w:t>
      </w:r>
    </w:p>
    <w:p w14:paraId="468FD1D5" w14:textId="77777777" w:rsidR="00A2073A" w:rsidRDefault="00A2073A" w:rsidP="00783E64">
      <w:pPr>
        <w:pStyle w:val="NormalWeb"/>
        <w:spacing w:before="0" w:beforeAutospacing="0" w:after="0" w:afterAutospacing="0" w:line="360" w:lineRule="auto"/>
        <w:ind w:firstLine="851"/>
        <w:jc w:val="both"/>
      </w:pPr>
      <w:r>
        <w:rPr>
          <w:color w:val="000000"/>
          <w:sz w:val="24"/>
          <w:szCs w:val="24"/>
          <w:lang w:val="pt-BR" w:eastAsia="pt-BR"/>
        </w:rPr>
        <w:t xml:space="preserve">O objetivo geral deste trabalho é avaliar o desempenho de carteiras otimizadas, variando-se a estimação dos retornos esperados entre Média Histórica, fator de momentum 12-1. Serão testados otimizadores distintos: Média-Variância, Mínima Variância Global, Máximo Índice de Sortino, Mínimo-CVaR e a abordagem mista de Black-Litterman. O estudo abrange o período de janeiro de 2010 a dezembro de 2025, comparando os resultados com </w:t>
      </w:r>
      <w:r>
        <w:rPr>
          <w:b/>
          <w:bCs/>
        </w:rPr>
        <w:t>benchmarks</w:t>
      </w:r>
      <w:r>
        <w:t xml:space="preserve"> como o IBOVESPA e o CDI, a fim de demonstrar alternativas robustas para a alocação de ativos no Brasil.</w:t>
      </w:r>
    </w:p>
    <w:p w14:paraId="1671B2AC" w14:textId="77777777" w:rsidR="007E00C4" w:rsidRPr="007C74B8" w:rsidRDefault="00A50E58" w:rsidP="00783E64">
      <w:pPr>
        <w:pStyle w:val="NormalWeb"/>
        <w:spacing w:before="0" w:beforeAutospacing="0" w:after="0" w:afterAutospacing="0" w:line="360" w:lineRule="auto"/>
        <w:ind w:firstLine="851"/>
        <w:jc w:val="both"/>
      </w:pPr>
      <w:r>
        <w:rPr>
          <w:color w:val="1B1C1D"/>
          <w:shd w:val="clear" w:color="auto" w:fill="FFFFFF"/>
        </w:rPr>
        <w:t>Este trabalho está estruturado da seguinte forma: o Capítulo 2 apresenta o referencial teórico, O Capítulo 3 descreve a metodologia, O Capítulo 4 analisa os resultados, O Capítulo 5 apresenta as conclusões.</w:t>
      </w:r>
    </w:p>
    <w:p w14:paraId="22E01F3E" w14:textId="77777777" w:rsidR="00966DAD" w:rsidRDefault="00966DAD" w:rsidP="0028243A">
      <w:pPr>
        <w:spacing w:line="360" w:lineRule="auto"/>
        <w:ind w:firstLine="851"/>
        <w:jc w:val="both"/>
        <w:rPr>
          <w:sz w:val="24"/>
          <w:szCs w:val="24"/>
        </w:rPr>
      </w:pPr>
      <w:r>
        <w:br w:type="page"/>
      </w:r>
    </w:p>
    <w:p w14:paraId="0B1B4E31" w14:textId="77777777" w:rsidR="008E66AE" w:rsidRPr="00D30CD1" w:rsidRDefault="002C217E" w:rsidP="0072043B">
      <w:pPr>
        <w:pStyle w:val="Ttulo1"/>
        <w:numPr>
          <w:ilvl w:val="0"/>
          <w:numId w:val="1"/>
        </w:numPr>
        <w:tabs>
          <w:tab w:val="left" w:pos="480"/>
        </w:tabs>
        <w:ind w:left="480" w:hanging="359"/>
        <w:rPr>
          <w:sz w:val="24"/>
        </w:rPr>
      </w:pPr>
      <w:bookmarkStart w:id="1" w:name="_Toc230856971"/>
      <w:r>
        <w:rPr>
          <w:sz w:val="24"/>
        </w:rPr>
        <w:lastRenderedPageBreak/>
        <w:t>REFERENCIAL TEÓRICO</w:t>
      </w:r>
      <w:bookmarkEnd w:id="1"/>
    </w:p>
    <w:p w14:paraId="319357E9" w14:textId="77777777" w:rsidR="000E6954" w:rsidRDefault="000E6954" w:rsidP="00C319D0"/>
    <w:p w14:paraId="7CA062A1" w14:textId="77777777" w:rsidR="000E6954" w:rsidRDefault="003121E2" w:rsidP="00F879F0">
      <w:pPr>
        <w:pStyle w:val="Ttulo3"/>
        <w:numPr>
          <w:ilvl w:val="1"/>
          <w:numId w:val="1"/>
        </w:numPr>
        <w:rPr>
          <w:rFonts w:eastAsia="Google Sans"/>
          <w:color w:val="1F1F1F"/>
        </w:rPr>
      </w:pPr>
      <w:bookmarkStart w:id="2" w:name="_Toc230856972"/>
      <w:r>
        <w:rPr>
          <w:rFonts w:eastAsia="Google Sans"/>
          <w:color w:val="1F1F1F"/>
        </w:rPr>
        <w:t>Gênese da Gestão de Portfólios e o Paradigma Pré-Markowitz</w:t>
      </w:r>
      <w:bookmarkEnd w:id="2"/>
    </w:p>
    <w:p w14:paraId="2FF4A44A" w14:textId="77777777" w:rsidR="000E6954" w:rsidRDefault="000E6954" w:rsidP="00F879F0">
      <w:pPr>
        <w:rPr>
          <w:rFonts w:eastAsia="Google Sans"/>
          <w:color w:val="1F1F1F"/>
          <w:sz w:val="24"/>
          <w:szCs w:val="24"/>
        </w:rPr>
      </w:pPr>
    </w:p>
    <w:p w14:paraId="574F70A4" w14:textId="77777777" w:rsidR="00F879F0" w:rsidRPr="00D30CD1" w:rsidRDefault="000E6954" w:rsidP="00F879F0">
      <w:pPr>
        <w:pStyle w:val="Ttulo3"/>
        <w:numPr>
          <w:ilvl w:val="2"/>
          <w:numId w:val="1"/>
        </w:numPr>
        <w:rPr>
          <w:rFonts w:eastAsia="Google Sans"/>
          <w:b w:val="0"/>
          <w:color w:val="1F1F1F"/>
        </w:rPr>
      </w:pPr>
      <w:bookmarkStart w:id="3" w:name="_Toc230856973"/>
      <w:r>
        <w:rPr>
          <w:rFonts w:eastAsia="Google Sans"/>
          <w:b w:val="0"/>
          <w:color w:val="1F1F1F"/>
        </w:rPr>
        <w:t>Introdução: A Evolução Histórica da Gestão de Investimentos</w:t>
      </w:r>
      <w:bookmarkEnd w:id="3"/>
    </w:p>
    <w:p w14:paraId="1DA1218A" w14:textId="77777777" w:rsidR="000E6954" w:rsidRDefault="000E6954" w:rsidP="00C319D0"/>
    <w:p w14:paraId="49907C6E"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470264DF" w14:textId="77777777" w:rsidR="00C319D0" w:rsidRPr="00D30CD1" w:rsidRDefault="00C319D0" w:rsidP="007A5264"/>
    <w:p w14:paraId="41E4A1D8" w14:textId="77777777" w:rsidR="00F879F0" w:rsidRPr="00D30CD1" w:rsidRDefault="00405E05" w:rsidP="00F879F0">
      <w:pPr>
        <w:pStyle w:val="Ttulo3"/>
        <w:numPr>
          <w:ilvl w:val="2"/>
          <w:numId w:val="1"/>
        </w:numPr>
        <w:rPr>
          <w:rStyle w:val="Forte"/>
          <w:bCs/>
          <w:sz w:val="22"/>
          <w:szCs w:val="22"/>
        </w:rPr>
      </w:pPr>
      <w:bookmarkStart w:id="4" w:name="_Toc230856974"/>
      <w:r>
        <w:rPr>
          <w:rFonts w:eastAsia="Google Sans"/>
          <w:b w:val="0"/>
          <w:color w:val="1F1F1F"/>
        </w:rPr>
        <w:t>O Paradigma Pré-Markowitz: A Era da Seleção de Ativos</w:t>
      </w:r>
      <w:bookmarkEnd w:id="4"/>
      <w:r>
        <w:rPr>
          <w:rStyle w:val="Forte"/>
          <w:sz w:val="22"/>
          <w:szCs w:val="22"/>
        </w:rPr>
        <w:t xml:space="preserve"> </w:t>
      </w:r>
    </w:p>
    <w:p w14:paraId="7B21A558" w14:textId="77777777" w:rsidR="005D311B" w:rsidRDefault="005D311B" w:rsidP="005D311B">
      <w:pPr>
        <w:rPr>
          <w:rStyle w:val="Forte"/>
          <w:b w:val="0"/>
          <w:sz w:val="24"/>
          <w:szCs w:val="24"/>
        </w:rPr>
      </w:pPr>
    </w:p>
    <w:p w14:paraId="54D124EB"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Até o início da década de 1950, a teoria de investimentos operava sob o "paradigma da seleção de ativos" (</w:t>
      </w:r>
      <w:r>
        <w:rPr>
          <w:rFonts w:eastAsia="Google Sans Text"/>
          <w:i/>
          <w:iCs/>
          <w:color w:val="1F1F1F"/>
          <w:sz w:val="24"/>
          <w:szCs w:val="24"/>
        </w:rPr>
        <w:t>stock picking</w:t>
      </w:r>
      <w:r>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 (Williams, 2014).</w:t>
      </w:r>
    </w:p>
    <w:p w14:paraId="76822043" w14:textId="77777777"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John Burr Williams, em sua </w:t>
      </w:r>
      <w:r>
        <w:rPr>
          <w:rFonts w:eastAsia="Google Sans Text"/>
          <w:i/>
          <w:iCs/>
          <w:color w:val="1F1F1F"/>
          <w:sz w:val="24"/>
          <w:szCs w:val="24"/>
        </w:rPr>
        <w:t>magnum opus</w:t>
      </w:r>
      <w:r>
        <w:rPr>
          <w:rFonts w:eastAsia="Google Sans Text"/>
          <w:color w:val="1F1F1F"/>
          <w:sz w:val="24"/>
          <w:szCs w:val="24"/>
        </w:rPr>
        <w:t xml:space="preserve"> de 1938, </w:t>
      </w:r>
      <w:r>
        <w:rPr>
          <w:rFonts w:eastAsia="Google Sans Text"/>
          <w:i/>
          <w:iCs/>
          <w:color w:val="1F1F1F"/>
          <w:sz w:val="24"/>
          <w:szCs w:val="24"/>
        </w:rPr>
        <w:t>The Theory of Investment Value</w:t>
      </w:r>
      <w:r>
        <w:rPr>
          <w:rFonts w:eastAsia="Google Sans Text"/>
          <w:color w:val="1F1F1F"/>
          <w:sz w:val="24"/>
          <w:szCs w:val="24"/>
        </w:rPr>
        <w:t xml:space="preserve">, introduziu o Modelo de Desconto de Dividendos (Dividend Discount Model - DDM), estabelecendo que o valor de um ativo é o valor presente de seus fluxos de caixa futuros esperados, descontados a uma taxa de juros apropriada (Williams, 2014). A fórmula de Williams,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Pr>
          <w:rFonts w:eastAsia="Google Sans Text"/>
          <w:color w:val="1F1F1F"/>
          <w:sz w:val="24"/>
          <w:szCs w:val="24"/>
        </w:rPr>
        <w:t xml:space="preserve"> ,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Pr>
          <w:rFonts w:eastAsia="Google Sans Text"/>
          <w:color w:val="1F1F1F"/>
          <w:sz w:val="24"/>
          <w:szCs w:val="24"/>
        </w:rPr>
        <w:t xml:space="preserve"> representa os dividendos e </w:t>
      </w:r>
      <m:oMath>
        <m:r>
          <w:rPr>
            <w:rFonts w:ascii="Cambria Math" w:eastAsia="Google Sans Text" w:hAnsi="Cambria Math"/>
            <w:color w:val="1F1F1F"/>
            <w:sz w:val="24"/>
            <w:szCs w:val="24"/>
          </w:rPr>
          <m:t>i</m:t>
        </m:r>
      </m:oMath>
      <w:r>
        <w:rPr>
          <w:rFonts w:eastAsia="Google Sans Text"/>
          <w:color w:val="1F1F1F"/>
          <w:sz w:val="24"/>
          <w:szCs w:val="24"/>
        </w:rPr>
        <w:t xml:space="preserve"> a taxa de desconto, proporcionou o primeiro rigor matemático para a avaliação de equities (Guerard, 2010). Contudo, a abordagem de Williams sofria de uma limitação crítica: ela assumia que o risco poderia ser virtualmente eliminado através da diversificação, sem fornecer um mecanismo matemático para quantificar como a variabilidade dos retornos de diferentes ativos interagia (Rubinstein, 2002). Williams focava na maximização do retorno esperado, acreditando que a "lei dos grandes números" protegeria o investidor que diversificasse suficientemente (Rubinstein, 2002).</w:t>
      </w:r>
    </w:p>
    <w:p w14:paraId="791CA2D2" w14:textId="77777777"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Paralelamente, Benjamin Graham e David Dodd, em </w:t>
      </w:r>
      <w:r>
        <w:rPr>
          <w:rFonts w:eastAsia="Google Sans Text"/>
          <w:i/>
          <w:iCs/>
          <w:color w:val="1F1F1F"/>
          <w:sz w:val="24"/>
          <w:szCs w:val="24"/>
        </w:rPr>
        <w:t>Security Analysis</w:t>
      </w:r>
      <w:r>
        <w:rPr>
          <w:rFonts w:eastAsia="Google Sans Text"/>
          <w:color w:val="1F1F1F"/>
          <w:sz w:val="24"/>
          <w:szCs w:val="24"/>
        </w:rPr>
        <w:t xml:space="preserve"> (1934), estabeleceram os princípios do </w:t>
      </w:r>
      <w:r>
        <w:rPr>
          <w:rFonts w:eastAsia="Google Sans Text"/>
          <w:i/>
          <w:iCs/>
          <w:color w:val="1F1F1F"/>
          <w:sz w:val="24"/>
          <w:szCs w:val="24"/>
        </w:rPr>
        <w:t>Value Investing</w:t>
      </w:r>
      <w:r>
        <w:rPr>
          <w:rFonts w:eastAsia="Google Sans Text"/>
          <w:color w:val="1F1F1F"/>
          <w:sz w:val="24"/>
          <w:szCs w:val="24"/>
        </w:rPr>
        <w:t xml:space="preserve">. Embora defendessem a diversificação </w:t>
        <w:lastRenderedPageBreak/>
        <w:t>como uma medida prudencial — sugerindo a detenção de dez a trinta papéis diferentes para mitigar o erro de análise — o conceito de risco em sua estrutura era fundamentalmente qualitativo (Boyd, Johansson, Kahn, Schiele, Schmelzer, 2024). Para Graham, risco não era volatilidade, mas sim a possibilidade de perda permanente de capital decorrente da deterioração dos fundamentos da empresa ou de pagar um preço excessivo em relação ao valor intrínseco (Guerard, 2010). A "Margem de Segurança" era a métrica de proteção, não o desvio padrão ou a covariância. Neste paradigma, o portfólio era visto como uma coleção de ativos individuais, onde cada componente era julgado por seus próprios méritos, isolado do contexto agregado da carteira(Guerard, 2010).</w:t>
      </w:r>
    </w:p>
    <w:p w14:paraId="5A9F557D" w14:textId="77777777" w:rsidR="00405E05" w:rsidRPr="00D30CD1" w:rsidRDefault="00405E05" w:rsidP="005D311B">
      <w:pPr>
        <w:rPr>
          <w:rStyle w:val="Forte"/>
          <w:b w:val="0"/>
          <w:sz w:val="24"/>
          <w:szCs w:val="24"/>
        </w:rPr>
      </w:pPr>
    </w:p>
    <w:p w14:paraId="2D9F7859" w14:textId="77777777" w:rsidR="005D311B" w:rsidRPr="00D30CD1" w:rsidRDefault="00405E05" w:rsidP="000E6954">
      <w:pPr>
        <w:pStyle w:val="Ttulo3"/>
        <w:numPr>
          <w:ilvl w:val="2"/>
          <w:numId w:val="1"/>
        </w:numPr>
        <w:rPr>
          <w:rStyle w:val="Forte"/>
          <w:b/>
          <w:bCs/>
        </w:rPr>
      </w:pPr>
      <w:bookmarkStart w:id="5" w:name="_Hlk215239801"/>
      <w:bookmarkStart w:id="6" w:name="_Toc230856975"/>
      <w:r>
        <w:rPr>
          <w:rFonts w:eastAsia="Google Sans"/>
          <w:b w:val="0"/>
          <w:color w:val="1F1F1F"/>
        </w:rPr>
        <w:t>A Transição para a Análise Quantitativa</w:t>
      </w:r>
      <w:bookmarkEnd w:id="5"/>
      <w:bookmarkEnd w:id="6"/>
    </w:p>
    <w:p w14:paraId="59D8C34D" w14:textId="77777777" w:rsidR="00405E05" w:rsidRDefault="00405E05" w:rsidP="00405E05">
      <w:pPr>
        <w:rPr>
          <w:rStyle w:val="Forte"/>
          <w:bCs w:val="0"/>
        </w:rPr>
      </w:pPr>
    </w:p>
    <w:p w14:paraId="6BC93A0F"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 (Boyd, Johansson, Kahn, Schiele, Schmelzer, 2024).</w:t>
      </w:r>
    </w:p>
    <w:p w14:paraId="21C5508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Pr>
          <w:rFonts w:eastAsia="Google Sans Text"/>
          <w:i/>
          <w:iCs/>
          <w:color w:val="1F1F1F"/>
          <w:sz w:val="24"/>
          <w:szCs w:val="24"/>
        </w:rPr>
        <w:t>insight</w:t>
      </w:r>
      <w:r>
        <w:rPr>
          <w:rFonts w:eastAsia="Google Sans Text"/>
          <w:color w:val="1F1F1F"/>
          <w:sz w:val="24"/>
          <w:szCs w:val="24"/>
        </w:rPr>
        <w:t xml:space="preserve"> que desmantelaria a lógica da maximização pura do retorno (markowitz, 1959). Ele percebeu que, se a regra de Williams fosse seguida estritamente em um mundo de incerteza, um investidor racional deveria alocar 100% de seu capital no único ativo com o maior retorno esperado descontado (Williams, 2014). Se dois ativos tivessem o mesmo retorno máximo, o investidor seria indiferente entre eles, mas a teoria não oferecia nenhuma razão intrínseca para manter ambos (Markowitz, 1959).</w:t>
      </w:r>
    </w:p>
    <w:p w14:paraId="29AF2748" w14:textId="77777777"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Markowitz identificou que a prática observada e intuitivamente racional da diversificação — "não colocar todos os ovos na mesma cesta" — era inconsistente com a teoria de maximização de valor presente de Williams (Markowitz, 1958).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w:t>
        <w:lastRenderedPageBreak/>
        <w:t>final. Essa percepção marcou a transição da análise de títulos (</w:t>
      </w:r>
      <w:r>
        <w:rPr>
          <w:rFonts w:eastAsia="Google Sans Text"/>
          <w:i/>
          <w:iCs/>
          <w:color w:val="1F1F1F"/>
          <w:sz w:val="24"/>
          <w:szCs w:val="24"/>
        </w:rPr>
        <w:t>Security Analysis</w:t>
      </w:r>
      <w:r>
        <w:rPr>
          <w:rFonts w:eastAsia="Google Sans Text"/>
          <w:color w:val="1F1F1F"/>
          <w:sz w:val="24"/>
          <w:szCs w:val="24"/>
        </w:rPr>
        <w:t>) para a análise de portfólios (</w:t>
      </w:r>
      <w:r>
        <w:rPr>
          <w:rFonts w:eastAsia="Google Sans Text"/>
          <w:i/>
          <w:iCs/>
          <w:color w:val="1F1F1F"/>
          <w:sz w:val="24"/>
          <w:szCs w:val="24"/>
        </w:rPr>
        <w:t>Portfolio Analysis</w:t>
      </w:r>
      <w:r>
        <w:rPr>
          <w:rFonts w:eastAsia="Google Sans Text"/>
          <w:color w:val="1F1F1F"/>
          <w:sz w:val="24"/>
          <w:szCs w:val="24"/>
        </w:rPr>
        <w:t>), onde a unidade de análise deixa de ser a firma individual e passa a ser a carteira agregada (Markowitz, 1958).</w:t>
      </w:r>
    </w:p>
    <w:p w14:paraId="3F82BFA3"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15FE98D3" w14:textId="77777777"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7" w:name="_Toc230856976"/>
      <w:r>
        <w:rPr>
          <w:rFonts w:eastAsia="Google Sans"/>
          <w:color w:val="1F1F1F"/>
          <w:sz w:val="24"/>
          <w:szCs w:val="24"/>
        </w:rPr>
        <w:t>A Revolução de Markowitz: O Modelo Média-Variância</w:t>
      </w:r>
      <w:bookmarkEnd w:id="7"/>
    </w:p>
    <w:p w14:paraId="63398A80"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1834504"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formalização matemática dessa nova perspectiva ocorreu com a publicação do artigo "Portfolio Selection" no </w:t>
      </w:r>
      <w:r>
        <w:rPr>
          <w:rFonts w:eastAsia="Google Sans Text"/>
          <w:i/>
          <w:iCs/>
          <w:color w:val="1F1F1F"/>
          <w:sz w:val="24"/>
          <w:szCs w:val="24"/>
        </w:rPr>
        <w:t>Journal of Finance</w:t>
      </w:r>
      <w:r>
        <w:rPr>
          <w:rFonts w:eastAsia="Google Sans Text"/>
          <w:color w:val="1F1F1F"/>
          <w:sz w:val="24"/>
          <w:szCs w:val="24"/>
        </w:rPr>
        <w:t xml:space="preserve"> em 1952, expandido posteriormente na monografia </w:t>
      </w:r>
      <w:r>
        <w:rPr>
          <w:rFonts w:eastAsia="Google Sans Text"/>
          <w:i/>
          <w:iCs/>
          <w:color w:val="1F1F1F"/>
          <w:sz w:val="24"/>
          <w:szCs w:val="24"/>
        </w:rPr>
        <w:t>Portfolio Selection: Efficient Diversification of Investments</w:t>
      </w:r>
      <w:r>
        <w:rPr>
          <w:rFonts w:eastAsia="Google Sans Text"/>
          <w:color w:val="1F1F1F"/>
          <w:sz w:val="24"/>
          <w:szCs w:val="24"/>
        </w:rPr>
        <w:t xml:space="preserve"> (1959) (Markowitz, 1959). A "Modern Portfolio Theory" (MPT) de Markowitz não apenas descreveu como os investidores agem, mas prescreveu como deveriam agir, fundamentando a decisão de investimento na interação estocástica entre ativos (Markowitz, 1959).</w:t>
      </w:r>
    </w:p>
    <w:p w14:paraId="13FB6F3E"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2FE74743" w14:textId="77777777" w:rsidR="00405E05" w:rsidRPr="00AA5363" w:rsidRDefault="00405E05" w:rsidP="000E6954">
      <w:pPr>
        <w:pStyle w:val="Ttulo3"/>
        <w:numPr>
          <w:ilvl w:val="2"/>
          <w:numId w:val="1"/>
        </w:numPr>
        <w:spacing w:line="360" w:lineRule="auto"/>
        <w:jc w:val="both"/>
        <w:rPr>
          <w:rFonts w:eastAsia="Google Sans"/>
          <w:b w:val="0"/>
          <w:color w:val="1F1F1F"/>
        </w:rPr>
      </w:pPr>
      <w:r>
        <w:rPr>
          <w:rFonts w:eastAsia="Google Sans"/>
          <w:b w:val="0"/>
          <w:color w:val="1F1F1F"/>
        </w:rPr>
        <w:t xml:space="preserve"> </w:t>
      </w:r>
      <w:bookmarkStart w:id="8" w:name="_Toc230856977"/>
      <w:r>
        <w:rPr>
          <w:rFonts w:eastAsia="Google Sans"/>
          <w:b w:val="0"/>
          <w:color w:val="1F1F1F"/>
        </w:rPr>
        <w:t>A Rejeição da Maximização Pura do Retorno</w:t>
      </w:r>
      <w:bookmarkEnd w:id="8"/>
    </w:p>
    <w:p w14:paraId="56A58F7C"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287E6017" w14:textId="77777777"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premissa fundadora da MPT é que os investidores são, simultaneamente, maximizadores de retorno e avessos ao risco (Markowitz, 1959). 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 (Markowitz, 1952).</w:t>
      </w:r>
    </w:p>
    <w:p w14:paraId="1339163E" w14:textId="77777777" w:rsidR="00405E05" w:rsidRPr="008F1D66" w:rsidRDefault="00405E05" w:rsidP="008F5EF2">
      <w:pPr>
        <w:pBdr>
          <w:top w:val="nil"/>
          <w:left w:val="nil"/>
          <w:bottom w:val="nil"/>
          <w:right w:val="nil"/>
          <w:between w:val="nil"/>
        </w:pBdr>
        <w:spacing w:line="360" w:lineRule="auto"/>
        <w:ind w:left="1134" w:hanging="283"/>
        <w:jc w:val="both"/>
        <w:rPr>
          <w:rFonts w:eastAsia="Google Sans Text"/>
          <w:color w:val="1F1F1F"/>
          <w:sz w:val="24"/>
          <w:szCs w:val="24"/>
        </w:rPr>
      </w:pPr>
      <w:r>
        <w:rPr>
          <w:rFonts w:eastAsia="Google Sans Text"/>
          <w:color w:val="1F1F1F"/>
          <w:sz w:val="24"/>
          <w:szCs w:val="24"/>
        </w:rPr>
        <w:t>Portanto, a função de utilidade do investidor deve depender de dois parâmetros:</w:t>
      </w:r>
    </w:p>
    <w:p w14:paraId="101711BB"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Retorno Esperado (µ):</w:t>
      </w:r>
      <w:r>
        <w:rPr>
          <w:rFonts w:eastAsia="Google Sans Text"/>
          <w:color w:val="1F1F1F"/>
          <w:sz w:val="24"/>
          <w:szCs w:val="24"/>
        </w:rPr>
        <w:t xml:space="preserve"> O valor médio ponderado das probabilidades dos retornos futuros.</w:t>
      </w:r>
    </w:p>
    <w:p w14:paraId="600FF82A" w14:textId="77777777" w:rsidR="00405E05" w:rsidRPr="008F1D66" w:rsidRDefault="00405E05" w:rsidP="003F1C11">
      <w:pPr>
        <w:numPr>
          <w:ilvl w:val="0"/>
          <w:numId w:val="5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(σ):</w:t>
      </w:r>
      <w:r>
        <w:rPr>
          <w:rFonts w:eastAsia="Google Sans Text"/>
          <w:color w:val="1F1F1F"/>
          <w:sz w:val="24"/>
          <w:szCs w:val="24"/>
        </w:rPr>
        <w:t xml:space="preserve"> A dispersão ou incerteza desses retornos em torno da média.</w:t>
      </w:r>
    </w:p>
    <w:p w14:paraId="5FB05D2A" w14:textId="77777777"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Pr>
          <w:rFonts w:eastAsia="Google Sans Text"/>
          <w:i/>
          <w:iCs/>
          <w:color w:val="1F1F1F"/>
          <w:sz w:val="24"/>
          <w:szCs w:val="24"/>
        </w:rPr>
        <w:t>trade-off</w:t>
      </w:r>
      <w:r>
        <w:rPr>
          <w:rFonts w:eastAsia="Google Sans Text"/>
          <w:color w:val="1F1F1F"/>
          <w:sz w:val="24"/>
          <w:szCs w:val="24"/>
        </w:rPr>
        <w:t xml:space="preserve"> inevitável, substituindo a busca pelo "melhor ativo" pela construção do "melhor portfólio" (Markowitz, 1952).</w:t>
      </w:r>
    </w:p>
    <w:p w14:paraId="0BF30268" w14:textId="77777777" w:rsidR="00405E05" w:rsidRPr="008F5EF2"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4B003B6" w14:textId="77777777" w:rsidR="00405E05" w:rsidRPr="00AA5363" w:rsidRDefault="00405E05" w:rsidP="000E6954">
      <w:pPr>
        <w:pStyle w:val="Ttulo3"/>
        <w:numPr>
          <w:ilvl w:val="2"/>
          <w:numId w:val="1"/>
        </w:numPr>
        <w:spacing w:line="360" w:lineRule="auto"/>
        <w:jc w:val="both"/>
        <w:rPr>
          <w:rFonts w:eastAsia="Google Sans"/>
          <w:b w:val="0"/>
          <w:color w:val="1F1F1F"/>
        </w:rPr>
      </w:pPr>
      <w:bookmarkStart w:id="9" w:name="_Toc230856978"/>
      <w:r>
        <w:rPr>
          <w:rFonts w:eastAsia="Google Sans"/>
          <w:b w:val="0"/>
          <w:color w:val="1F1F1F"/>
        </w:rPr>
        <w:t>O Conceito de Risco como Variância: Uma Escolha Pragmática</w:t>
      </w:r>
      <w:bookmarkEnd w:id="9"/>
    </w:p>
    <w:p w14:paraId="6F8B0BDF"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453510A" w14:textId="77777777"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lastRenderedPageBreak/>
        <w:t xml:space="preserve">Em sua obra de 1959, Markowitz dedicou um capítulo para discutir uma medida alternativa de risco: a </w:t>
      </w:r>
      <w:r>
        <w:rPr>
          <w:rFonts w:eastAsia="Google Sans Text"/>
          <w:b/>
          <w:bCs/>
          <w:color w:val="1F1F1F"/>
          <w:sz w:val="24"/>
          <w:szCs w:val="24"/>
        </w:rPr>
        <w:t xml:space="preserve">semivariância </w:t>
      </w:r>
      <w:r>
        <w:rPr>
          <w:rFonts w:eastAsia="Google Sans Text"/>
          <w:color w:val="1F1F1F"/>
          <w:sz w:val="24"/>
          <w:szCs w:val="24"/>
        </w:rPr>
        <w:t>(Estrada, 2007). A semivariância mensura apenas a dispersão dos retornos que caem abaixo de um determinado alvo (como a média ou zero), ignorando a volatilidade "positiva" (ganhos acima do esperado) " (Markowitz, 1959). Markowitz reconheceu explicitamente a superioridade teórica desta medida, afirmando que "a semivariância parece mais plausível do que a variância como uma medida de risco, uma vez que se preocupa apenas com desvios adversos" (Markowitz, 1990). Investidores racionais não temem ganhos inesperados; eles temem perdas.</w:t>
      </w:r>
    </w:p>
    <w:p w14:paraId="4B58BD2E" w14:textId="77777777"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No entanto, Markowitz optou pela variância baseada em critérios de "custo, conveniência e familiaridade" (ESTRADA, 2007).</w:t>
      </w:r>
    </w:p>
    <w:p w14:paraId="265E71AB" w14:textId="77777777" w:rsidR="00405E05" w:rsidRPr="008F1D66" w:rsidRDefault="00405E05" w:rsidP="003F1C11">
      <w:pPr>
        <w:numPr>
          <w:ilvl w:val="0"/>
          <w:numId w:val="4"/>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Custo Computacional:</w:t>
      </w:r>
      <w:r>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quais existiam algoritmos eficientes (como o </w:t>
      </w:r>
      <w:r>
        <w:rPr>
          <w:rFonts w:eastAsia="Google Sans Text"/>
          <w:i/>
          <w:iCs/>
          <w:color w:val="1F1F1F"/>
          <w:sz w:val="24"/>
          <w:szCs w:val="24"/>
        </w:rPr>
        <w:t>Critical Line Algorithm</w:t>
      </w:r>
      <w:r>
        <w:rPr>
          <w:rFonts w:eastAsia="Google Sans Text"/>
          <w:color w:val="1F1F1F"/>
          <w:sz w:val="24"/>
          <w:szCs w:val="24"/>
        </w:rPr>
        <w:t xml:space="preserve"> desenvolvido pelo próprio Markowitz) (Markowitz, Starer, Fram, Gerber, 2019 ). A semivariância, por outro lado, exigia o dobro de dados de entrada (matrizes de semicovariância) e resultava em problemas de otimização mais complexos, onde a matriz de covariância se tornava endógena aos pesos do portfólio (Estrada, 2007).</w:t>
      </w:r>
    </w:p>
    <w:p w14:paraId="103B6C70" w14:textId="77777777" w:rsidR="00405E05" w:rsidRPr="008F1D66" w:rsidRDefault="00405E05" w:rsidP="003F1C11">
      <w:pPr>
        <w:numPr>
          <w:ilvl w:val="0"/>
          <w:numId w:val="4"/>
        </w:numPr>
        <w:pBdr>
          <w:top w:val="nil"/>
          <w:left w:val="nil"/>
          <w:bottom w:val="nil"/>
          <w:right w:val="nil"/>
          <w:between w:val="nil"/>
        </w:pBdr>
        <w:autoSpaceDE/>
        <w:autoSpaceDN/>
        <w:spacing w:line="360" w:lineRule="auto"/>
        <w:jc w:val="both"/>
        <w:rPr>
          <w:sz w:val="24"/>
          <w:szCs w:val="24"/>
        </w:rPr>
      </w:pPr>
      <w:r>
        <w:rPr>
          <w:rFonts w:eastAsia="Google Sans Text"/>
          <w:b/>
          <w:bCs/>
          <w:color w:val="1F1F1F"/>
          <w:sz w:val="24"/>
          <w:szCs w:val="24"/>
        </w:rPr>
        <w:t>Convenência Analítica:</w:t>
      </w:r>
      <w:r>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 (Estrada, 2007). Markowitz apostou na aproximação normal como uma simplificação aceitável para tornar a teoria operacionalizável.</w:t>
      </w:r>
    </w:p>
    <w:p w14:paraId="52BBCAD2" w14:textId="77777777"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 (Estrada, 2007).</w:t>
      </w:r>
    </w:p>
    <w:p w14:paraId="0960B4BB"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5E0226A0" w14:textId="77777777" w:rsidR="00405E05" w:rsidRPr="00D30CD1" w:rsidRDefault="00405E05" w:rsidP="006C34D7">
      <w:pPr>
        <w:pStyle w:val="Ttulo2"/>
        <w:numPr>
          <w:ilvl w:val="1"/>
          <w:numId w:val="1"/>
        </w:numPr>
        <w:spacing w:line="360" w:lineRule="auto"/>
        <w:jc w:val="both"/>
        <w:rPr>
          <w:rFonts w:eastAsia="Google Sans"/>
          <w:color w:val="1F1F1F"/>
          <w:sz w:val="24"/>
          <w:szCs w:val="24"/>
        </w:rPr>
      </w:pPr>
      <w:bookmarkStart w:id="10" w:name="_Toc230856979"/>
      <w:r>
        <w:rPr>
          <w:rFonts w:eastAsia="Google Sans"/>
          <w:color w:val="1F1F1F"/>
          <w:sz w:val="24"/>
          <w:szCs w:val="24"/>
        </w:rPr>
        <w:t>Risco, Retorno e Covariância: A Matemática da Diversificação</w:t>
      </w:r>
      <w:bookmarkEnd w:id="10"/>
    </w:p>
    <w:p w14:paraId="1390A6EA" w14:textId="77777777" w:rsidR="00787E8E" w:rsidRDefault="00787E8E" w:rsidP="00787E8E">
      <w:pPr>
        <w:rPr>
          <w:rFonts w:eastAsia="Google Sans"/>
          <w:color w:val="1F1F1F"/>
          <w:sz w:val="24"/>
          <w:szCs w:val="24"/>
        </w:rPr>
      </w:pPr>
    </w:p>
    <w:p w14:paraId="2F6009DE"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contribuição técnica mais duradoura de Markowitz foi a formulação estatística do risco do portfólio, demonstrando que o risco de um todo não é meramente a soma dos </w:t>
        <w:lastRenderedPageBreak/>
        <w:t>riscos das partes.</w:t>
      </w:r>
    </w:p>
    <w:p w14:paraId="12675F98" w14:textId="77777777" w:rsidR="00787E8E" w:rsidRDefault="00787E8E" w:rsidP="00787E8E">
      <w:pPr>
        <w:rPr>
          <w:rFonts w:eastAsia="Google Sans"/>
          <w:color w:val="1F1F1F"/>
          <w:sz w:val="24"/>
          <w:szCs w:val="24"/>
        </w:rPr>
      </w:pPr>
    </w:p>
    <w:p w14:paraId="22CB0ACF" w14:textId="77777777" w:rsidR="00787E8E" w:rsidRPr="00D30CD1" w:rsidRDefault="00787E8E" w:rsidP="00983175">
      <w:pPr>
        <w:pStyle w:val="Ttulo3"/>
        <w:numPr>
          <w:ilvl w:val="2"/>
          <w:numId w:val="1"/>
        </w:numPr>
        <w:rPr>
          <w:rFonts w:eastAsia="Google Sans"/>
          <w:b w:val="0"/>
          <w:color w:val="1F1F1F"/>
        </w:rPr>
      </w:pPr>
      <w:bookmarkStart w:id="11" w:name="_Toc230856980"/>
      <w:r>
        <w:rPr>
          <w:rFonts w:eastAsia="Google Sans"/>
          <w:b w:val="0"/>
          <w:color w:val="1F1F1F"/>
        </w:rPr>
        <w:t>Retorno Esperado do Portfólio</w:t>
      </w:r>
      <w:bookmarkEnd w:id="11"/>
    </w:p>
    <w:p w14:paraId="626A70B4" w14:textId="77777777" w:rsidR="00C305FA" w:rsidRDefault="00C305FA" w:rsidP="00C305FA">
      <w:pPr>
        <w:rPr>
          <w:rFonts w:eastAsia="Google Sans"/>
          <w:color w:val="1F1F1F"/>
          <w:sz w:val="24"/>
          <w:szCs w:val="24"/>
        </w:rPr>
      </w:pPr>
    </w:p>
    <w:p w14:paraId="28728A80"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Pr>
          <w:rFonts w:eastAsia="Google Sans Text"/>
          <w:sz w:val="36"/>
          <w:lang w:val="pt-BR"/>
        </w:rPr>
        <w:t xml:space="preserve"> </w:t>
      </w:r>
      <w:r>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Pr>
          <w:rFonts w:eastAsia="Google Sans Text"/>
          <w:color w:val="1F1F1F"/>
          <w:sz w:val="24"/>
          <w:szCs w:val="24"/>
        </w:rPr>
        <w:t xml:space="preserve"> representam a fração do capital alocada em cada ativo:</w:t>
      </w:r>
    </w:p>
    <w:p w14:paraId="4D38138F"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B534497" w14:textId="77777777"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14:paraId="447B476C" w14:textId="77777777"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Esta linearidade implica que a diversificação não altera o potencial de retorno médio do portfólio; ela apenas dilui os retornos extremos dos ativos individuais.</w:t>
      </w:r>
      <w:r>
        <w:rPr>
          <w:rFonts w:eastAsia="Google Sans Text"/>
          <w:color w:val="444746"/>
          <w:sz w:val="24"/>
          <w:szCs w:val="24"/>
          <w:vertAlign w:val="superscript"/>
        </w:rPr>
        <w:t>5</w:t>
      </w:r>
    </w:p>
    <w:p w14:paraId="486FC9BC" w14:textId="77777777" w:rsidR="00C305FA" w:rsidRPr="00C305FA" w:rsidRDefault="00C305FA" w:rsidP="00C305FA">
      <w:pPr>
        <w:rPr>
          <w:rFonts w:eastAsia="Google Sans"/>
          <w:color w:val="1F1F1F"/>
          <w:sz w:val="24"/>
          <w:szCs w:val="24"/>
        </w:rPr>
      </w:pPr>
    </w:p>
    <w:p w14:paraId="039B006D" w14:textId="77777777" w:rsidR="00C305FA" w:rsidRPr="00AA5363" w:rsidRDefault="00C305FA" w:rsidP="00983175">
      <w:pPr>
        <w:pStyle w:val="Ttulo3"/>
        <w:numPr>
          <w:ilvl w:val="2"/>
          <w:numId w:val="1"/>
        </w:numPr>
        <w:rPr>
          <w:rFonts w:eastAsia="Google Sans"/>
          <w:b w:val="0"/>
          <w:color w:val="1F1F1F"/>
          <w:sz w:val="22"/>
        </w:rPr>
      </w:pPr>
      <w:bookmarkStart w:id="12" w:name="_Toc230856981"/>
      <w:r>
        <w:rPr>
          <w:rFonts w:eastAsia="Google Sans"/>
          <w:b w:val="0"/>
          <w:color w:val="1F1F1F"/>
        </w:rPr>
        <w:t>Variância e Covariância</w:t>
      </w:r>
      <w:bookmarkEnd w:id="12"/>
    </w:p>
    <w:p w14:paraId="6C6C01E1" w14:textId="77777777" w:rsidR="00983175" w:rsidRPr="00983175" w:rsidRDefault="00983175" w:rsidP="00983175">
      <w:pPr>
        <w:rPr>
          <w:rFonts w:eastAsia="Google Sans"/>
          <w:color w:val="1F1F1F"/>
          <w:szCs w:val="24"/>
        </w:rPr>
      </w:pPr>
    </w:p>
    <w:p w14:paraId="0690FBFE" w14:textId="77777777"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Pr>
          <w:rFonts w:eastAsia="Google Sans Text"/>
          <w:color w:val="1F1F1F"/>
          <w:sz w:val="24"/>
          <w:szCs w:val="24"/>
        </w:rPr>
        <w:t xml:space="preserve">  não é linear. Ela depende crucialmente das </w:t>
      </w:r>
      <w:r>
        <w:rPr>
          <w:rFonts w:eastAsia="Google Sans Text"/>
          <w:b/>
          <w:bCs/>
          <w:color w:val="1F1F1F"/>
          <w:sz w:val="24"/>
          <w:szCs w:val="24"/>
        </w:rPr>
        <w:t>covariâncias</w:t>
      </w:r>
      <w:r>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Pr>
          <w:rFonts w:eastAsia="Google Sans Text"/>
          <w:color w:val="1F1F1F"/>
          <w:sz w:val="24"/>
          <w:szCs w:val="24"/>
        </w:rPr>
        <w:t xml:space="preserve"> ativos é:</w:t>
      </w:r>
    </w:p>
    <w:p w14:paraId="031FFE71"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7D70ED3E" w14:textId="77777777"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704A6C91"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7233EFFB" w14:textId="77777777"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Pr>
          <w:rFonts w:eastAsia="Google Sans Text"/>
          <w:color w:val="1F1F1F"/>
          <w:sz w:val="24"/>
          <w:szCs w:val="24"/>
        </w:rPr>
        <w:t xml:space="preserve">  ,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Pr>
          <w:rFonts w:eastAsia="Google Sans Text"/>
          <w:color w:val="1F1F1F"/>
          <w:sz w:val="24"/>
          <w:szCs w:val="24"/>
        </w:rPr>
        <w:t xml:space="preserve"> é a matriz de covariância (Kim, Boyd, 2007).</w:t>
      </w:r>
    </w:p>
    <w:p w14:paraId="4D8A7362" w14:textId="77777777"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Pr>
          <w:rFonts w:eastAsia="Google Sans Text"/>
          <w:color w:val="1F1F1F"/>
          <w:sz w:val="24"/>
          <w:szCs w:val="24"/>
        </w:rPr>
        <w:t xml:space="preserve"> 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Pr>
          <w:rFonts w:eastAsia="Google Sans Text"/>
          <w:color w:val="1F1F1F"/>
          <w:sz w:val="24"/>
          <w:szCs w:val="24"/>
        </w:rPr>
        <w:t xml:space="preserve"> 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domina (Markowitz, 1999). No limite, o risco de um portfólio diversificado é determinado quase inteiramente pela covariância média entre os ativos, e não pela volatilidade individual de cada um (Markowitz, 1959).</w:t>
      </w:r>
    </w:p>
    <w:p w14:paraId="5379528A" w14:textId="77777777" w:rsidR="00ED30FA" w:rsidRPr="00ED30FA" w:rsidRDefault="00ED30FA" w:rsidP="00ED30FA">
      <w:pPr>
        <w:rPr>
          <w:rFonts w:eastAsia="Google Sans"/>
          <w:color w:val="1F1F1F"/>
          <w:sz w:val="24"/>
          <w:szCs w:val="24"/>
        </w:rPr>
      </w:pPr>
    </w:p>
    <w:p w14:paraId="70604D19" w14:textId="77777777" w:rsidR="00ED30FA" w:rsidRPr="00AA5363" w:rsidRDefault="00ED30FA" w:rsidP="00983175">
      <w:pPr>
        <w:pStyle w:val="Ttulo3"/>
        <w:numPr>
          <w:ilvl w:val="2"/>
          <w:numId w:val="1"/>
        </w:numPr>
        <w:rPr>
          <w:rFonts w:eastAsia="Google Sans"/>
          <w:b w:val="0"/>
          <w:color w:val="1F1F1F"/>
          <w:sz w:val="22"/>
        </w:rPr>
      </w:pPr>
      <w:bookmarkStart w:id="13" w:name="_Toc230856982"/>
      <w:r>
        <w:rPr>
          <w:rFonts w:eastAsia="Google Sans"/>
          <w:b w:val="0"/>
          <w:color w:val="1F1F1F"/>
        </w:rPr>
        <w:lastRenderedPageBreak/>
        <w:t>O Papel da Correlação</w:t>
      </w:r>
      <w:bookmarkEnd w:id="13"/>
    </w:p>
    <w:p w14:paraId="397AB789" w14:textId="77777777" w:rsidR="00983175" w:rsidRPr="00A31F73" w:rsidRDefault="00983175" w:rsidP="00983175">
      <w:pPr>
        <w:rPr>
          <w:rFonts w:eastAsia="Google Sans"/>
          <w:color w:val="1F1F1F"/>
          <w:sz w:val="24"/>
          <w:szCs w:val="24"/>
        </w:rPr>
      </w:pPr>
    </w:p>
    <w:p w14:paraId="33DFDB90"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 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Pr>
          <w:rFonts w:eastAsia="Google Sans Text"/>
          <w:color w:val="1F1F1F"/>
          <w:sz w:val="24"/>
          <w:szCs w:val="24"/>
        </w:rPr>
        <w:t>. O coeficiente de correlação, variando entre -1 e +1, é o "motor" da diversificação:</w:t>
      </w:r>
    </w:p>
    <w:p w14:paraId="2DF6E028"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Perfeita (+1):</w:t>
      </w:r>
      <w:r>
        <w:rPr>
          <w:rFonts w:eastAsia="Google Sans Text"/>
          <w:color w:val="1F1F1F"/>
          <w:sz w:val="24"/>
          <w:szCs w:val="24"/>
        </w:rPr>
        <w:t xml:space="preserve"> O risco do portfólio é a média ponderada dos riscos individuais. Não há benefício de diversificação.</w:t>
      </w:r>
    </w:p>
    <w:p w14:paraId="730224E3"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Inferior a 1:</w:t>
      </w:r>
      <w:r>
        <w:rPr>
          <w:rFonts w:eastAsia="Google Sans Text"/>
          <w:color w:val="1F1F1F"/>
          <w:sz w:val="24"/>
          <w:szCs w:val="24"/>
        </w:rPr>
        <w:t xml:space="preserve"> O risco do portfólio será sempre menor que a média ponderada dos riscos individuais. A volatilidade idiossincrática é cancelada(Hebner, 2022) .</w:t>
      </w:r>
    </w:p>
    <w:p w14:paraId="344E07CF" w14:textId="77777777" w:rsidR="00405E05" w:rsidRPr="008F1D66" w:rsidRDefault="00405E05" w:rsidP="003F1C11">
      <w:pPr>
        <w:numPr>
          <w:ilvl w:val="0"/>
          <w:numId w:val="5"/>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Correlação Negativa (-1):</w:t>
      </w:r>
      <w:r>
        <w:rPr>
          <w:rFonts w:eastAsia="Google Sans Text"/>
          <w:color w:val="1F1F1F"/>
          <w:sz w:val="24"/>
          <w:szCs w:val="24"/>
        </w:rPr>
        <w:t xml:space="preserve"> Permite, teoricamente, a construção de um portfólio com variância zero (hedge perfeito).</w:t>
      </w:r>
    </w:p>
    <w:p w14:paraId="308E670B" w14:textId="77777777"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 (Markowitz, 1959).</w:t>
      </w:r>
    </w:p>
    <w:p w14:paraId="6213D87A" w14:textId="77777777" w:rsidR="00A31F73" w:rsidRPr="00A31F73" w:rsidRDefault="00A31F73" w:rsidP="00A31F73">
      <w:pPr>
        <w:rPr>
          <w:rFonts w:eastAsia="Google Sans"/>
          <w:color w:val="1F1F1F"/>
          <w:sz w:val="24"/>
          <w:szCs w:val="24"/>
        </w:rPr>
      </w:pPr>
    </w:p>
    <w:p w14:paraId="2E64A51A" w14:textId="77777777" w:rsidR="00A31F73" w:rsidRDefault="008E55CE" w:rsidP="008E55CE">
      <w:pPr>
        <w:pStyle w:val="Ttulo2"/>
        <w:numPr>
          <w:ilvl w:val="1"/>
          <w:numId w:val="1"/>
        </w:numPr>
        <w:spacing w:line="360" w:lineRule="auto"/>
        <w:ind w:left="0" w:firstLine="0"/>
        <w:jc w:val="both"/>
        <w:rPr>
          <w:rFonts w:eastAsia="Google Sans"/>
          <w:color w:val="1F1F1F"/>
          <w:sz w:val="24"/>
          <w:szCs w:val="24"/>
        </w:rPr>
      </w:pPr>
      <w:r>
        <w:rPr>
          <w:rFonts w:eastAsia="Google Sans"/>
          <w:color w:val="1F1F1F"/>
          <w:sz w:val="24"/>
          <w:szCs w:val="24"/>
        </w:rPr>
        <w:t xml:space="preserve"> </w:t>
      </w:r>
      <w:bookmarkStart w:id="14" w:name="_Toc230856983"/>
      <w:r>
        <w:rPr>
          <w:rFonts w:eastAsia="Google Sans"/>
          <w:color w:val="1F1F1F"/>
          <w:sz w:val="24"/>
          <w:szCs w:val="24"/>
        </w:rPr>
        <w:t>A Fronteira Eficiente: Otimização e Geometria</w:t>
      </w:r>
      <w:bookmarkEnd w:id="14"/>
    </w:p>
    <w:p w14:paraId="661E95AF" w14:textId="77777777" w:rsidR="00DF0570" w:rsidRDefault="00DF0570" w:rsidP="00983175">
      <w:pPr>
        <w:rPr>
          <w:rFonts w:eastAsia="Google Sans"/>
          <w:color w:val="1F1F1F"/>
          <w:sz w:val="24"/>
          <w:szCs w:val="24"/>
        </w:rPr>
      </w:pPr>
    </w:p>
    <w:p w14:paraId="3E614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aplicação dos princípios de média-variância a um universo de ativos resulta na construção da Fronteira Eficiente, o conjunto de todos os portfólios ótimos que dominam as demais alternativas.</w:t>
      </w:r>
    </w:p>
    <w:p w14:paraId="33E50402" w14:textId="77777777" w:rsidR="00DF0570" w:rsidRDefault="00DF0570" w:rsidP="00DF0570">
      <w:pPr>
        <w:rPr>
          <w:rFonts w:eastAsia="Google Sans"/>
          <w:color w:val="1F1F1F"/>
          <w:sz w:val="24"/>
          <w:szCs w:val="24"/>
        </w:rPr>
      </w:pPr>
    </w:p>
    <w:p w14:paraId="73D77D0A" w14:textId="77777777" w:rsidR="00AA5363" w:rsidRDefault="00AA5363" w:rsidP="00DF0570">
      <w:pPr>
        <w:rPr>
          <w:rFonts w:eastAsia="Google Sans"/>
          <w:color w:val="1F1F1F"/>
          <w:sz w:val="24"/>
          <w:szCs w:val="24"/>
        </w:rPr>
      </w:pPr>
    </w:p>
    <w:p w14:paraId="2CE4F14E" w14:textId="77777777" w:rsidR="00AA5363" w:rsidRDefault="00AA5363" w:rsidP="00DF0570">
      <w:pPr>
        <w:rPr>
          <w:rFonts w:eastAsia="Google Sans"/>
          <w:color w:val="1F1F1F"/>
          <w:sz w:val="24"/>
          <w:szCs w:val="24"/>
        </w:rPr>
      </w:pPr>
    </w:p>
    <w:p w14:paraId="6609FCCC" w14:textId="77777777" w:rsidR="00AA5363" w:rsidRDefault="00AA5363" w:rsidP="00DF0570">
      <w:pPr>
        <w:rPr>
          <w:rFonts w:eastAsia="Google Sans"/>
          <w:color w:val="1F1F1F"/>
          <w:sz w:val="24"/>
          <w:szCs w:val="24"/>
        </w:rPr>
      </w:pPr>
    </w:p>
    <w:p w14:paraId="2834188B" w14:textId="77777777" w:rsidR="00DF0570" w:rsidRPr="00D30CD1" w:rsidRDefault="00DF0570" w:rsidP="00AA5363">
      <w:pPr>
        <w:pStyle w:val="Ttulo3"/>
        <w:numPr>
          <w:ilvl w:val="2"/>
          <w:numId w:val="1"/>
        </w:numPr>
        <w:rPr>
          <w:rFonts w:eastAsia="Google Sans"/>
          <w:b w:val="0"/>
          <w:color w:val="1F1F1F"/>
          <w:sz w:val="22"/>
        </w:rPr>
      </w:pPr>
      <w:bookmarkStart w:id="15" w:name="_Toc230856984"/>
      <w:r>
        <w:rPr>
          <w:rFonts w:eastAsia="Google Sans"/>
          <w:b w:val="0"/>
          <w:color w:val="1F1F1F"/>
        </w:rPr>
        <w:t>Derivação e Definição</w:t>
      </w:r>
      <w:bookmarkEnd w:id="15"/>
    </w:p>
    <w:p w14:paraId="719E5EB1" w14:textId="77777777" w:rsidR="00405E05" w:rsidRPr="008F1D66" w:rsidRDefault="00405E05" w:rsidP="00DF0570">
      <w:pPr>
        <w:rPr>
          <w:rFonts w:eastAsia="Google Sans"/>
          <w:color w:val="1F1F1F"/>
          <w:sz w:val="24"/>
          <w:szCs w:val="24"/>
        </w:rPr>
      </w:pPr>
    </w:p>
    <w:p w14:paraId="63A3901A"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 (Markowitz, 1959). Ela é obtida resolvendo um problema de otimização quadrática convexa (Gundersen, 2022).</w:t>
      </w:r>
    </w:p>
    <w:p w14:paraId="14DC338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EB27699" w14:textId="77777777"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F7CA545"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6BDD322A" w14:textId="77777777"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1FDA56E4"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16443662" w14:textId="77777777" w:rsidR="00405E05" w:rsidRPr="008F1D66" w:rsidRDefault="00405E05" w:rsidP="00AA5363">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forma geométrica exata desta fronteira depende criticamente das restrições </w:t>
        <w:lastRenderedPageBreak/>
        <w:t xml:space="preserve">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Pr>
          <w:rFonts w:eastAsia="Google Sans Text"/>
          <w:color w:val="1F1F1F"/>
          <w:sz w:val="24"/>
          <w:szCs w:val="24"/>
        </w:rPr>
        <w:t>:</w:t>
      </w:r>
    </w:p>
    <w:p w14:paraId="51E70100"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Sem Restrições a Vendas a Descoberto (Unconstrained/Short Selling Allowed):</w:t>
      </w:r>
      <w:r>
        <w:rPr>
          <w:rFonts w:eastAsia="Google Sans Text"/>
          <w:color w:val="1F1F1F"/>
          <w:sz w:val="24"/>
          <w:szCs w:val="24"/>
        </w:rPr>
        <w:t xml:space="preserve"> Se o investidor pode vender a descoberto (assumir pesos negativos) ilimitadamente, a fronteira eficiente é uma </w:t>
      </w:r>
      <w:r>
        <w:rPr>
          <w:rFonts w:eastAsia="Google Sans Text"/>
          <w:b/>
          <w:bCs/>
          <w:color w:val="1F1F1F"/>
          <w:sz w:val="24"/>
          <w:szCs w:val="24"/>
        </w:rPr>
        <w:t>hipérbole</w:t>
      </w:r>
      <w:r>
        <w:rPr>
          <w:rFonts w:eastAsia="Google Sans Text"/>
          <w:color w:val="1F1F1F"/>
          <w:sz w:val="24"/>
          <w:szCs w:val="24"/>
        </w:rPr>
        <w:t xml:space="preserve"> perfeita e suave no espaço média-desvio padrão (Gundersen, 2022). O ramo superior desta hipérbole (acima do vértice) é a fronteira eficiente propriamente dita.</w:t>
      </w:r>
    </w:p>
    <w:p w14:paraId="261E4E12" w14:textId="77777777" w:rsidR="00405E05" w:rsidRPr="008F1D66" w:rsidRDefault="00405E05" w:rsidP="003F1C11">
      <w:pPr>
        <w:numPr>
          <w:ilvl w:val="0"/>
          <w:numId w:val="6"/>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 Restrições a Vendas a Descoberto (No Short Selling Constraint):</w:t>
      </w:r>
      <w:r>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Pr>
          <w:rFonts w:eastAsia="Google Sans Text"/>
          <w:color w:val="1F1F1F"/>
          <w:sz w:val="24"/>
          <w:szCs w:val="24"/>
        </w:rPr>
        <w:t xml:space="preserve">, a fronteira deixa de ser uma hipérbole única e torna-se uma curva convexa composta por uma série de </w:t>
      </w:r>
      <w:r>
        <w:rPr>
          <w:rFonts w:eastAsia="Google Sans Text"/>
          <w:b/>
          <w:bCs/>
          <w:color w:val="1F1F1F"/>
          <w:sz w:val="24"/>
          <w:szCs w:val="24"/>
        </w:rPr>
        <w:t>segmentos de hipérbole conectados</w:t>
      </w:r>
      <w:r>
        <w:rPr>
          <w:rFonts w:eastAsia="Google Sans Text"/>
          <w:color w:val="1F1F1F"/>
          <w:sz w:val="24"/>
          <w:szCs w:val="24"/>
        </w:rPr>
        <w:t xml:space="preserve"> (</w:t>
      </w:r>
      <w:r>
        <w:rPr>
          <w:rFonts w:eastAsia="Google Sans Text"/>
          <w:i/>
          <w:iCs/>
          <w:color w:val="1F1F1F"/>
          <w:sz w:val="24"/>
          <w:szCs w:val="24"/>
        </w:rPr>
        <w:t>piecewise hyperbolic segments</w:t>
      </w:r>
      <w:r>
        <w:rPr>
          <w:rFonts w:eastAsia="Google Sans Text"/>
          <w:color w:val="1F1F1F"/>
          <w:sz w:val="24"/>
          <w:szCs w:val="24"/>
        </w:rPr>
        <w:t>) (Gundersen, 2022).</w:t>
      </w:r>
    </w:p>
    <w:p w14:paraId="73A5BFAF"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Mecanismo:</w:t>
      </w:r>
      <w:r>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 (Qi, 2019).</w:t>
      </w:r>
    </w:p>
    <w:p w14:paraId="38B790CA" w14:textId="77777777" w:rsidR="00405E05" w:rsidRPr="008F1D66" w:rsidRDefault="00405E05" w:rsidP="003F1C11">
      <w:pPr>
        <w:numPr>
          <w:ilvl w:val="1"/>
          <w:numId w:val="7"/>
        </w:numPr>
        <w:pBdr>
          <w:top w:val="nil"/>
          <w:left w:val="nil"/>
          <w:bottom w:val="nil"/>
          <w:right w:val="nil"/>
          <w:between w:val="nil"/>
        </w:pBdr>
        <w:autoSpaceDE/>
        <w:autoSpaceDN/>
        <w:spacing w:line="360" w:lineRule="auto"/>
        <w:ind w:left="1134" w:hanging="283"/>
        <w:jc w:val="both"/>
        <w:rPr>
          <w:sz w:val="24"/>
          <w:szCs w:val="24"/>
        </w:rPr>
      </w:pPr>
      <w:r>
        <w:rPr>
          <w:rFonts w:eastAsia="Google Sans Text"/>
          <w:i/>
          <w:iCs/>
          <w:color w:val="1F1F1F"/>
          <w:sz w:val="24"/>
          <w:szCs w:val="24"/>
        </w:rPr>
        <w:t>Implicação:</w:t>
      </w:r>
      <w:r>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 (Gundersen, 2022).</w:t>
      </w:r>
    </w:p>
    <w:p w14:paraId="753A64BB" w14:textId="77777777"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algoritmo desenvolvido por Markowitz para traçar essa fronteira complexa com restrições de desigualdade é o </w:t>
      </w:r>
      <w:r>
        <w:rPr>
          <w:rFonts w:eastAsia="Google Sans Text"/>
          <w:b/>
          <w:bCs/>
          <w:color w:val="1F1F1F"/>
          <w:sz w:val="24"/>
          <w:szCs w:val="24"/>
        </w:rPr>
        <w:t>Critical Line Algorithm (CLA)</w:t>
      </w:r>
      <w:r>
        <w:rPr>
          <w:rFonts w:eastAsia="Google Sans Text"/>
          <w:color w:val="1F1F1F"/>
          <w:sz w:val="24"/>
          <w:szCs w:val="24"/>
        </w:rPr>
        <w:t>, um método de otimização quadrática paramétrica que precede e inspira os modernos solvers de programação quadrática (Markowitz, Starer, Fram, Gerber, 2019).</w:t>
      </w:r>
    </w:p>
    <w:p w14:paraId="5C37417C" w14:textId="77777777" w:rsidR="000638D0" w:rsidRDefault="000638D0" w:rsidP="00BC3719">
      <w:pPr>
        <w:rPr>
          <w:rFonts w:eastAsia="Google Sans"/>
          <w:color w:val="1F1F1F"/>
          <w:szCs w:val="24"/>
        </w:rPr>
      </w:pPr>
    </w:p>
    <w:p w14:paraId="4ED80D16" w14:textId="77777777" w:rsidR="00AA5363" w:rsidRPr="00AA5363" w:rsidRDefault="00AA5363" w:rsidP="00AA5363">
      <w:pPr>
        <w:rPr>
          <w:rFonts w:eastAsia="Google Sans"/>
          <w:color w:val="1F1F1F"/>
          <w:szCs w:val="24"/>
        </w:rPr>
      </w:pPr>
    </w:p>
    <w:p w14:paraId="517AD311" w14:textId="77777777" w:rsidR="00AA5363" w:rsidRPr="00AA5363" w:rsidRDefault="00AA5363" w:rsidP="00BC3719">
      <w:pPr>
        <w:rPr>
          <w:rFonts w:eastAsia="Google Sans"/>
          <w:color w:val="1F1F1F"/>
          <w:szCs w:val="24"/>
        </w:rPr>
      </w:pPr>
    </w:p>
    <w:p w14:paraId="7000175A" w14:textId="77777777" w:rsidR="000638D0" w:rsidRPr="00D30CD1" w:rsidRDefault="000638D0" w:rsidP="00B91057">
      <w:pPr>
        <w:pStyle w:val="Ttulo3"/>
        <w:numPr>
          <w:ilvl w:val="2"/>
          <w:numId w:val="1"/>
        </w:numPr>
        <w:rPr>
          <w:rFonts w:eastAsia="Google Sans"/>
          <w:b w:val="0"/>
          <w:color w:val="1F1F1F"/>
          <w:sz w:val="22"/>
        </w:rPr>
      </w:pPr>
      <w:bookmarkStart w:id="16" w:name="_Toc230856985"/>
      <w:r>
        <w:rPr>
          <w:rFonts w:eastAsia="Google Sans"/>
          <w:b w:val="0"/>
          <w:color w:val="1F1F1F"/>
        </w:rPr>
        <w:t>O Portfólio de Mínima Variância Global</w:t>
      </w:r>
      <w:bookmarkEnd w:id="16"/>
    </w:p>
    <w:p w14:paraId="4E8CD247" w14:textId="77777777" w:rsidR="008E376E" w:rsidRDefault="008E376E" w:rsidP="008E376E">
      <w:pPr>
        <w:rPr>
          <w:rFonts w:eastAsia="Google Sans"/>
          <w:color w:val="1F1F1F"/>
          <w:sz w:val="24"/>
          <w:szCs w:val="24"/>
        </w:rPr>
      </w:pPr>
    </w:p>
    <w:p w14:paraId="0B6BCDEE" w14:textId="77777777" w:rsidR="008E376E" w:rsidRPr="008F1D66" w:rsidRDefault="008E376E" w:rsidP="008E376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vértice da fronteira (seja ela hiperbólica ou segmentada) é o Portfólio de Mínima Variância Global (GMV). Este é o único ponto na curva onde o risco é minimizado em termos absolutos, sem consideração pelo retorno (Kim, Boyd, 2007). Em teoria, nenhum investidor racional avesso ao risco escolheria um portfólio localizado na </w:t>
        <w:lastRenderedPageBreak/>
        <w:t>parte "inferior" da fronteira (abaixo do GMV), pois para cada ponto nessa região existe um portfólio na parte superior com o mesmo risco, mas com retorno estritamente maior (dominância média-variância) (Gundersen, 2022).</w:t>
      </w:r>
    </w:p>
    <w:p w14:paraId="41C7D8A9" w14:textId="77777777" w:rsidR="008E376E" w:rsidRPr="008E376E" w:rsidRDefault="008E376E" w:rsidP="008E376E">
      <w:pPr>
        <w:rPr>
          <w:rFonts w:eastAsia="Google Sans"/>
          <w:color w:val="1F1F1F"/>
          <w:sz w:val="24"/>
          <w:szCs w:val="24"/>
        </w:rPr>
      </w:pPr>
    </w:p>
    <w:p w14:paraId="2ACFA3E3" w14:textId="77777777" w:rsidR="008E376E" w:rsidRPr="00D30CD1" w:rsidRDefault="008E376E" w:rsidP="00BC3719">
      <w:pPr>
        <w:pStyle w:val="Ttulo3"/>
        <w:numPr>
          <w:ilvl w:val="2"/>
          <w:numId w:val="1"/>
        </w:numPr>
        <w:rPr>
          <w:rFonts w:eastAsia="Google Sans"/>
          <w:b w:val="0"/>
          <w:color w:val="1F1F1F"/>
        </w:rPr>
      </w:pPr>
      <w:bookmarkStart w:id="17" w:name="_Toc230856986"/>
      <w:r>
        <w:rPr>
          <w:rFonts w:eastAsia="Google Sans"/>
          <w:b w:val="0"/>
          <w:color w:val="1F1F1F"/>
        </w:rPr>
        <w:t>O Ativo Livre de Risco e o Teorema da Separação</w:t>
      </w:r>
      <w:bookmarkEnd w:id="17"/>
    </w:p>
    <w:p w14:paraId="7ACF02CB" w14:textId="77777777" w:rsidR="008E376E" w:rsidRDefault="008E376E" w:rsidP="008E376E">
      <w:pPr>
        <w:rPr>
          <w:rFonts w:eastAsia="Google Sans"/>
          <w:color w:val="1F1F1F"/>
          <w:sz w:val="24"/>
          <w:szCs w:val="24"/>
        </w:rPr>
      </w:pPr>
    </w:p>
    <w:p w14:paraId="72AB22F3"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introdução de um ativo livre de risco (</w:t>
      </w:r>
      <w:r>
        <w:rPr>
          <w:rFonts w:eastAsia="Google Sans Text"/>
          <w:i/>
          <w:iCs/>
          <w:color w:val="1F1F1F"/>
          <w:sz w:val="24"/>
          <w:szCs w:val="24"/>
        </w:rPr>
        <w:t>risk-free asset</w:t>
      </w:r>
      <w:r>
        <w:rPr>
          <w:rFonts w:eastAsia="Google Sans Text"/>
          <w:color w:val="1F1F1F"/>
          <w:sz w:val="24"/>
          <w:szCs w:val="24"/>
        </w:rPr>
        <w:t>) expande o conjunto de oportunidades do investidor além da fronteira de ativos de risco, alterando a geometria da escolha ótima e levando ao Teorema da Separação de Tobin.</w:t>
      </w:r>
    </w:p>
    <w:p w14:paraId="2A68B233" w14:textId="77777777" w:rsidR="00356976" w:rsidRPr="008E376E" w:rsidRDefault="00356976" w:rsidP="008E376E">
      <w:pPr>
        <w:rPr>
          <w:rFonts w:eastAsia="Google Sans"/>
          <w:color w:val="1F1F1F"/>
          <w:sz w:val="24"/>
          <w:szCs w:val="24"/>
        </w:rPr>
      </w:pPr>
    </w:p>
    <w:p w14:paraId="0D8913FD" w14:textId="77777777" w:rsidR="008E376E" w:rsidRPr="00BC3719" w:rsidRDefault="00356976" w:rsidP="00BC3719">
      <w:pPr>
        <w:pStyle w:val="Ttulo3"/>
        <w:numPr>
          <w:ilvl w:val="3"/>
          <w:numId w:val="1"/>
        </w:numPr>
        <w:rPr>
          <w:rFonts w:eastAsia="Google Sans"/>
          <w:color w:val="1F1F1F"/>
        </w:rPr>
      </w:pPr>
      <w:bookmarkStart w:id="18" w:name="_Toc230856987"/>
      <w:r>
        <w:rPr>
          <w:rFonts w:eastAsia="Google Sans"/>
          <w:b w:val="0"/>
          <w:bCs w:val="0"/>
          <w:color w:val="1F1F1F"/>
        </w:rPr>
        <w:t>O Ativo Livre de Risco</w:t>
      </w:r>
      <w:bookmarkEnd w:id="18"/>
    </w:p>
    <w:p w14:paraId="5ED092FF" w14:textId="77777777" w:rsidR="00BC3719" w:rsidRPr="00F52827" w:rsidRDefault="00BC3719" w:rsidP="00BC3719">
      <w:pPr>
        <w:rPr>
          <w:rFonts w:eastAsia="Google Sans"/>
          <w:color w:val="1F1F1F"/>
          <w:sz w:val="24"/>
          <w:szCs w:val="24"/>
        </w:rPr>
      </w:pPr>
    </w:p>
    <w:p w14:paraId="02A4226C" w14:textId="77777777" w:rsidR="00F52827" w:rsidRPr="00DB4D15" w:rsidRDefault="00F52827" w:rsidP="008E376E">
      <w:pPr>
        <w:rPr>
          <w:rFonts w:eastAsia="Google Sans"/>
          <w:b/>
          <w:bCs/>
          <w:color w:val="1F1F1F"/>
          <w:sz w:val="24"/>
          <w:szCs w:val="24"/>
        </w:rPr>
      </w:pPr>
    </w:p>
    <w:p w14:paraId="6DC93E48" w14:textId="77777777" w:rsidR="00405E05" w:rsidRPr="00F57C2E"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Pr>
          <w:rFonts w:eastAsia="Google Sans Text"/>
          <w:color w:val="1F1F1F"/>
          <w:sz w:val="24"/>
          <w:szCs w:val="24"/>
        </w:rPr>
        <w:t>.</w:t>
      </w:r>
      <w:r>
        <w:rPr>
          <w:rFonts w:eastAsia="Google Sans Text"/>
          <w:color w:val="444746"/>
          <w:sz w:val="24"/>
          <w:szCs w:val="24"/>
          <w:vertAlign w:val="superscript"/>
        </w:rPr>
        <w:t>34</w:t>
      </w:r>
      <w:r>
        <w:rPr>
          <w:rFonts w:eastAsia="Google Sans Text"/>
          <w:color w:val="1F1F1F"/>
          <w:sz w:val="24"/>
          <w:szCs w:val="24"/>
        </w:rPr>
        <w:t xml:space="preserve"> Na prática financeira, títulos governamentais de curto prazo, como as </w:t>
      </w:r>
      <w:r>
        <w:rPr>
          <w:rFonts w:eastAsia="Google Sans Text"/>
          <w:i/>
          <w:iCs/>
          <w:color w:val="1F1F1F"/>
          <w:sz w:val="24"/>
          <w:szCs w:val="24"/>
        </w:rPr>
        <w:t>Treasury Bills</w:t>
      </w:r>
      <w:r>
        <w:rPr>
          <w:rFonts w:eastAsia="Google Sans Text"/>
          <w:color w:val="1F1F1F"/>
          <w:sz w:val="24"/>
          <w:szCs w:val="24"/>
        </w:rPr>
        <w:t xml:space="preserve"> dos EUA, são utilizados como </w:t>
      </w:r>
      <w:r>
        <w:rPr>
          <w:rFonts w:eastAsia="Google Sans Text"/>
          <w:i/>
          <w:iCs/>
          <w:color w:val="1F1F1F"/>
          <w:sz w:val="24"/>
          <w:szCs w:val="24"/>
        </w:rPr>
        <w:t>proxies</w:t>
      </w:r>
      <w:r>
        <w:rPr>
          <w:rFonts w:eastAsia="Google Sans Text"/>
          <w:color w:val="1F1F1F"/>
          <w:sz w:val="24"/>
          <w:szCs w:val="24"/>
        </w:rPr>
        <w:t>, assumindo-se ausência de risco de crédito e risco de reinvestimento negligenciável para o horizonte de um período (Rohatgi</w:t>
      </w:r>
      <w:r>
        <w:rPr>
          <w:rFonts w:eastAsia="Google Sans Text"/>
          <w:sz w:val="24"/>
          <w:szCs w:val="24"/>
        </w:rPr>
        <w:t>,</w:t>
      </w:r>
      <w:r>
        <w:rPr>
          <w:rFonts w:eastAsia="Google Sans Text"/>
          <w:color w:val="1F1F1F"/>
          <w:sz w:val="24"/>
          <w:szCs w:val="24"/>
        </w:rPr>
        <w:t xml:space="preserve"> 2011). A inclusão deste ativo permite duas novas operações financeiras fundamentais:</w:t>
      </w:r>
    </w:p>
    <w:p w14:paraId="5C674113"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Empréstimo Livre de Risco (Lending):</w:t>
      </w:r>
      <w:r>
        <w:rPr>
          <w:rFonts w:eastAsia="Google Sans Text"/>
          <w:color w:val="1F1F1F"/>
          <w:sz w:val="24"/>
          <w:szCs w:val="24"/>
        </w:rPr>
        <w:t xml:space="preserve"> O investidor pode aplicar parte de sua riqueza no ativo livre de risco, reduzindo a exposição total ao risco do mercado.</w:t>
      </w:r>
    </w:p>
    <w:p w14:paraId="00385C7C" w14:textId="77777777" w:rsidR="00405E05" w:rsidRPr="008F1D66" w:rsidRDefault="00405E05" w:rsidP="003F1C11">
      <w:pPr>
        <w:numPr>
          <w:ilvl w:val="0"/>
          <w:numId w:val="4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Tomada de Empréstimo Livre de Risco (Borrowing/Leverage):</w:t>
      </w:r>
      <w:r>
        <w:rPr>
          <w:rFonts w:eastAsia="Google Sans Text"/>
          <w:color w:val="1F1F1F"/>
          <w:sz w:val="24"/>
          <w:szCs w:val="24"/>
        </w:rPr>
        <w:t xml:space="preserve"> O investidor pode tomar dinheiro emprestado à taxa livre de risco para alavancar sua posição nos ativos de risco.</w:t>
      </w:r>
      <w:r>
        <w:rPr>
          <w:rFonts w:eastAsia="Google Sans Text"/>
          <w:color w:val="444746"/>
          <w:sz w:val="24"/>
          <w:szCs w:val="24"/>
          <w:vertAlign w:val="superscript"/>
        </w:rPr>
        <w:t>37</w:t>
      </w:r>
    </w:p>
    <w:p w14:paraId="0D40A7B7" w14:textId="77777777" w:rsidR="0097749F" w:rsidRPr="00F52827" w:rsidRDefault="0097749F" w:rsidP="0097749F">
      <w:pPr>
        <w:rPr>
          <w:rFonts w:eastAsia="Google Sans"/>
          <w:color w:val="1F1F1F"/>
          <w:sz w:val="24"/>
          <w:szCs w:val="24"/>
        </w:rPr>
      </w:pPr>
    </w:p>
    <w:p w14:paraId="046EC079" w14:textId="77777777" w:rsidR="00346652" w:rsidRPr="00346652" w:rsidRDefault="0097749F" w:rsidP="00346652">
      <w:pPr>
        <w:pStyle w:val="Ttulo3"/>
        <w:numPr>
          <w:ilvl w:val="2"/>
          <w:numId w:val="1"/>
        </w:numPr>
        <w:rPr>
          <w:rFonts w:eastAsia="Google Sans"/>
          <w:b w:val="0"/>
          <w:color w:val="1F1F1F"/>
        </w:rPr>
      </w:pPr>
      <w:bookmarkStart w:id="19" w:name="_Toc230856988"/>
      <w:r>
        <w:rPr>
          <w:rFonts w:eastAsia="Google Sans"/>
          <w:b w:val="0"/>
          <w:color w:val="1F1F1F"/>
        </w:rPr>
        <w:t>O Teorema da Separação de Tobin</w:t>
      </w:r>
      <w:bookmarkEnd w:id="19"/>
    </w:p>
    <w:p w14:paraId="27DA8B2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6196ABC" w14:textId="77777777" w:rsidR="00405E05" w:rsidRPr="00356976" w:rsidRDefault="00405E05" w:rsidP="0097749F">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James Tobin, em seu artigo seminal de 1958 </w:t>
      </w:r>
      <w:r>
        <w:rPr>
          <w:rFonts w:eastAsia="Google Sans Text"/>
          <w:i/>
          <w:iCs/>
          <w:color w:val="1F1F1F"/>
          <w:sz w:val="24"/>
          <w:szCs w:val="24"/>
        </w:rPr>
        <w:t>Liquidity Preference as Behavior Towards Risk</w:t>
      </w:r>
      <w:r>
        <w:rPr>
          <w:rFonts w:eastAsia="Google Sans Text"/>
          <w:color w:val="1F1F1F"/>
          <w:sz w:val="24"/>
          <w:szCs w:val="24"/>
        </w:rPr>
        <w:t>, formalizou o impacto do ativo livre de risco na teoria da escolha de portfólio.</w:t>
      </w:r>
      <w:r>
        <w:rPr>
          <w:rFonts w:eastAsia="Google Sans Text"/>
          <w:color w:val="444746"/>
          <w:sz w:val="24"/>
          <w:szCs w:val="24"/>
          <w:vertAlign w:val="superscript"/>
        </w:rPr>
        <w:t>39</w:t>
      </w:r>
      <w:r>
        <w:rPr>
          <w:rFonts w:eastAsia="Google Sans Text"/>
          <w:color w:val="1F1F1F"/>
          <w:sz w:val="24"/>
          <w:szCs w:val="24"/>
        </w:rPr>
        <w:t xml:space="preserve"> Tobin demonstrou que, na presença de um ativo livre de risco, o processo de decisão de investimento pode ser decomposto em duas etapas distintas e independentes — um resultado conhecido como o </w:t>
      </w:r>
      <w:r>
        <w:rPr>
          <w:rFonts w:eastAsia="Google Sans Text"/>
          <w:b/>
          <w:bCs/>
          <w:color w:val="1F1F1F"/>
          <w:sz w:val="24"/>
          <w:szCs w:val="24"/>
        </w:rPr>
        <w:t>Teorema da Separação</w:t>
      </w:r>
      <w:r>
        <w:rPr>
          <w:rFonts w:eastAsia="Google Sans Text"/>
          <w:color w:val="1F1F1F"/>
          <w:sz w:val="24"/>
          <w:szCs w:val="24"/>
        </w:rPr>
        <w:t xml:space="preserve"> (ou </w:t>
      </w:r>
      <w:r>
        <w:rPr>
          <w:rFonts w:eastAsia="Google Sans Text"/>
          <w:i/>
          <w:iCs/>
          <w:color w:val="1F1F1F"/>
          <w:sz w:val="24"/>
          <w:szCs w:val="24"/>
        </w:rPr>
        <w:t>Two-Fund Separation Theorem</w:t>
      </w:r>
      <w:r>
        <w:rPr>
          <w:rFonts w:eastAsia="Google Sans Text"/>
          <w:color w:val="1F1F1F"/>
          <w:sz w:val="24"/>
          <w:szCs w:val="24"/>
        </w:rPr>
        <w:t>) (Buiter, 2003).</w:t>
      </w:r>
    </w:p>
    <w:p w14:paraId="18205BC8" w14:textId="77777777" w:rsidR="00356976" w:rsidRPr="00356976" w:rsidRDefault="00356976"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2C6DC4F3"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lastRenderedPageBreak/>
        <w:t>Etapa 1: A Decisão Técnica (Seleção do Portfólio Ótimo de Risco).</w:t>
      </w:r>
      <w:r>
        <w:rPr>
          <w:rFonts w:eastAsia="Google Sans Text"/>
          <w:color w:val="1F1F1F"/>
          <w:sz w:val="24"/>
          <w:szCs w:val="24"/>
        </w:rPr>
        <w:t xml:space="preserve"> O investidor deve primeiro identificar o portfólio de ativos de risco que maximiza o retorno por unidade de risco. Geometricamente, este é o </w:t>
      </w:r>
      <w:r>
        <w:rPr>
          <w:rFonts w:eastAsia="Google Sans Text"/>
          <w:b/>
          <w:bCs/>
          <w:color w:val="1F1F1F"/>
          <w:sz w:val="24"/>
          <w:szCs w:val="24"/>
        </w:rPr>
        <w:t>Portfólio de Tangência</w:t>
      </w:r>
      <w:r>
        <w:rPr>
          <w:rFonts w:eastAsia="Google Sans Text"/>
          <w:color w:val="1F1F1F"/>
          <w:sz w:val="24"/>
          <w:szCs w:val="24"/>
        </w:rPr>
        <w:t xml:space="preserve"> (Tangency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tangencia a fronteira eficiente hiperbólica dos ativos de risco (Gundersen, 2022). A composição deste portfólio é puramente técnica e objetiva, dependendo apenas das estimativas de médias, variâncias e covariâncias; ela é </w:t>
      </w:r>
      <w:r>
        <w:rPr>
          <w:rFonts w:eastAsia="Google Sans Text"/>
          <w:i/>
          <w:iCs/>
          <w:color w:val="1F1F1F"/>
          <w:sz w:val="24"/>
          <w:szCs w:val="24"/>
        </w:rPr>
        <w:t>independente</w:t>
      </w:r>
      <w:r>
        <w:rPr>
          <w:rFonts w:eastAsia="Google Sans Text"/>
          <w:color w:val="1F1F1F"/>
          <w:sz w:val="24"/>
          <w:szCs w:val="24"/>
        </w:rPr>
        <w:t xml:space="preserve"> das preferências de risco do investidor individual.</w:t>
      </w:r>
      <w:r>
        <w:rPr>
          <w:rFonts w:eastAsia="Google Sans Text"/>
          <w:color w:val="444746"/>
          <w:sz w:val="24"/>
          <w:szCs w:val="24"/>
          <w:vertAlign w:val="superscript"/>
        </w:rPr>
        <w:t>37</w:t>
      </w:r>
    </w:p>
    <w:p w14:paraId="0A296816" w14:textId="77777777" w:rsidR="00405E05" w:rsidRPr="008F1D66" w:rsidRDefault="00405E05" w:rsidP="003F1C11">
      <w:pPr>
        <w:numPr>
          <w:ilvl w:val="0"/>
          <w:numId w:val="8"/>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Etapa 2: A Decisão Pessoal (Alocação de Capital).</w:t>
      </w:r>
      <w:r>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Pr>
          <w:rFonts w:eastAsia="Google Sans Text"/>
          <w:color w:val="444746"/>
          <w:sz w:val="24"/>
          <w:szCs w:val="24"/>
          <w:vertAlign w:val="superscript"/>
        </w:rPr>
        <w:t>37</w:t>
      </w:r>
    </w:p>
    <w:p w14:paraId="718AC43E" w14:textId="77777777" w:rsidR="001C5DAA" w:rsidRPr="00F52827" w:rsidRDefault="001C5DAA" w:rsidP="001C5DAA">
      <w:pPr>
        <w:rPr>
          <w:rFonts w:eastAsia="Google Sans"/>
          <w:color w:val="1F1F1F"/>
          <w:sz w:val="24"/>
          <w:szCs w:val="24"/>
        </w:rPr>
      </w:pPr>
    </w:p>
    <w:p w14:paraId="73977DD3" w14:textId="77777777" w:rsidR="001C5DAA" w:rsidRPr="00346652" w:rsidRDefault="001C5DAA" w:rsidP="00346652">
      <w:pPr>
        <w:pStyle w:val="Ttulo3"/>
        <w:numPr>
          <w:ilvl w:val="2"/>
          <w:numId w:val="1"/>
        </w:numPr>
        <w:rPr>
          <w:rFonts w:eastAsia="Google Sans"/>
          <w:b w:val="0"/>
          <w:color w:val="1F1F1F"/>
          <w:sz w:val="22"/>
        </w:rPr>
      </w:pPr>
      <w:bookmarkStart w:id="20" w:name="_Toc230856989"/>
      <w:r>
        <w:rPr>
          <w:rFonts w:eastAsia="Google Sans"/>
          <w:b w:val="0"/>
          <w:color w:val="1F1F1F"/>
        </w:rPr>
        <w:t>A Reta do Mercado de Capitais (Capital Market Line - CML)</w:t>
      </w:r>
      <w:bookmarkEnd w:id="20"/>
    </w:p>
    <w:p w14:paraId="15C2F8DF" w14:textId="77777777" w:rsidR="00346652" w:rsidRPr="00346652" w:rsidRDefault="00346652" w:rsidP="00346652">
      <w:pPr>
        <w:rPr>
          <w:rFonts w:eastAsia="Google Sans"/>
          <w:b/>
          <w:color w:val="1F1F1F"/>
          <w:szCs w:val="24"/>
        </w:rPr>
      </w:pPr>
    </w:p>
    <w:p w14:paraId="73D2482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combinação linear do ativo livre de risco com o Portfólio de Tangência gera a </w:t>
      </w:r>
      <w:r>
        <w:rPr>
          <w:rFonts w:eastAsia="Google Sans Text"/>
          <w:b/>
          <w:bCs/>
          <w:color w:val="1F1F1F"/>
          <w:sz w:val="24"/>
          <w:szCs w:val="24"/>
        </w:rPr>
        <w:t>Reta do Mercado de Capitais</w:t>
      </w:r>
      <w:r>
        <w:rPr>
          <w:rFonts w:eastAsia="Google Sans Text"/>
          <w:color w:val="1F1F1F"/>
          <w:sz w:val="24"/>
          <w:szCs w:val="24"/>
        </w:rPr>
        <w:t xml:space="preserve"> (Capital Market Line - CML). A CML torna-se a </w:t>
      </w:r>
      <w:r>
        <w:rPr>
          <w:rFonts w:eastAsia="Google Sans Text"/>
          <w:i/>
          <w:iCs/>
          <w:color w:val="1F1F1F"/>
          <w:sz w:val="24"/>
          <w:szCs w:val="24"/>
        </w:rPr>
        <w:t>nova</w:t>
      </w:r>
      <w:r>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Pr>
          <w:rFonts w:eastAsia="Google Sans Text"/>
          <w:color w:val="444746"/>
          <w:sz w:val="24"/>
          <w:szCs w:val="24"/>
          <w:vertAlign w:val="superscript"/>
        </w:rPr>
        <w:t>37</w:t>
      </w:r>
    </w:p>
    <w:p w14:paraId="65278C8F"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O posicionamento do investidor ao longo da CML é determinado pelo mecanismo de alavancagem:</w:t>
      </w:r>
    </w:p>
    <w:p w14:paraId="39483C5E"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Conservadores (Lending Portfolios):</w:t>
      </w:r>
      <w:r>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Pr>
          <w:rFonts w:eastAsia="Google Sans Text"/>
          <w:color w:val="1F1F1F"/>
          <w:sz w:val="24"/>
          <w:szCs w:val="24"/>
        </w:rPr>
        <w:t>.</w:t>
      </w:r>
      <w:r>
        <w:rPr>
          <w:rFonts w:eastAsia="Google Sans Text"/>
          <w:color w:val="444746"/>
          <w:sz w:val="24"/>
          <w:szCs w:val="24"/>
          <w:vertAlign w:val="superscript"/>
        </w:rPr>
        <w:t>37</w:t>
      </w:r>
    </w:p>
    <w:p w14:paraId="2340A3A3" w14:textId="77777777" w:rsidR="00405E05" w:rsidRPr="008F1D66" w:rsidRDefault="00405E05" w:rsidP="003F1C11">
      <w:pPr>
        <w:numPr>
          <w:ilvl w:val="0"/>
          <w:numId w:val="9"/>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Investidores Agressivos (Borrowing Portfolios):</w:t>
      </w:r>
      <w:r>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Pr>
          <w:rFonts w:eastAsia="Google Sans Text"/>
          <w:color w:val="1F1F1F"/>
          <w:sz w:val="24"/>
          <w:szCs w:val="24"/>
        </w:rPr>
        <w:t xml:space="preserve"> ampliando tanto o retorno esperado quanto a volatilidade.</w:t>
      </w:r>
      <w:r>
        <w:rPr>
          <w:rFonts w:eastAsia="Google Sans Text"/>
          <w:color w:val="444746"/>
          <w:sz w:val="24"/>
          <w:szCs w:val="24"/>
          <w:vertAlign w:val="superscript"/>
        </w:rPr>
        <w:t>37</w:t>
      </w:r>
    </w:p>
    <w:p w14:paraId="01D2749E"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A equação que descreve a CML é:</w:t>
      </w:r>
    </w:p>
    <w:p w14:paraId="01D0810F"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36F3BDA5" w14:textId="77777777"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3FBF3F53"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26ED23ED" w14:textId="77777777"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Pr>
          <w:rFonts w:eastAsia="Google Sans Text"/>
          <w:sz w:val="24"/>
          <w:szCs w:val="24"/>
        </w:rPr>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Pr>
          <w:rFonts w:eastAsia="Google Sans Text"/>
          <w:sz w:val="24"/>
          <w:szCs w:val="24"/>
        </w:rPr>
        <w:t>, representa o "preço de mercado do risco" — o retorno adicional que o mercado exige para aceitar uma unidade adicional de desvio padrão.44</w:t>
      </w:r>
    </w:p>
    <w:p w14:paraId="72880D97"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687E5988" w14:textId="77777777" w:rsidR="00346652" w:rsidRPr="00346652" w:rsidRDefault="00405E05" w:rsidP="00346652">
      <w:pPr>
        <w:pStyle w:val="PargrafodaLista"/>
        <w:numPr>
          <w:ilvl w:val="2"/>
          <w:numId w:val="1"/>
        </w:numPr>
        <w:pBdr>
          <w:top w:val="nil"/>
          <w:left w:val="nil"/>
          <w:bottom w:val="nil"/>
          <w:right w:val="nil"/>
          <w:between w:val="nil"/>
        </w:pBdr>
        <w:spacing w:line="360" w:lineRule="auto"/>
        <w:jc w:val="both"/>
        <w:outlineLvl w:val="2"/>
        <w:rPr>
          <w:rFonts w:eastAsia="Google Sans Text"/>
          <w:bCs/>
          <w:color w:val="1F1F1F"/>
          <w:sz w:val="24"/>
          <w:szCs w:val="24"/>
        </w:rPr>
      </w:pPr>
      <w:bookmarkStart w:id="21" w:name="_Toc230856990"/>
      <w:r>
        <w:rPr>
          <w:rFonts w:eastAsia="Google Sans Text"/>
          <w:bCs/>
          <w:color w:val="1F1F1F"/>
          <w:sz w:val="24"/>
          <w:szCs w:val="24"/>
        </w:rPr>
        <w:t>Considerações sobre Taxas de Empréstimo Diferenciadas</w:t>
      </w:r>
      <w:bookmarkEnd w:id="21"/>
    </w:p>
    <w:p w14:paraId="523DA407" w14:textId="77777777" w:rsidR="00346652" w:rsidRDefault="00346652" w:rsidP="00346652">
      <w:pPr>
        <w:pBdr>
          <w:top w:val="nil"/>
          <w:left w:val="nil"/>
          <w:bottom w:val="nil"/>
          <w:right w:val="nil"/>
          <w:between w:val="nil"/>
        </w:pBdr>
        <w:spacing w:line="360" w:lineRule="auto"/>
        <w:ind w:firstLine="851"/>
        <w:jc w:val="both"/>
        <w:rPr>
          <w:rFonts w:eastAsia="Google Sans Text"/>
          <w:color w:val="1F1F1F"/>
          <w:sz w:val="24"/>
          <w:szCs w:val="24"/>
        </w:rPr>
      </w:pPr>
    </w:p>
    <w:p w14:paraId="21CA706B" w14:textId="77777777" w:rsidR="00405E05" w:rsidRPr="008F1D66" w:rsidRDefault="00405E05" w:rsidP="00346652">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Na realidade, investidores raramente conseguem tomar empréstimos à mesma taxa livre de risco que o governo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Pr>
          <w:rFonts w:eastAsia="Google Sans Text"/>
          <w:color w:val="1F1F1F"/>
          <w:sz w:val="24"/>
          <w:szCs w:val="24"/>
        </w:rPr>
        <w:t xml:space="preserve"> 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Pr>
          <w:rFonts w:eastAsia="Google Sans Text"/>
          <w:color w:val="444746"/>
          <w:sz w:val="24"/>
          <w:szCs w:val="24"/>
          <w:vertAlign w:val="superscript"/>
        </w:rPr>
        <w:t>41</w:t>
      </w:r>
    </w:p>
    <w:p w14:paraId="6E478479" w14:textId="77777777" w:rsidR="001C5DAA" w:rsidRPr="00F52827" w:rsidRDefault="001C5DAA" w:rsidP="001C5DAA">
      <w:pPr>
        <w:rPr>
          <w:rFonts w:eastAsia="Google Sans"/>
          <w:color w:val="1F1F1F"/>
          <w:sz w:val="24"/>
          <w:szCs w:val="24"/>
        </w:rPr>
      </w:pPr>
    </w:p>
    <w:p w14:paraId="48B1FA5C" w14:textId="77777777"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30856991"/>
      <w:r>
        <w:rPr>
          <w:rFonts w:eastAsia="Google Sans"/>
          <w:color w:val="1F1F1F"/>
          <w:sz w:val="24"/>
          <w:szCs w:val="24"/>
        </w:rPr>
        <w:t>Avaliação de Desempenho: O Índice de Sharpe</w:t>
      </w:r>
      <w:bookmarkEnd w:id="22"/>
    </w:p>
    <w:p w14:paraId="6EDE848B"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698FC2A1" w14:textId="77777777"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A geometria da CML forneceu a base direta para uma das métricas mais onipresentes na avaliação de investimentos: o Índice de Sharpe. Introduzido por William Sharpe em 1966 como "Reward-to-Variability Ratio", o índice operacionaliza o conceito de eficiência média-variância.</w:t>
      </w:r>
      <w:r>
        <w:rPr>
          <w:rFonts w:eastAsia="Google Sans Text"/>
          <w:color w:val="444746"/>
          <w:sz w:val="24"/>
          <w:szCs w:val="24"/>
          <w:vertAlign w:val="superscript"/>
        </w:rPr>
        <w:t>49</w:t>
      </w:r>
    </w:p>
    <w:p w14:paraId="4B2A7753" w14:textId="77777777" w:rsidR="00157220" w:rsidRPr="00F52827" w:rsidRDefault="00157220" w:rsidP="00356976">
      <w:pPr>
        <w:ind w:left="851" w:hanging="567"/>
        <w:rPr>
          <w:rFonts w:eastAsia="Google Sans"/>
          <w:color w:val="1F1F1F"/>
          <w:sz w:val="24"/>
          <w:szCs w:val="24"/>
        </w:rPr>
      </w:pPr>
    </w:p>
    <w:p w14:paraId="37308704" w14:textId="77777777" w:rsidR="00346652" w:rsidRPr="00346652" w:rsidRDefault="00157220" w:rsidP="00346652">
      <w:pPr>
        <w:pStyle w:val="Ttulo3"/>
        <w:numPr>
          <w:ilvl w:val="2"/>
          <w:numId w:val="1"/>
        </w:numPr>
        <w:rPr>
          <w:rFonts w:eastAsia="Google Sans"/>
          <w:b w:val="0"/>
          <w:color w:val="1F1F1F"/>
          <w:sz w:val="22"/>
        </w:rPr>
      </w:pPr>
      <w:bookmarkStart w:id="23" w:name="_Toc230856992"/>
      <w:r>
        <w:rPr>
          <w:rFonts w:eastAsia="Google Sans"/>
          <w:b w:val="0"/>
          <w:color w:val="1F1F1F"/>
        </w:rPr>
        <w:t>Definição e Interpretação</w:t>
      </w:r>
      <w:bookmarkEnd w:id="23"/>
    </w:p>
    <w:p w14:paraId="5BB87274"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4E0BA95A"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Pr>
          <w:rFonts w:eastAsia="Google Sans Text"/>
          <w:color w:val="1F1F1F"/>
          <w:sz w:val="24"/>
          <w:szCs w:val="24"/>
        </w:rPr>
        <w:t xml:space="preserve"> quantifica o excesso de retorno por unidade de risco total. Matematicamente:</w:t>
      </w:r>
    </w:p>
    <w:p w14:paraId="306CBA09"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629CB07" w14:textId="77777777"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1C5EAAA1"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76C4A938" w14:textId="77777777"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Geometricamente, o Índice de Sharpe de um portfólio é a inclinação da linha que conecta a taxa livre de risco a esse portfólio no gráfico média-desvio padrão (Gundersen, 2022). Quanto maior a inclinação, melhor o desempenho ajustado ao risco.</w:t>
      </w:r>
    </w:p>
    <w:p w14:paraId="719CB52A" w14:textId="77777777" w:rsidR="00413156" w:rsidRPr="00F52827" w:rsidRDefault="00413156" w:rsidP="00413156">
      <w:pPr>
        <w:rPr>
          <w:rFonts w:eastAsia="Google Sans"/>
          <w:color w:val="1F1F1F"/>
          <w:sz w:val="24"/>
          <w:szCs w:val="24"/>
        </w:rPr>
      </w:pPr>
    </w:p>
    <w:p w14:paraId="23DEF4C9" w14:textId="77777777" w:rsidR="00346652" w:rsidRPr="00346652" w:rsidRDefault="00413156" w:rsidP="00346652">
      <w:pPr>
        <w:pStyle w:val="Ttulo3"/>
        <w:numPr>
          <w:ilvl w:val="2"/>
          <w:numId w:val="1"/>
        </w:numPr>
        <w:rPr>
          <w:rFonts w:eastAsia="Google Sans"/>
          <w:b w:val="0"/>
          <w:color w:val="1F1F1F"/>
          <w:sz w:val="22"/>
        </w:rPr>
      </w:pPr>
      <w:bookmarkStart w:id="24" w:name="_Toc230856993"/>
      <w:r>
        <w:rPr>
          <w:rFonts w:eastAsia="Google Sans"/>
          <w:b w:val="0"/>
          <w:color w:val="1F1F1F"/>
        </w:rPr>
        <w:lastRenderedPageBreak/>
        <w:t>Importância e Aplicação</w:t>
      </w:r>
      <w:bookmarkEnd w:id="24"/>
    </w:p>
    <w:p w14:paraId="3B61857B"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274A9DF2"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Pr>
          <w:rFonts w:eastAsia="Google Sans Text"/>
          <w:color w:val="1F1F1F"/>
          <w:sz w:val="24"/>
          <w:szCs w:val="24"/>
        </w:rPr>
        <w:t xml:space="preserve"> deve ser aquele com o maior Índice de Sharpe possível (Guidolin, 2017). A métrica permite comparar fundos e 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Pr>
          <w:rFonts w:eastAsia="Google Sans Text"/>
          <w:b/>
          <w:bCs/>
          <w:color w:val="1F1F1F"/>
          <w:sz w:val="24"/>
          <w:szCs w:val="24"/>
        </w:rPr>
        <w:t>Índice de Sortino</w:t>
      </w:r>
      <w:r>
        <w:rPr>
          <w:rFonts w:eastAsia="Google Sans Text"/>
          <w:color w:val="1F1F1F"/>
          <w:sz w:val="24"/>
          <w:szCs w:val="24"/>
        </w:rPr>
        <w:t xml:space="preserve"> (baseado na semivariância/downside deviation) (Dubra, Maccheroni, 2004).</w:t>
      </w:r>
    </w:p>
    <w:p w14:paraId="749A13B8" w14:textId="77777777" w:rsidR="00986259" w:rsidRPr="00F52827" w:rsidRDefault="00986259" w:rsidP="00986259">
      <w:pPr>
        <w:rPr>
          <w:rFonts w:eastAsia="Google Sans"/>
          <w:color w:val="1F1F1F"/>
          <w:sz w:val="24"/>
          <w:szCs w:val="24"/>
        </w:rPr>
      </w:pPr>
    </w:p>
    <w:p w14:paraId="55F36CA2" w14:textId="77777777"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30856994"/>
      <w:r>
        <w:rPr>
          <w:rFonts w:eastAsia="Google Sans"/>
          <w:color w:val="1F1F1F"/>
          <w:sz w:val="24"/>
          <w:szCs w:val="24"/>
        </w:rPr>
        <w:t>O Modelo de Precificação de Ativos de Capital (CAPM)</w:t>
      </w:r>
      <w:bookmarkEnd w:id="25"/>
    </w:p>
    <w:p w14:paraId="769B67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2D231DE"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Enquanto a MPT de Markowitz é normativa (diz ao investidor como construir um portfólio), o </w:t>
      </w:r>
      <w:r>
        <w:rPr>
          <w:rFonts w:eastAsia="Google Sans Text"/>
          <w:i/>
          <w:iCs/>
          <w:color w:val="1F1F1F"/>
          <w:sz w:val="24"/>
          <w:szCs w:val="24"/>
        </w:rPr>
        <w:t>Capital Asset Pricing Model</w:t>
      </w:r>
      <w:r>
        <w:rPr>
          <w:rFonts w:eastAsia="Google Sans Text"/>
          <w:color w:val="1F1F1F"/>
          <w:sz w:val="24"/>
          <w:szCs w:val="24"/>
        </w:rPr>
        <w:t xml:space="preserve"> (CAPM) é positivo (explica como os preços dos ativos são determinados se todos seguirem a MPT).</w:t>
      </w:r>
    </w:p>
    <w:p w14:paraId="14CFE9B1" w14:textId="77777777" w:rsidR="000E104C" w:rsidRPr="00F52827" w:rsidRDefault="000E104C" w:rsidP="000E104C">
      <w:pPr>
        <w:rPr>
          <w:rFonts w:eastAsia="Google Sans"/>
          <w:color w:val="1F1F1F"/>
          <w:sz w:val="24"/>
          <w:szCs w:val="24"/>
        </w:rPr>
      </w:pPr>
    </w:p>
    <w:p w14:paraId="0744EF31" w14:textId="77777777" w:rsidR="000E104C" w:rsidRPr="00346652" w:rsidRDefault="000E104C" w:rsidP="00346652">
      <w:pPr>
        <w:pStyle w:val="Ttulo3"/>
        <w:numPr>
          <w:ilvl w:val="2"/>
          <w:numId w:val="1"/>
        </w:numPr>
        <w:rPr>
          <w:rFonts w:eastAsia="Google Sans"/>
          <w:b w:val="0"/>
          <w:bCs w:val="0"/>
          <w:color w:val="1F1F1F"/>
          <w:sz w:val="22"/>
          <w:szCs w:val="22"/>
        </w:rPr>
      </w:pPr>
      <w:bookmarkStart w:id="26" w:name="_Toc230856995"/>
      <w:r>
        <w:rPr>
          <w:rFonts w:eastAsia="Google Sans"/>
          <w:b w:val="0"/>
          <w:bCs w:val="0"/>
          <w:color w:val="1F1F1F"/>
        </w:rPr>
        <w:t>Origem e Desenvolvedores</w:t>
      </w:r>
      <w:bookmarkEnd w:id="26"/>
    </w:p>
    <w:p w14:paraId="7A98CDA4" w14:textId="77777777" w:rsidR="00346652" w:rsidRPr="008D141E" w:rsidRDefault="00346652" w:rsidP="00346652">
      <w:pPr>
        <w:rPr>
          <w:rFonts w:eastAsia="Google Sans"/>
          <w:b/>
          <w:bCs/>
          <w:color w:val="1F1F1F"/>
        </w:rPr>
      </w:pPr>
    </w:p>
    <w:p w14:paraId="5315F82D"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CDEA9E5" w14:textId="7777777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O CAPM foi desenvolvido independentemente na primeira metade da década de 1960 por William Sharpe (1964), John Lintner (1965), Jan Mossin (1966) e Jack Treynor (1961/1962) (Fama, French, 2004). A unificação dessas teorias rendeu a Sharpe, Markowitz e Merton Miller o Prêmio Nobel de Economia em 1990 (garvin, 2013). A intuição central é que, se todos os investidores são racionais, possuem expectativas homogêneas e otimizam seus portfólios segundo a média-variância (usando o Teorema da Separação de Tobin), então todos demandarão o mesmo portfólio de ativos de risco: o </w:t>
      </w:r>
      <w:r>
        <w:rPr>
          <w:rFonts w:eastAsia="Google Sans Text"/>
          <w:b/>
          <w:bCs/>
          <w:color w:val="1F1F1F"/>
          <w:sz w:val="24"/>
          <w:szCs w:val="24"/>
        </w:rPr>
        <w:t>Portfólio de Mercado</w:t>
      </w:r>
      <w:r>
        <w:rPr>
          <w:rFonts w:eastAsia="Google Sans Text"/>
          <w:color w:val="1F1F1F"/>
          <w:sz w:val="24"/>
          <w:szCs w:val="24"/>
        </w:rPr>
        <w:t xml:space="preserve"> </w:t>
      </w:r>
      <m:oMath>
        <m:r>
          <w:rPr>
            <w:rFonts w:ascii="Cambria Math" w:eastAsia="Google Sans Text" w:hAnsi="Cambria Math"/>
            <w:color w:val="1F1F1F"/>
            <w:sz w:val="24"/>
            <w:szCs w:val="24"/>
          </w:rPr>
          <m:t>(M)</m:t>
        </m:r>
      </m:oMath>
      <w:r>
        <w:rPr>
          <w:rFonts w:eastAsia="Google Sans Text"/>
          <w:color w:val="1F1F1F"/>
          <w:sz w:val="24"/>
          <w:szCs w:val="24"/>
        </w:rPr>
        <w:t>. Para que o mercado "limpe" (oferta iguale demanda), os preços dos ativos devem se ajustar até que o portfólio de tangência seja, de fato, o portfólio de mercado ponderado por valor (Fama, French, 2004).</w:t>
      </w:r>
    </w:p>
    <w:p w14:paraId="55287DF9" w14:textId="77777777" w:rsidR="00A346B5" w:rsidRPr="00F52827" w:rsidRDefault="00A346B5" w:rsidP="00A346B5">
      <w:pPr>
        <w:rPr>
          <w:rFonts w:eastAsia="Google Sans"/>
          <w:color w:val="1F1F1F"/>
          <w:sz w:val="24"/>
          <w:szCs w:val="24"/>
        </w:rPr>
      </w:pPr>
    </w:p>
    <w:p w14:paraId="0D7593C0" w14:textId="77777777" w:rsidR="00A346B5" w:rsidRPr="00346652" w:rsidRDefault="00A346B5" w:rsidP="00346652">
      <w:pPr>
        <w:pStyle w:val="Ttulo3"/>
        <w:numPr>
          <w:ilvl w:val="2"/>
          <w:numId w:val="1"/>
        </w:numPr>
        <w:rPr>
          <w:rFonts w:eastAsia="Google Sans"/>
          <w:b w:val="0"/>
          <w:bCs w:val="0"/>
          <w:color w:val="1F1F1F"/>
          <w:sz w:val="22"/>
          <w:szCs w:val="22"/>
        </w:rPr>
      </w:pPr>
      <w:bookmarkStart w:id="27" w:name="_Toc230856996"/>
      <w:r>
        <w:rPr>
          <w:rFonts w:eastAsia="Google Sans"/>
          <w:b w:val="0"/>
          <w:bCs w:val="0"/>
          <w:color w:val="1F1F1F"/>
        </w:rPr>
        <w:t>Decomposição do Risco: Sistemático vs. Não Sistemático</w:t>
      </w:r>
      <w:bookmarkEnd w:id="27"/>
    </w:p>
    <w:p w14:paraId="72B1DB81" w14:textId="77777777" w:rsidR="00346652" w:rsidRPr="00356976" w:rsidRDefault="00346652" w:rsidP="00346652">
      <w:pPr>
        <w:rPr>
          <w:rFonts w:eastAsia="Google Sans"/>
          <w:b/>
          <w:bCs/>
          <w:color w:val="1F1F1F"/>
        </w:rPr>
      </w:pPr>
    </w:p>
    <w:p w14:paraId="2C3ECAE4" w14:textId="77777777" w:rsidR="00356976" w:rsidRDefault="00356976" w:rsidP="00356976">
      <w:pPr>
        <w:rPr>
          <w:rFonts w:eastAsia="Google Sans"/>
          <w:b/>
          <w:bCs/>
          <w:color w:val="1F1F1F"/>
        </w:rPr>
      </w:pPr>
    </w:p>
    <w:p w14:paraId="7FFA5D5F" w14:textId="77777777" w:rsidR="00356976" w:rsidRPr="00EE3350"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Pr>
          <w:rFonts w:eastAsia="Google Sans Text"/>
          <w:color w:val="1F1F1F"/>
          <w:sz w:val="24"/>
          <w:szCs w:val="24"/>
        </w:rPr>
        <w:t xml:space="preserve"> em dois componentes (Ross, Westerfield, Jordan, </w:t>
        <w:lastRenderedPageBreak/>
        <w:t>2010):</w:t>
      </w:r>
    </w:p>
    <w:p w14:paraId="42DD0FD4"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Sistemático (Risco de Mercado):</w:t>
      </w:r>
      <w:r>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Pr>
          <w:rFonts w:eastAsia="Google Sans Text"/>
          <w:i/>
          <w:iCs/>
          <w:color w:val="1F1F1F"/>
          <w:sz w:val="24"/>
          <w:szCs w:val="24"/>
        </w:rPr>
        <w:t>não pode</w:t>
      </w:r>
      <w:r>
        <w:rPr>
          <w:rFonts w:eastAsia="Google Sans Text"/>
          <w:color w:val="1F1F1F"/>
          <w:sz w:val="24"/>
          <w:szCs w:val="24"/>
        </w:rPr>
        <w:t xml:space="preserve"> ser eliminado pela diversificação.</w:t>
      </w:r>
    </w:p>
    <w:p w14:paraId="35B51DD8" w14:textId="77777777" w:rsidR="00356976" w:rsidRPr="008F1D66" w:rsidRDefault="00356976" w:rsidP="003F1C11">
      <w:pPr>
        <w:numPr>
          <w:ilvl w:val="0"/>
          <w:numId w:val="11"/>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Risco Não Sistemático (Idiossincrático/Específico):</w:t>
      </w:r>
      <w:r>
        <w:rPr>
          <w:rFonts w:eastAsia="Google Sans Text"/>
          <w:color w:val="1F1F1F"/>
          <w:sz w:val="24"/>
          <w:szCs w:val="24"/>
        </w:rPr>
        <w:t xml:space="preserve"> É a parcela da volatilidade exclusiva da empresa ou setor (ex: sucesso de um novo produto, greve na fábrica, fraude contábil). Como esses eventos são estatisticamente independentes entre empresas, em um portfólio amplo eles tendem a se cancelar mutuamente (lei dos grandes números).</w:t>
      </w:r>
    </w:p>
    <w:p w14:paraId="0046BB8B"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Pr>
          <w:rFonts w:eastAsia="Google Sans Text"/>
          <w:color w:val="1F1F1F"/>
          <w:sz w:val="24"/>
          <w:szCs w:val="24"/>
        </w:rPr>
        <w:t xml:space="preserve">A conclusão revolucionária do CAPM é que </w:t>
      </w:r>
      <w:r>
        <w:rPr>
          <w:rFonts w:eastAsia="Google Sans Text"/>
          <w:b/>
          <w:bCs/>
          <w:color w:val="1F1F1F"/>
          <w:sz w:val="24"/>
          <w:szCs w:val="24"/>
        </w:rPr>
        <w:t>o mercado não remunera o risco não sistemático</w:t>
      </w:r>
      <w:r>
        <w:rPr>
          <w:rFonts w:eastAsia="Google Sans Text"/>
          <w:color w:val="1F1F1F"/>
          <w:sz w:val="24"/>
          <w:szCs w:val="24"/>
        </w:rPr>
        <w:t>. Como ele pode ser eliminado gratuitamente através da diversificação, os investidores não devem esperar nenhum prêmio de retorno por assumi-lo. O único risco que justifica um retorno esperado acima da taxa livre de risco é o risco sistemático (Ross, Westerfield, Jordan, 2010).</w:t>
      </w:r>
    </w:p>
    <w:p w14:paraId="34956F55" w14:textId="77777777" w:rsidR="00356976" w:rsidRPr="00356976" w:rsidRDefault="00356976" w:rsidP="00356976">
      <w:pPr>
        <w:rPr>
          <w:rFonts w:eastAsia="Google Sans"/>
          <w:b/>
          <w:bCs/>
          <w:color w:val="1F1F1F"/>
        </w:rPr>
      </w:pPr>
    </w:p>
    <w:p w14:paraId="63DCCD52" w14:textId="77777777" w:rsidR="00356976" w:rsidRPr="00346652" w:rsidRDefault="00356976" w:rsidP="00346652">
      <w:pPr>
        <w:pStyle w:val="Ttulo3"/>
        <w:numPr>
          <w:ilvl w:val="2"/>
          <w:numId w:val="1"/>
        </w:numPr>
        <w:rPr>
          <w:rFonts w:eastAsia="Google Sans"/>
          <w:b w:val="0"/>
          <w:bCs w:val="0"/>
          <w:color w:val="1F1F1F"/>
          <w:sz w:val="20"/>
          <w:szCs w:val="22"/>
        </w:rPr>
      </w:pPr>
      <w:bookmarkStart w:id="28" w:name="_Toc230856997"/>
      <w:r>
        <w:rPr>
          <w:rFonts w:eastAsia="Google Sans"/>
          <w:b w:val="0"/>
          <w:bCs w:val="0"/>
          <w:color w:val="1F1F1F"/>
        </w:rPr>
        <w:t>O Coeficiente Beta e a Reta do Mercado de Títulos (SML)</w:t>
      </w:r>
      <w:bookmarkEnd w:id="28"/>
    </w:p>
    <w:p w14:paraId="28BDA8EB" w14:textId="77777777" w:rsidR="00346652" w:rsidRPr="00346652" w:rsidRDefault="00346652" w:rsidP="00346652">
      <w:pPr>
        <w:rPr>
          <w:rFonts w:eastAsia="Google Sans"/>
          <w:b/>
          <w:bCs/>
          <w:color w:val="1F1F1F"/>
          <w:sz w:val="20"/>
        </w:rPr>
      </w:pPr>
    </w:p>
    <w:p w14:paraId="0F0608F4" w14:textId="77777777" w:rsidR="00356976" w:rsidRPr="008F1D66" w:rsidRDefault="00356976" w:rsidP="00356976">
      <w:pPr>
        <w:pBdr>
          <w:top w:val="nil"/>
          <w:left w:val="nil"/>
          <w:bottom w:val="nil"/>
          <w:right w:val="nil"/>
          <w:between w:val="nil"/>
        </w:pBdr>
        <w:spacing w:line="360" w:lineRule="auto"/>
        <w:jc w:val="both"/>
        <w:rPr>
          <w:rFonts w:eastAsia="Google Sans"/>
          <w:color w:val="1F1F1F"/>
          <w:sz w:val="24"/>
          <w:szCs w:val="24"/>
        </w:rPr>
      </w:pPr>
    </w:p>
    <w:p w14:paraId="75923A5A" w14:textId="77777777" w:rsidR="00356976" w:rsidRPr="008F1D66"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Para mensurar o risco sistemático, o CAPM utiliza o coeficiente </w:t>
      </w:r>
      <w:r>
        <w:rPr>
          <w:rFonts w:eastAsia="Google Sans Text"/>
          <w:b/>
          <w:bCs/>
          <w:color w:val="1F1F1F"/>
          <w:sz w:val="24"/>
          <w:szCs w:val="24"/>
        </w:rPr>
        <w:t>Beta</w:t>
      </w:r>
      <w:r>
        <w:rPr>
          <w:rFonts w:eastAsia="Google Sans Text"/>
          <w:color w:val="1F1F1F"/>
          <w:sz w:val="24"/>
          <w:szCs w:val="24"/>
        </w:rPr>
        <w:t xml:space="preserve"> </w:t>
      </w:r>
      <m:oMath>
        <m:r>
          <w:rPr>
            <w:rFonts w:ascii="Cambria Math" w:eastAsia="Google Sans Text" w:hAnsi="Cambria Math"/>
            <w:color w:val="1F1F1F"/>
            <w:sz w:val="24"/>
            <w:szCs w:val="24"/>
          </w:rPr>
          <m:t>(β)</m:t>
        </m:r>
      </m:oMath>
      <w:r>
        <w:rPr>
          <w:rFonts w:eastAsia="Google Sans Text"/>
          <w:color w:val="1F1F1F"/>
          <w:sz w:val="24"/>
          <w:szCs w:val="24"/>
        </w:rPr>
        <w:t>. O Beta é uma medida padronizada da covariância do ativo com o mercado, definida como:</w:t>
      </w:r>
    </w:p>
    <w:p w14:paraId="05D57401" w14:textId="77777777" w:rsidR="00356976" w:rsidRDefault="00356976" w:rsidP="00356976">
      <w:pPr>
        <w:pBdr>
          <w:top w:val="nil"/>
          <w:left w:val="nil"/>
          <w:bottom w:val="nil"/>
          <w:right w:val="nil"/>
          <w:between w:val="nil"/>
        </w:pBdr>
        <w:spacing w:line="360" w:lineRule="auto"/>
        <w:jc w:val="both"/>
        <w:rPr>
          <w:rFonts w:eastAsia="Google Sans Text"/>
          <w:color w:val="1F1F1F"/>
          <w:sz w:val="24"/>
          <w:szCs w:val="24"/>
        </w:rPr>
      </w:pPr>
    </w:p>
    <w:p w14:paraId="68CFEDA7" w14:textId="77777777" w:rsidR="00356976" w:rsidRPr="00C52D1A" w:rsidRDefault="00356976" w:rsidP="00356976">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0BDD0EB7"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&gt;1: O ativo tem um risco sistemático superior ao mercado (mais volátil).</w:t>
      </w:r>
    </w:p>
    <w:p w14:paraId="3A8A3D4D" w14:textId="77777777" w:rsidR="00356976" w:rsidRPr="00C52D1A" w:rsidRDefault="00356976" w:rsidP="003F1C11">
      <w:pPr>
        <w:pStyle w:val="PargrafodaLista"/>
        <w:widowControl/>
        <w:numPr>
          <w:ilvl w:val="0"/>
          <w:numId w:val="2"/>
        </w:numPr>
        <w:autoSpaceDE/>
        <w:autoSpaceDN/>
        <w:spacing w:line="360" w:lineRule="auto"/>
        <w:jc w:val="both"/>
        <w:rPr>
          <w:sz w:val="24"/>
          <w:szCs w:val="24"/>
          <w:lang w:val="pt-BR" w:eastAsia="pt-BR"/>
        </w:rPr>
      </w:pPr>
      <w:r>
        <w:rPr>
          <w:sz w:val="24"/>
          <w:szCs w:val="24"/>
          <w:lang w:val="pt-BR" w:eastAsia="pt-BR"/>
        </w:rPr>
        <w:t xml:space="preserve">Se </w:t>
      </w:r>
      <w:r>
        <w:rPr>
          <w:i/>
          <w:iCs/>
          <w:sz w:val="24"/>
          <w:szCs w:val="24"/>
          <w:lang w:val="pt-BR" w:eastAsia="pt-BR"/>
        </w:rPr>
        <w:t>β</w:t>
      </w:r>
      <w:r>
        <w:rPr>
          <w:sz w:val="24"/>
          <w:szCs w:val="24"/>
          <w:lang w:val="pt-BR" w:eastAsia="pt-BR"/>
        </w:rPr>
        <w:t>&lt;1: O ativo tem um risco sistemático inferior ao mercado (menos volátil).</w:t>
      </w:r>
    </w:p>
    <w:p w14:paraId="645E7D00" w14:textId="77777777" w:rsidR="00356976" w:rsidRDefault="00356976" w:rsidP="00356976">
      <w:pPr>
        <w:pBdr>
          <w:top w:val="nil"/>
          <w:left w:val="nil"/>
          <w:bottom w:val="nil"/>
          <w:right w:val="nil"/>
          <w:between w:val="nil"/>
        </w:pBdr>
        <w:spacing w:line="360" w:lineRule="auto"/>
        <w:ind w:left="360"/>
        <w:jc w:val="both"/>
        <w:rPr>
          <w:rFonts w:eastAsia="Google Sans Text"/>
          <w:color w:val="1F1F1F"/>
          <w:sz w:val="24"/>
          <w:szCs w:val="24"/>
        </w:rPr>
      </w:pPr>
    </w:p>
    <w:p w14:paraId="17EE5486" w14:textId="77777777" w:rsidR="00356976" w:rsidRPr="001C750C" w:rsidRDefault="00356976"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Pr>
          <w:rFonts w:eastAsia="Google Sans Text"/>
          <w:color w:val="1F1F1F"/>
          <w:sz w:val="24"/>
          <w:szCs w:val="24"/>
        </w:rPr>
        <w:t xml:space="preserve"> os atenua.</w:t>
      </w:r>
    </w:p>
    <w:p w14:paraId="2D2D6542" w14:textId="77777777" w:rsidR="00356976" w:rsidRPr="00356976" w:rsidRDefault="00356976" w:rsidP="00356976">
      <w:pPr>
        <w:rPr>
          <w:rFonts w:eastAsia="Google Sans"/>
          <w:b/>
          <w:bCs/>
          <w:color w:val="1F1F1F"/>
        </w:rPr>
      </w:pPr>
    </w:p>
    <w:p w14:paraId="419260E1" w14:textId="77777777" w:rsidR="00356976" w:rsidRPr="00346652" w:rsidRDefault="00356976" w:rsidP="00346652">
      <w:pPr>
        <w:pStyle w:val="Ttulo3"/>
        <w:numPr>
          <w:ilvl w:val="2"/>
          <w:numId w:val="1"/>
        </w:numPr>
        <w:rPr>
          <w:rFonts w:eastAsia="Google Sans"/>
          <w:b w:val="0"/>
          <w:bCs w:val="0"/>
          <w:color w:val="1F1F1F"/>
          <w:sz w:val="22"/>
          <w:szCs w:val="22"/>
        </w:rPr>
      </w:pPr>
      <w:bookmarkStart w:id="29" w:name="_Toc230856998"/>
      <w:r>
        <w:rPr>
          <w:b w:val="0"/>
          <w:lang w:val="pt-BR" w:eastAsia="pt-BR"/>
        </w:rPr>
        <w:t>A Reta do Mercado de Títulos (SML)</w:t>
      </w:r>
      <w:bookmarkEnd w:id="29"/>
    </w:p>
    <w:p w14:paraId="279B71A7" w14:textId="77777777" w:rsidR="00346652" w:rsidRPr="008D141E" w:rsidRDefault="00346652" w:rsidP="00346652">
      <w:pPr>
        <w:rPr>
          <w:rFonts w:eastAsia="Google Sans"/>
          <w:b/>
          <w:bCs/>
          <w:color w:val="1F1F1F"/>
        </w:rPr>
      </w:pPr>
    </w:p>
    <w:p w14:paraId="1163EC50"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416D67F8"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lastRenderedPageBreak/>
        <w:t xml:space="preserve">A equação do CAPM define uma relação linear entre o retorno esperado e o Beta, e essa relação é representada graficamente pela </w:t>
      </w:r>
      <w:r>
        <w:rPr>
          <w:b/>
          <w:bCs/>
          <w:sz w:val="24"/>
          <w:szCs w:val="24"/>
          <w:lang w:val="pt-BR" w:eastAsia="pt-BR"/>
        </w:rPr>
        <w:t>Security Market Line (SML)</w:t>
      </w:r>
      <w:r>
        <w:rPr>
          <w:sz w:val="24"/>
          <w:szCs w:val="24"/>
          <w:lang w:val="pt-BR" w:eastAsia="pt-BR"/>
        </w:rPr>
        <w:t xml:space="preserve">, ou </w:t>
      </w:r>
      <w:r>
        <w:rPr>
          <w:b/>
          <w:bCs/>
          <w:sz w:val="24"/>
          <w:szCs w:val="24"/>
          <w:lang w:val="pt-BR" w:eastAsia="pt-BR"/>
        </w:rPr>
        <w:t>Linha do Mercado de Títulos (LMT)</w:t>
      </w:r>
      <w:r>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Pr>
          <w:sz w:val="24"/>
          <w:szCs w:val="24"/>
          <w:lang w:val="pt-BR" w:eastAsia="pt-BR"/>
        </w:rPr>
        <w:t>) é dado pela equação da SML:</w:t>
      </w:r>
    </w:p>
    <w:p w14:paraId="1D3A63B2"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640F6BE5"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3EAB0DED"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Pr>
          <w:sz w:val="24"/>
          <w:szCs w:val="24"/>
          <w:lang w:val="pt-BR" w:eastAsia="pt-BR"/>
        </w:rPr>
        <w:t>A SML é crucial porque todo ativo individual, ou portfólio eficiente e não eficiente, deve se situar sobre ela em um mercado de equilíbrio</w:t>
      </w:r>
    </w:p>
    <w:p w14:paraId="43421FDA" w14:textId="77777777" w:rsidR="009B01B7" w:rsidRPr="00C52D1A" w:rsidRDefault="009B01B7" w:rsidP="009B01B7">
      <w:pPr>
        <w:spacing w:line="360" w:lineRule="auto"/>
        <w:jc w:val="both"/>
        <w:rPr>
          <w:b/>
          <w:sz w:val="24"/>
          <w:szCs w:val="24"/>
          <w:lang w:val="pt-BR" w:eastAsia="pt-BR"/>
        </w:rPr>
      </w:pPr>
    </w:p>
    <w:p w14:paraId="5ACCD778" w14:textId="77777777" w:rsidR="009B01B7" w:rsidRPr="00D30CD1" w:rsidRDefault="009B01B7" w:rsidP="009B01B7">
      <w:pPr>
        <w:pStyle w:val="PargrafodaLista"/>
        <w:widowControl/>
        <w:numPr>
          <w:ilvl w:val="2"/>
          <w:numId w:val="1"/>
        </w:numPr>
        <w:autoSpaceDE/>
        <w:autoSpaceDN/>
        <w:spacing w:line="360" w:lineRule="auto"/>
        <w:jc w:val="both"/>
        <w:outlineLvl w:val="2"/>
        <w:rPr>
          <w:sz w:val="24"/>
          <w:szCs w:val="24"/>
          <w:lang w:val="pt-BR" w:eastAsia="pt-BR"/>
        </w:rPr>
      </w:pPr>
      <w:bookmarkStart w:id="30" w:name="_Toc230856999"/>
      <w:r>
        <w:rPr>
          <w:bCs/>
          <w:color w:val="131314"/>
          <w:sz w:val="24"/>
          <w:szCs w:val="24"/>
          <w:shd w:val="clear" w:color="auto" w:fill="FFFFFF"/>
        </w:rPr>
        <w:t>Diferença entre CML e SML:</w:t>
      </w:r>
      <w:bookmarkEnd w:id="30"/>
    </w:p>
    <w:p w14:paraId="7F72F84C" w14:textId="77777777" w:rsidR="009B01B7" w:rsidRPr="00C52D1A" w:rsidRDefault="009B01B7" w:rsidP="009B01B7">
      <w:pPr>
        <w:spacing w:line="360" w:lineRule="auto"/>
        <w:jc w:val="both"/>
        <w:rPr>
          <w:sz w:val="24"/>
          <w:szCs w:val="24"/>
          <w:lang w:val="pt-BR" w:eastAsia="pt-BR"/>
        </w:rPr>
      </w:pPr>
    </w:p>
    <w:p w14:paraId="78AC766A" w14:textId="77777777" w:rsidR="009B01B7" w:rsidRPr="00C52D1A" w:rsidRDefault="009B01B7" w:rsidP="009B01B7">
      <w:pPr>
        <w:widowControl/>
        <w:autoSpaceDE/>
        <w:autoSpaceDN/>
        <w:spacing w:line="360" w:lineRule="auto"/>
        <w:ind w:firstLine="851"/>
        <w:jc w:val="both"/>
        <w:rPr>
          <w:sz w:val="24"/>
          <w:szCs w:val="24"/>
          <w:lang w:val="pt-BR" w:eastAsia="pt-BR"/>
        </w:rPr>
      </w:pPr>
      <w:r>
        <w:rPr>
          <w:sz w:val="24"/>
          <w:szCs w:val="24"/>
          <w:lang w:val="pt-BR" w:eastAsia="pt-BR"/>
        </w:rPr>
        <w:t>A distinção fundamental entre a CML e a SML reside na medida de risco utilizada.</w:t>
      </w:r>
    </w:p>
    <w:p w14:paraId="0B47B5A0"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 xml:space="preserve">CML (Capital Market Line): </w:t>
      </w:r>
      <w:r>
        <w:rPr>
          <w:sz w:val="24"/>
          <w:szCs w:val="24"/>
          <w:lang w:val="pt-BR" w:eastAsia="pt-BR"/>
        </w:rPr>
        <w:t xml:space="preserve">É a fronteira eficiente que relaciona o retorno esperado com o </w:t>
      </w:r>
      <w:r>
        <w:rPr>
          <w:b/>
          <w:bCs/>
          <w:sz w:val="24"/>
          <w:szCs w:val="24"/>
          <w:lang w:val="pt-BR" w:eastAsia="pt-BR"/>
        </w:rPr>
        <w:t xml:space="preserve">Risco Total </w:t>
      </w:r>
      <w:r>
        <w:rPr>
          <w:sz w:val="24"/>
          <w:szCs w:val="24"/>
          <w:lang w:val="pt-BR" w:eastAsia="pt-BR"/>
        </w:rPr>
        <w:t xml:space="preserve">(medido pelo desvio-padrão, </w:t>
      </w:r>
      <w:r>
        <w:rPr>
          <w:i/>
          <w:iCs/>
          <w:sz w:val="24"/>
          <w:szCs w:val="24"/>
          <w:lang w:val="pt-BR" w:eastAsia="pt-BR"/>
        </w:rPr>
        <w:t>σ</w:t>
      </w:r>
      <w:r>
        <w:rPr>
          <w:sz w:val="24"/>
          <w:szCs w:val="24"/>
          <w:lang w:val="pt-BR" w:eastAsia="pt-BR"/>
        </w:rPr>
        <w:t>). O Índice de Sharpe avalia o prêmio de risco por unidade de risco total (medido ao longo da CML).</w:t>
      </w:r>
    </w:p>
    <w:p w14:paraId="590F6B01" w14:textId="77777777" w:rsidR="009B01B7" w:rsidRPr="00C52D1A" w:rsidRDefault="009B01B7" w:rsidP="003F1C11">
      <w:pPr>
        <w:pStyle w:val="PargrafodaLista"/>
        <w:widowControl/>
        <w:numPr>
          <w:ilvl w:val="0"/>
          <w:numId w:val="3"/>
        </w:numPr>
        <w:autoSpaceDE/>
        <w:autoSpaceDN/>
        <w:spacing w:line="360" w:lineRule="auto"/>
        <w:ind w:left="0" w:firstLine="851"/>
        <w:jc w:val="both"/>
        <w:rPr>
          <w:sz w:val="24"/>
          <w:szCs w:val="24"/>
          <w:lang w:val="pt-BR" w:eastAsia="pt-BR"/>
        </w:rPr>
      </w:pPr>
      <w:r>
        <w:rPr>
          <w:b/>
          <w:bCs/>
          <w:sz w:val="24"/>
          <w:szCs w:val="24"/>
          <w:lang w:val="pt-BR" w:eastAsia="pt-BR"/>
        </w:rPr>
        <w:t>SML (Security Market Line):</w:t>
      </w:r>
      <w:r>
        <w:rPr>
          <w:sz w:val="24"/>
          <w:szCs w:val="24"/>
          <w:lang w:val="pt-BR" w:eastAsia="pt-BR"/>
        </w:rPr>
        <w:t xml:space="preserve"> Relaciona o retorno esperado com o </w:t>
      </w:r>
      <w:r>
        <w:rPr>
          <w:b/>
          <w:bCs/>
          <w:sz w:val="24"/>
          <w:szCs w:val="24"/>
          <w:lang w:val="pt-BR" w:eastAsia="pt-BR"/>
        </w:rPr>
        <w:t xml:space="preserve">Risco Sistemático </w:t>
      </w:r>
      <w:r>
        <w:rPr>
          <w:sz w:val="24"/>
          <w:szCs w:val="24"/>
          <w:lang w:val="pt-BR" w:eastAsia="pt-BR"/>
        </w:rPr>
        <w:t xml:space="preserve">(medido pelo Beta, </w:t>
      </w:r>
      <w:r>
        <w:rPr>
          <w:i/>
          <w:iCs/>
          <w:sz w:val="24"/>
          <w:szCs w:val="24"/>
          <w:lang w:val="pt-BR" w:eastAsia="pt-BR"/>
        </w:rPr>
        <w:t>β</w:t>
      </w:r>
      <w:r>
        <w:rPr>
          <w:sz w:val="24"/>
          <w:szCs w:val="24"/>
          <w:lang w:val="pt-BR" w:eastAsia="pt-BR"/>
        </w:rPr>
        <w:t>). O CAPM demonstra que os investidores são compensados apenas pelo risco sistemático, pois o risco não sistemático pode ser eliminado pela diversificação.</w:t>
      </w:r>
    </w:p>
    <w:p w14:paraId="3F88E1D3" w14:textId="77777777" w:rsidR="00D30CD1" w:rsidRDefault="00D30CD1">
      <w:pPr>
        <w:rPr>
          <w:rFonts w:eastAsia="Google Sans Text"/>
          <w:b/>
          <w:bCs/>
          <w:color w:val="1F1F1F"/>
          <w:sz w:val="24"/>
          <w:szCs w:val="24"/>
        </w:rPr>
      </w:pPr>
      <w:r>
        <w:rPr>
          <w:rFonts w:eastAsia="Google Sans Text"/>
          <w:b/>
          <w:bCs/>
          <w:color w:val="1F1F1F"/>
          <w:sz w:val="24"/>
          <w:szCs w:val="24"/>
        </w:rPr>
        <w:br w:type="page"/>
      </w:r>
    </w:p>
    <w:p w14:paraId="014C3B0A"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6481AAE0" w14:textId="4A0641E5" w:rsidR="00D30CD1" w:rsidRPr="00D30CD1" w:rsidRDefault="00D30CD1" w:rsidP="00D30CD1">
      <w:pPr>
        <w:pStyle w:val="Legenda"/>
        <w:keepNext/>
        <w:jc w:val="center"/>
        <w:rPr>
          <w:rFonts w:ascii="Times New Roman" w:hAnsi="Times New Roman" w:cs="Times New Roman"/>
          <w:i w:val="0"/>
          <w:color w:val="auto"/>
          <w:sz w:val="24"/>
        </w:rPr>
      </w:pPr>
      <w:bookmarkStart w:id="31" w:name="_Toc230853327"/>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1</w:t>
      </w:r>
      <w:r>
        <w:rPr>
          <w:rFonts w:ascii="Times New Roman" w:hAnsi="Times New Roman" w:cs="Times New Roman"/>
          <w:i w:val="0"/>
          <w:color w:val="auto"/>
          <w:sz w:val="24"/>
        </w:rPr>
        <w:fldChar w:fldCharType="end"/>
        <w:t xml:space="preserve"> - Comparação entre Capital Market Line (CML) e Security Market Line</w:t>
      </w:r>
      <w:bookmarkEnd w:id="31"/>
    </w:p>
    <w:tbl>
      <w:tblPr>
        <w:tblW w:w="93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377AA30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852EB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5DF187"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7BA16"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Security Market Line (SML)</w:t>
            </w:r>
          </w:p>
        </w:tc>
      </w:tr>
      <w:tr w:rsidR="00405E05" w:rsidRPr="008F1D66" w14:paraId="75F415E1"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C1C0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B268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1227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532C3A6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F8531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8B162"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9EB7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Qualquer Ativo Individual ou Portfólio</w:t>
            </w:r>
          </w:p>
        </w:tc>
      </w:tr>
      <w:tr w:rsidR="00405E05" w:rsidRPr="008F1D66" w14:paraId="1A8FE855"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C893D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DDBCC9"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A03EA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Apenas Risco Sistemático (Covariância com Mercado)</w:t>
            </w:r>
          </w:p>
        </w:tc>
      </w:tr>
      <w:tr w:rsidR="00405E05" w:rsidRPr="008F1D66" w14:paraId="10AD9372"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D0B4B0"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B07311"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3B36AF"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17762883"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FE34E8"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0A6D6"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Índice de Sharpe do Mercado </w:t>
            </w:r>
            <w:r>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D31A3"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3411FBDD" w14:textId="77777777" w:rsidTr="00D30CD1">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CEB74"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E18E0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2173B"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Modelo de Equilíbrio de Mercado (CAPM)</w:t>
            </w:r>
          </w:p>
        </w:tc>
      </w:tr>
    </w:tbl>
    <w:p w14:paraId="30F8276D" w14:textId="77777777" w:rsidR="00405E05" w:rsidRPr="008F1D66" w:rsidRDefault="00405E05" w:rsidP="00D30CD1">
      <w:pPr>
        <w:pBdr>
          <w:top w:val="nil"/>
          <w:left w:val="nil"/>
          <w:bottom w:val="nil"/>
          <w:right w:val="nil"/>
          <w:between w:val="nil"/>
        </w:pBdr>
        <w:spacing w:line="360" w:lineRule="auto"/>
        <w:jc w:val="center"/>
        <w:rPr>
          <w:rFonts w:eastAsia="Google Sans Text"/>
          <w:color w:val="444746"/>
          <w:sz w:val="24"/>
          <w:szCs w:val="24"/>
          <w:vertAlign w:val="superscript"/>
        </w:rPr>
      </w:pPr>
      <w:r>
        <w:rPr>
          <w:rFonts w:eastAsia="Google Sans Text"/>
          <w:color w:val="1F1F1F"/>
          <w:sz w:val="24"/>
          <w:szCs w:val="24"/>
        </w:rPr>
        <w:t>Fonte: Elaboração própria com base em (Boasson, Boasson, Zhou).</w:t>
      </w:r>
    </w:p>
    <w:p w14:paraId="3B0D47C8" w14:textId="77777777" w:rsidR="00575D01" w:rsidRPr="001C750C" w:rsidRDefault="00575D01" w:rsidP="00575D01">
      <w:pPr>
        <w:spacing w:line="360" w:lineRule="auto"/>
        <w:jc w:val="both"/>
        <w:rPr>
          <w:sz w:val="24"/>
          <w:szCs w:val="24"/>
          <w:lang w:eastAsia="pt-BR"/>
        </w:rPr>
      </w:pPr>
    </w:p>
    <w:p w14:paraId="07878C91" w14:textId="77777777" w:rsidR="00575D01" w:rsidRPr="00575D01" w:rsidRDefault="00575D01" w:rsidP="00346652">
      <w:pPr>
        <w:pStyle w:val="PargrafodaLista"/>
        <w:widowControl/>
        <w:numPr>
          <w:ilvl w:val="1"/>
          <w:numId w:val="1"/>
        </w:numPr>
        <w:autoSpaceDE/>
        <w:autoSpaceDN/>
        <w:spacing w:line="360" w:lineRule="auto"/>
        <w:jc w:val="both"/>
        <w:outlineLvl w:val="1"/>
        <w:rPr>
          <w:b/>
          <w:bCs/>
          <w:sz w:val="24"/>
          <w:szCs w:val="24"/>
          <w:lang w:val="pt-BR" w:eastAsia="pt-BR"/>
        </w:rPr>
      </w:pPr>
      <w:bookmarkStart w:id="32" w:name="_Toc230857000"/>
      <w:r>
        <w:rPr>
          <w:rFonts w:eastAsia="Google Sans"/>
          <w:b/>
          <w:bCs/>
          <w:color w:val="1F1F1F"/>
          <w:sz w:val="24"/>
          <w:szCs w:val="24"/>
        </w:rPr>
        <w:t>Pressupostos, Críticas e Limitações Teóricas</w:t>
      </w:r>
      <w:bookmarkEnd w:id="32"/>
      <w:r>
        <w:rPr>
          <w:b/>
          <w:bCs/>
          <w:sz w:val="24"/>
          <w:szCs w:val="24"/>
          <w:lang w:val="pt-BR" w:eastAsia="pt-BR"/>
        </w:rPr>
        <w:t xml:space="preserve"> </w:t>
      </w:r>
    </w:p>
    <w:p w14:paraId="76284009"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12D7D4E" w14:textId="77777777" w:rsidR="00405E05" w:rsidRPr="008F1D66" w:rsidRDefault="00405E05" w:rsidP="00356976">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492CB955" w14:textId="77777777" w:rsidR="00575D01" w:rsidRPr="001C750C" w:rsidRDefault="00575D01" w:rsidP="00575D01">
      <w:pPr>
        <w:spacing w:line="360" w:lineRule="auto"/>
        <w:jc w:val="both"/>
        <w:rPr>
          <w:sz w:val="24"/>
          <w:szCs w:val="24"/>
          <w:lang w:eastAsia="pt-BR"/>
        </w:rPr>
      </w:pPr>
    </w:p>
    <w:p w14:paraId="53CEBADC" w14:textId="77777777" w:rsidR="00575D01" w:rsidRPr="008F1D66" w:rsidRDefault="00575D01" w:rsidP="00356976">
      <w:pPr>
        <w:pStyle w:val="PargrafodaLista"/>
        <w:widowControl/>
        <w:numPr>
          <w:ilvl w:val="2"/>
          <w:numId w:val="1"/>
        </w:numPr>
        <w:autoSpaceDE/>
        <w:autoSpaceDN/>
        <w:spacing w:line="360" w:lineRule="auto"/>
        <w:ind w:left="709" w:hanging="425"/>
        <w:jc w:val="both"/>
        <w:outlineLvl w:val="2"/>
        <w:rPr>
          <w:rFonts w:eastAsia="Google Sans"/>
          <w:color w:val="1F1F1F"/>
        </w:rPr>
      </w:pPr>
      <w:bookmarkStart w:id="33" w:name="_Toc230857001"/>
      <w:r>
        <w:rPr>
          <w:rFonts w:eastAsia="Google Sans"/>
          <w:color w:val="1F1F1F"/>
        </w:rPr>
        <w:t>Pressupostos Fundamentais: A Racionalidade VNM</w:t>
      </w:r>
      <w:bookmarkEnd w:id="33"/>
      <w:r>
        <w:rPr>
          <w:sz w:val="24"/>
          <w:szCs w:val="24"/>
          <w:lang w:val="pt-BR" w:eastAsia="pt-BR"/>
        </w:rPr>
        <w:t xml:space="preserve"> </w:t>
      </w:r>
    </w:p>
    <w:p w14:paraId="3CE36C14"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7BB61327" w14:textId="77777777" w:rsidR="00405E05"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 teoria assume que os investidores são agentes perfeitamente racionais que tomam decisões sob incerteza maximizando a Utilidade Esperada, conforme axiomatizado por John von Neumann e Oskar Morgenstern (VNM) em </w:t>
      </w:r>
      <w:r>
        <w:rPr>
          <w:rFonts w:eastAsia="Google Sans Text"/>
          <w:i/>
          <w:iCs/>
          <w:color w:val="1F1F1F"/>
          <w:sz w:val="24"/>
          <w:szCs w:val="24"/>
        </w:rPr>
        <w:t xml:space="preserve">Theory of Games </w:t>
        <w:lastRenderedPageBreak/>
        <w:t>and Economic Behavior</w:t>
      </w:r>
      <w:r>
        <w:rPr>
          <w:rFonts w:eastAsia="Google Sans Text"/>
          <w:color w:val="1F1F1F"/>
          <w:sz w:val="24"/>
          <w:szCs w:val="24"/>
        </w:rPr>
        <w:t xml:space="preserve"> (1944).</w:t>
      </w:r>
      <w:r>
        <w:rPr>
          <w:rFonts w:eastAsia="Google Sans Text"/>
          <w:color w:val="444746"/>
          <w:sz w:val="24"/>
          <w:szCs w:val="24"/>
          <w:vertAlign w:val="superscript"/>
        </w:rPr>
        <w:t>63</w:t>
      </w:r>
      <w:r>
        <w:rPr>
          <w:rFonts w:eastAsia="Google Sans Text"/>
          <w:color w:val="1F1F1F"/>
          <w:sz w:val="24"/>
          <w:szCs w:val="24"/>
        </w:rPr>
        <w:t xml:space="preserve"> Para que uma função de utilidade esperada exista e represente as preferências do investidor, cinco axiomas fundamentais devem ser satisfeitos </w:t>
      </w:r>
      <w:r>
        <w:rPr>
          <w:rFonts w:eastAsia="Google Sans Text"/>
          <w:color w:val="444746"/>
          <w:sz w:val="24"/>
          <w:szCs w:val="24"/>
          <w:vertAlign w:val="superscript"/>
        </w:rPr>
        <w:t>63</w:t>
      </w:r>
      <w:r>
        <w:rPr>
          <w:rFonts w:eastAsia="Google Sans Text"/>
          <w:color w:val="1F1F1F"/>
          <w:sz w:val="24"/>
          <w:szCs w:val="24"/>
        </w:rPr>
        <w:t>:</w:t>
      </w:r>
    </w:p>
    <w:p w14:paraId="1309C1D9" w14:textId="77777777" w:rsidR="00356976" w:rsidRPr="008F1D66" w:rsidRDefault="00356976" w:rsidP="00575D01">
      <w:pPr>
        <w:pBdr>
          <w:top w:val="nil"/>
          <w:left w:val="nil"/>
          <w:bottom w:val="nil"/>
          <w:right w:val="nil"/>
          <w:between w:val="nil"/>
        </w:pBdr>
        <w:spacing w:line="360" w:lineRule="auto"/>
        <w:ind w:firstLine="851"/>
        <w:jc w:val="both"/>
        <w:rPr>
          <w:rFonts w:eastAsia="Google Sans Text"/>
          <w:color w:val="1F1F1F"/>
          <w:sz w:val="24"/>
          <w:szCs w:val="24"/>
        </w:rPr>
      </w:pPr>
    </w:p>
    <w:p w14:paraId="785E4CEA"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Completude (Completeness):</w:t>
      </w:r>
      <w:r>
        <w:rPr>
          <w:rFonts w:eastAsia="Google Sans Text"/>
          <w:color w:val="1F1F1F"/>
          <w:sz w:val="24"/>
          <w:szCs w:val="24"/>
        </w:rPr>
        <w:t xml:space="preserve"> O investidor tem preferências bem definidas. Para quaisquer duas loterias (investimentos) A e B, ele pode afirmar se prefere A a B ($A \succ B$), B a A ($B \succ A$) ou se é indiferente ($A \sim B$). A indecisão não é permitida.</w:t>
      </w:r>
      <w:r>
        <w:rPr>
          <w:rFonts w:eastAsia="Google Sans Text"/>
          <w:color w:val="444746"/>
          <w:sz w:val="24"/>
          <w:szCs w:val="24"/>
          <w:vertAlign w:val="superscript"/>
        </w:rPr>
        <w:t>63</w:t>
      </w:r>
    </w:p>
    <w:p w14:paraId="54B997D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Transitividade (Transitivity):</w:t>
      </w:r>
      <w:r>
        <w:rPr>
          <w:rFonts w:eastAsia="Google Sans Text"/>
          <w:color w:val="1F1F1F"/>
          <w:sz w:val="24"/>
          <w:szCs w:val="24"/>
        </w:rPr>
        <w:t xml:space="preserve"> As preferências são consistentes. Se $A \succ B$ e $B \succ C$, então logicamente $A \succ C$. A violação deste axioma implicaria comportamento cíclico e irracional ("money pump").</w:t>
      </w:r>
      <w:r>
        <w:rPr>
          <w:rFonts w:eastAsia="Google Sans Text"/>
          <w:color w:val="444746"/>
          <w:sz w:val="24"/>
          <w:szCs w:val="24"/>
          <w:vertAlign w:val="superscript"/>
        </w:rPr>
        <w:t>49</w:t>
      </w:r>
    </w:p>
    <w:p w14:paraId="6F03874B"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Continuidade (Continuity):</w:t>
      </w:r>
      <w:r>
        <w:rPr>
          <w:rFonts w:eastAsia="Google Sans Text"/>
          <w:color w:val="1F1F1F"/>
          <w:sz w:val="24"/>
          <w:szCs w:val="24"/>
        </w:rPr>
        <w:t xml:space="preserve"> Também conhecido como axioma de Arquimedes. Se $A \succ B \succ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Pr>
          <w:rFonts w:eastAsia="Google Sans Text"/>
          <w:color w:val="444746"/>
          <w:sz w:val="24"/>
          <w:szCs w:val="24"/>
          <w:vertAlign w:val="superscript"/>
        </w:rPr>
        <w:t>49</w:t>
      </w:r>
    </w:p>
    <w:p w14:paraId="756A472C"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Independência (Independence):</w:t>
      </w:r>
      <w:r>
        <w:rPr>
          <w:rFonts w:eastAsia="Google Sans Text"/>
          <w:color w:val="1F1F1F"/>
          <w:sz w:val="24"/>
          <w:szCs w:val="24"/>
        </w:rPr>
        <w:t xml:space="preserve"> A preferência entre duas opções não deve ser alterada pela introdução de uma terceira opção comum a ambas. Se $A \succ B$, então uma mistura de A com C deve ser preferida à mesma mistura de B com C. Este é o axioma mais controverso e frequentemente violado em testes empíricos (ex: Paradoxo de Allais).</w:t>
      </w:r>
      <w:r>
        <w:rPr>
          <w:rFonts w:eastAsia="Google Sans Text"/>
          <w:color w:val="444746"/>
          <w:sz w:val="24"/>
          <w:szCs w:val="24"/>
          <w:vertAlign w:val="superscript"/>
        </w:rPr>
        <w:t>49</w:t>
      </w:r>
    </w:p>
    <w:p w14:paraId="093957CD" w14:textId="77777777" w:rsidR="00405E05" w:rsidRPr="008F1D66" w:rsidRDefault="00405E05" w:rsidP="003F1C11">
      <w:pPr>
        <w:numPr>
          <w:ilvl w:val="0"/>
          <w:numId w:val="12"/>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Dominância (Dominance/Monotonicity):</w:t>
      </w:r>
      <w:r>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Pr>
          <w:rFonts w:eastAsia="Google Sans Text"/>
          <w:color w:val="444746"/>
          <w:sz w:val="24"/>
          <w:szCs w:val="24"/>
          <w:vertAlign w:val="superscript"/>
        </w:rPr>
        <w:t>65</w:t>
      </w:r>
    </w:p>
    <w:p w14:paraId="77EA0DD7" w14:textId="77777777"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Tabela 2: Axiomas da Teoria da Utilidade Esperada (VNM)</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0D69F9D1"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1DE0D"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5076C2"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8C8B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Implicação Financeira</w:t>
            </w:r>
          </w:p>
        </w:tc>
      </w:tr>
      <w:tr w:rsidR="00405E05" w:rsidRPr="008F1D66" w14:paraId="5D1D40F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183C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8E2ED"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Capacidade de ranquear 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366714"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O mercado pode precificar todos os ativos.</w:t>
            </w:r>
          </w:p>
        </w:tc>
      </w:tr>
      <w:tr w:rsidR="00405E05" w:rsidRPr="008F1D66" w14:paraId="6E1C703E"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51D6E9"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lastRenderedPageBreak/>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E95A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Consistência lógica ($A&gt;B, B&gt;C \Rightarrow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B07F9C"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Evita arbitragem cíclica irracional.</w:t>
            </w:r>
          </w:p>
        </w:tc>
      </w:tr>
      <w:tr w:rsidR="00405E05" w:rsidRPr="008F1D66" w14:paraId="220EADE6"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0ADBEE"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A41865"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8B9D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Permite modelar o trade-off risco-retorno de forma contínua.</w:t>
            </w:r>
          </w:p>
        </w:tc>
      </w:tr>
      <w:tr w:rsidR="00405E05" w:rsidRPr="008F1D66" w14:paraId="470B8545"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3211E5"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540A8"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E24EE"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A diversificação é consistente independentemente do resto da carteira.</w:t>
            </w:r>
          </w:p>
        </w:tc>
      </w:tr>
      <w:tr w:rsidR="00405E05" w:rsidRPr="008F1D66" w14:paraId="1F9CF0D7" w14:textId="77777777" w:rsidTr="00F2743B">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04747F" w14:textId="77777777" w:rsidR="00405E05" w:rsidRPr="008F1D66" w:rsidRDefault="00405E05" w:rsidP="00F2743B">
            <w:pPr>
              <w:pBdr>
                <w:top w:val="nil"/>
                <w:left w:val="nil"/>
                <w:bottom w:val="nil"/>
                <w:right w:val="nil"/>
                <w:between w:val="nil"/>
              </w:pBdr>
              <w:spacing w:line="360" w:lineRule="auto"/>
              <w:jc w:val="both"/>
              <w:rPr>
                <w:rFonts w:eastAsia="Google Sans Text"/>
                <w:b/>
                <w:bCs/>
                <w:color w:val="1F1F1F"/>
                <w:sz w:val="24"/>
                <w:szCs w:val="24"/>
              </w:rPr>
            </w:pPr>
            <w:r>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5EA1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2C99A" w14:textId="77777777" w:rsidR="00405E05" w:rsidRPr="008F1D66" w:rsidRDefault="00405E05" w:rsidP="00F2743B">
            <w:pPr>
              <w:pBdr>
                <w:top w:val="nil"/>
                <w:left w:val="nil"/>
                <w:bottom w:val="nil"/>
                <w:right w:val="nil"/>
                <w:between w:val="nil"/>
              </w:pBdr>
              <w:spacing w:line="360" w:lineRule="auto"/>
              <w:jc w:val="both"/>
              <w:rPr>
                <w:rFonts w:eastAsia="Google Sans Text"/>
                <w:color w:val="1F1F1F"/>
                <w:sz w:val="24"/>
                <w:szCs w:val="24"/>
              </w:rPr>
            </w:pPr>
            <w:r>
              <w:rPr>
                <w:rFonts w:eastAsia="Google Sans Text"/>
                <w:color w:val="1F1F1F"/>
                <w:sz w:val="24"/>
                <w:szCs w:val="24"/>
              </w:rPr>
              <w:t>Fundamenta a fronteira eficiente (ninguém escolhe portfólios dominados).</w:t>
            </w:r>
          </w:p>
        </w:tc>
      </w:tr>
    </w:tbl>
    <w:p w14:paraId="62D01E0D"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Pr>
          <w:rFonts w:eastAsia="Google Sans Text"/>
          <w:color w:val="1F1F1F"/>
          <w:sz w:val="24"/>
          <w:szCs w:val="24"/>
        </w:rPr>
        <w:t>Fonte: Elaboração própria baseada em.</w:t>
      </w:r>
      <w:r>
        <w:rPr>
          <w:rFonts w:eastAsia="Google Sans Text"/>
          <w:color w:val="444746"/>
          <w:sz w:val="24"/>
          <w:szCs w:val="24"/>
          <w:vertAlign w:val="superscript"/>
        </w:rPr>
        <w:t>65</w:t>
      </w:r>
    </w:p>
    <w:p w14:paraId="651DD088" w14:textId="77777777" w:rsidR="00F56510" w:rsidRPr="001C750C" w:rsidRDefault="00F56510" w:rsidP="00F56510">
      <w:pPr>
        <w:spacing w:line="360" w:lineRule="auto"/>
        <w:jc w:val="both"/>
        <w:rPr>
          <w:sz w:val="24"/>
          <w:szCs w:val="24"/>
          <w:lang w:eastAsia="pt-BR"/>
        </w:rPr>
      </w:pPr>
    </w:p>
    <w:p w14:paraId="43D5DC41" w14:textId="77777777" w:rsidR="00F56510" w:rsidRPr="00346652" w:rsidRDefault="00F56510" w:rsidP="00356976">
      <w:pPr>
        <w:pStyle w:val="PargrafodaLista"/>
        <w:widowControl/>
        <w:numPr>
          <w:ilvl w:val="2"/>
          <w:numId w:val="1"/>
        </w:numPr>
        <w:autoSpaceDE/>
        <w:autoSpaceDN/>
        <w:spacing w:line="360" w:lineRule="auto"/>
        <w:ind w:left="851" w:hanging="425"/>
        <w:jc w:val="both"/>
        <w:outlineLvl w:val="2"/>
        <w:rPr>
          <w:b/>
          <w:sz w:val="24"/>
          <w:szCs w:val="24"/>
          <w:lang w:val="pt-BR" w:eastAsia="pt-BR"/>
        </w:rPr>
      </w:pPr>
      <w:bookmarkStart w:id="34" w:name="_Toc230857002"/>
      <w:r>
        <w:rPr>
          <w:rFonts w:eastAsia="Google Sans"/>
          <w:color w:val="1F1F1F"/>
        </w:rPr>
        <w:t>Limitações e a Realidade dos Mercados</w:t>
      </w:r>
      <w:bookmarkEnd w:id="34"/>
    </w:p>
    <w:p w14:paraId="7E6F843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172F8986" w14:textId="77777777" w:rsidR="00405E05"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As críticas à MPT e ao CAPM surgem da desconexão entre esses axiomas ideais e a realidade empírica dos mercados financeiros.</w:t>
      </w:r>
    </w:p>
    <w:p w14:paraId="15BB89DD" w14:textId="77777777" w:rsidR="00356976" w:rsidRPr="008F1D66" w:rsidRDefault="00356976" w:rsidP="00F56510">
      <w:pPr>
        <w:pBdr>
          <w:top w:val="nil"/>
          <w:left w:val="nil"/>
          <w:bottom w:val="nil"/>
          <w:right w:val="nil"/>
          <w:between w:val="nil"/>
        </w:pBdr>
        <w:spacing w:line="360" w:lineRule="auto"/>
        <w:ind w:firstLine="851"/>
        <w:jc w:val="both"/>
        <w:rPr>
          <w:rFonts w:eastAsia="Google Sans Text"/>
          <w:color w:val="1F1F1F"/>
          <w:sz w:val="24"/>
          <w:szCs w:val="24"/>
        </w:rPr>
      </w:pPr>
    </w:p>
    <w:p w14:paraId="56A48EE4"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Distribuições Não-Normais (Caudas Gordas):</w:t>
      </w:r>
      <w:r>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Pr>
          <w:rFonts w:eastAsia="Google Sans Text"/>
          <w:i/>
          <w:iCs/>
          <w:color w:val="1F1F1F"/>
          <w:sz w:val="24"/>
          <w:szCs w:val="24"/>
        </w:rPr>
        <w:t>fat tails</w:t>
      </w:r>
      <w:r>
        <w:rPr>
          <w:rFonts w:eastAsia="Google Sans Text"/>
          <w:color w:val="1F1F1F"/>
          <w:sz w:val="24"/>
          <w:szCs w:val="24"/>
        </w:rPr>
        <w:t>) e leptocurtose excessiva.</w:t>
      </w:r>
      <w:r>
        <w:rPr>
          <w:rFonts w:eastAsia="Google Sans Text"/>
          <w:color w:val="444746"/>
          <w:sz w:val="24"/>
          <w:szCs w:val="24"/>
          <w:vertAlign w:val="superscript"/>
        </w:rPr>
        <w:t>76</w:t>
      </w:r>
      <w:r>
        <w:rPr>
          <w:rFonts w:eastAsia="Google Sans Text"/>
          <w:color w:val="1F1F1F"/>
          <w:sz w:val="24"/>
          <w:szCs w:val="24"/>
        </w:rPr>
        <w:t xml:space="preserve"> Na realidade, eventos extremos (como </w:t>
      </w:r>
      <w:r>
        <w:rPr>
          <w:rFonts w:eastAsia="Google Sans Text"/>
          <w:i/>
          <w:iCs/>
          <w:color w:val="1F1F1F"/>
          <w:sz w:val="24"/>
          <w:szCs w:val="24"/>
        </w:rPr>
        <w:t>crashes</w:t>
      </w:r>
      <w:r>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Pr>
          <w:rFonts w:eastAsia="Google Sans Text"/>
          <w:color w:val="444746"/>
          <w:sz w:val="24"/>
          <w:szCs w:val="24"/>
          <w:vertAlign w:val="superscript"/>
        </w:rPr>
        <w:t>78</w:t>
      </w:r>
    </w:p>
    <w:p w14:paraId="020AB618"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6FF87475" w14:textId="77777777" w:rsidR="00405E05" w:rsidRPr="0035697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Limitações da Variância:</w:t>
      </w:r>
      <w:r>
        <w:rPr>
          <w:rFonts w:eastAsia="Google Sans Text"/>
          <w:color w:val="1F1F1F"/>
          <w:sz w:val="24"/>
          <w:szCs w:val="24"/>
        </w:rPr>
        <w:t xml:space="preserve"> Como discutido na seção 2.2, a variância penaliza </w:t>
        <w:lastRenderedPageBreak/>
        <w:t xml:space="preserve">igualmente a volatilidade para cima (lucro) e para baixo (perda). Investidores reais, no entanto, exibem aversão à perda, não à volatilidade </w:t>
      </w:r>
      <w:r>
        <w:rPr>
          <w:rFonts w:eastAsia="Google Sans Text"/>
          <w:i/>
          <w:iCs/>
          <w:color w:val="1F1F1F"/>
          <w:sz w:val="24"/>
          <w:szCs w:val="24"/>
        </w:rPr>
        <w:t>per se</w:t>
      </w:r>
      <w:r>
        <w:rPr>
          <w:rFonts w:eastAsia="Google Sans Text"/>
          <w:color w:val="1F1F1F"/>
          <w:sz w:val="24"/>
          <w:szCs w:val="24"/>
        </w:rPr>
        <w:t xml:space="preserve">. A semivariância ou métricas de </w:t>
      </w:r>
      <w:r>
        <w:rPr>
          <w:rFonts w:eastAsia="Google Sans Text"/>
          <w:i/>
          <w:iCs/>
          <w:color w:val="1F1F1F"/>
          <w:sz w:val="24"/>
          <w:szCs w:val="24"/>
        </w:rPr>
        <w:t>downside risk</w:t>
      </w:r>
      <w:r>
        <w:rPr>
          <w:rFonts w:eastAsia="Google Sans Text"/>
          <w:color w:val="1F1F1F"/>
          <w:sz w:val="24"/>
          <w:szCs w:val="24"/>
        </w:rPr>
        <w:t xml:space="preserve"> seriam descritores mais precisos da utilidade do investidor, mas a inércia da tradição MPT mantém a variância como padrão.</w:t>
      </w:r>
      <w:r>
        <w:rPr>
          <w:rFonts w:eastAsia="Google Sans Text"/>
          <w:color w:val="444746"/>
          <w:sz w:val="24"/>
          <w:szCs w:val="24"/>
          <w:vertAlign w:val="superscript"/>
        </w:rPr>
        <w:t>12</w:t>
      </w:r>
    </w:p>
    <w:p w14:paraId="2998A01F" w14:textId="77777777" w:rsidR="00356976" w:rsidRPr="008F1D66" w:rsidRDefault="00356976" w:rsidP="00346652">
      <w:pPr>
        <w:pBdr>
          <w:top w:val="nil"/>
          <w:left w:val="nil"/>
          <w:bottom w:val="nil"/>
          <w:right w:val="nil"/>
          <w:between w:val="nil"/>
        </w:pBdr>
        <w:autoSpaceDE/>
        <w:autoSpaceDN/>
        <w:spacing w:line="360" w:lineRule="auto"/>
        <w:ind w:left="1134" w:hanging="283"/>
        <w:jc w:val="both"/>
        <w:rPr>
          <w:sz w:val="24"/>
          <w:szCs w:val="24"/>
        </w:rPr>
      </w:pPr>
    </w:p>
    <w:p w14:paraId="5F439A27" w14:textId="77777777" w:rsidR="00405E05" w:rsidRPr="008F1D66" w:rsidRDefault="00405E05" w:rsidP="003F1C11">
      <w:pPr>
        <w:numPr>
          <w:ilvl w:val="0"/>
          <w:numId w:val="10"/>
        </w:numPr>
        <w:pBdr>
          <w:top w:val="nil"/>
          <w:left w:val="nil"/>
          <w:bottom w:val="nil"/>
          <w:right w:val="nil"/>
          <w:between w:val="nil"/>
        </w:pBdr>
        <w:autoSpaceDE/>
        <w:autoSpaceDN/>
        <w:spacing w:line="360" w:lineRule="auto"/>
        <w:ind w:left="1134" w:hanging="283"/>
        <w:jc w:val="both"/>
        <w:rPr>
          <w:sz w:val="24"/>
          <w:szCs w:val="24"/>
        </w:rPr>
      </w:pPr>
      <w:r>
        <w:rPr>
          <w:rFonts w:eastAsia="Google Sans Text"/>
          <w:b/>
          <w:bCs/>
          <w:color w:val="1F1F1F"/>
          <w:sz w:val="24"/>
          <w:szCs w:val="24"/>
        </w:rPr>
        <w:t>Violações da Racionalidade:</w:t>
      </w:r>
      <w:r>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Pr>
          <w:rFonts w:eastAsia="Google Sans Text"/>
          <w:color w:val="444746"/>
          <w:sz w:val="24"/>
          <w:szCs w:val="24"/>
          <w:vertAlign w:val="superscript"/>
        </w:rPr>
        <w:t>80</w:t>
      </w:r>
    </w:p>
    <w:p w14:paraId="3F7DC2A7"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Pr>
          <w:rFonts w:eastAsia="Google Sans Text"/>
          <w:color w:val="1F1F1F"/>
          <w:sz w:val="24"/>
          <w:szCs w:val="24"/>
        </w:rPr>
        <w:t xml:space="preserve">Apesar dessas falhas descritivas, a estrutura criada por Markowitz, Tobin e Sharpe permanece a </w:t>
      </w:r>
      <w:r>
        <w:rPr>
          <w:rFonts w:eastAsia="Google Sans Text"/>
          <w:i/>
          <w:iCs/>
          <w:color w:val="1F1F1F"/>
          <w:sz w:val="24"/>
          <w:szCs w:val="24"/>
        </w:rPr>
        <w:t>lingua franca</w:t>
      </w:r>
      <w:r>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Pr>
          <w:rFonts w:eastAsia="Google Sans Text"/>
          <w:i/>
          <w:iCs/>
          <w:color w:val="1F1F1F"/>
          <w:sz w:val="24"/>
          <w:szCs w:val="24"/>
        </w:rPr>
        <w:t>deveria</w:t>
      </w:r>
      <w:r>
        <w:rPr>
          <w:rFonts w:eastAsia="Google Sans Text"/>
          <w:color w:val="1F1F1F"/>
          <w:sz w:val="24"/>
          <w:szCs w:val="24"/>
        </w:rPr>
        <w:t xml:space="preserve"> funcionar sob condições ideais, mesmo que a realidade frequentemente divirja do modelo.</w:t>
      </w:r>
    </w:p>
    <w:p w14:paraId="56A15D81" w14:textId="77777777" w:rsidR="00405E05" w:rsidRDefault="00405E05" w:rsidP="00346652">
      <w:pPr>
        <w:rPr>
          <w:rStyle w:val="Forte"/>
          <w:bCs w:val="0"/>
        </w:rPr>
      </w:pPr>
    </w:p>
    <w:p w14:paraId="078CF9BB" w14:textId="77777777" w:rsidR="000063A1" w:rsidRDefault="000063A1">
      <w:pPr>
        <w:rPr>
          <w:sz w:val="24"/>
          <w:szCs w:val="24"/>
        </w:rPr>
      </w:pPr>
      <w:r>
        <w:rPr>
          <w:sz w:val="24"/>
          <w:szCs w:val="24"/>
        </w:rPr>
        <w:br w:type="page"/>
      </w:r>
    </w:p>
    <w:p w14:paraId="46552292" w14:textId="77777777" w:rsidR="00346652" w:rsidRPr="00346652" w:rsidRDefault="00346652" w:rsidP="00346652">
      <w:pPr>
        <w:pStyle w:val="PargrafodaLista"/>
        <w:widowControl/>
        <w:numPr>
          <w:ilvl w:val="1"/>
          <w:numId w:val="1"/>
        </w:numPr>
        <w:autoSpaceDE/>
        <w:autoSpaceDN/>
        <w:spacing w:line="360" w:lineRule="auto"/>
        <w:jc w:val="both"/>
        <w:outlineLvl w:val="1"/>
        <w:rPr>
          <w:b/>
          <w:sz w:val="24"/>
          <w:szCs w:val="24"/>
          <w:lang w:val="pt-BR" w:eastAsia="pt-BR"/>
        </w:rPr>
      </w:pPr>
      <w:bookmarkStart w:id="35" w:name="_Toc230857003"/>
      <w:r>
        <w:rPr>
          <w:b/>
          <w:bCs/>
          <w:sz w:val="24"/>
          <w:szCs w:val="24"/>
          <w:lang w:val="pt-BR" w:eastAsia="pt-BR"/>
        </w:rPr>
        <w:lastRenderedPageBreak/>
        <w:t>A Teoria Pós-Moderna do Portfólio (PMPT) e a Gestão de Risco Assimétrica</w:t>
      </w:r>
      <w:bookmarkEnd w:id="35"/>
    </w:p>
    <w:p w14:paraId="4B1C1840" w14:textId="77777777" w:rsidR="00346652" w:rsidRDefault="00346652" w:rsidP="00346652">
      <w:pPr>
        <w:rPr>
          <w:b/>
          <w:sz w:val="24"/>
          <w:szCs w:val="24"/>
          <w:lang w:val="pt-BR" w:eastAsia="pt-BR"/>
        </w:rPr>
      </w:pPr>
    </w:p>
    <w:p w14:paraId="0FDB2798" w14:textId="77777777" w:rsidR="00346652" w:rsidRPr="00346652" w:rsidRDefault="00346652" w:rsidP="00346652">
      <w:pPr>
        <w:rPr>
          <w:b/>
          <w:sz w:val="24"/>
          <w:szCs w:val="24"/>
          <w:lang w:val="pt-BR" w:eastAsia="pt-BR"/>
        </w:rPr>
      </w:pPr>
    </w:p>
    <w:p w14:paraId="658AAB9D" w14:textId="77777777" w:rsidR="00346652" w:rsidRPr="00C52D1A" w:rsidRDefault="00346652" w:rsidP="00346652">
      <w:pPr>
        <w:pStyle w:val="PargrafodaLista"/>
        <w:widowControl/>
        <w:numPr>
          <w:ilvl w:val="2"/>
          <w:numId w:val="1"/>
        </w:numPr>
        <w:autoSpaceDE/>
        <w:autoSpaceDN/>
        <w:spacing w:line="360" w:lineRule="auto"/>
        <w:jc w:val="both"/>
        <w:outlineLvl w:val="2"/>
        <w:rPr>
          <w:b/>
          <w:sz w:val="24"/>
          <w:szCs w:val="24"/>
          <w:lang w:val="pt-BR" w:eastAsia="pt-BR"/>
        </w:rPr>
      </w:pPr>
      <w:bookmarkStart w:id="36" w:name="_Toc230857004"/>
      <w:r>
        <w:rPr>
          <w:sz w:val="24"/>
          <w:szCs w:val="24"/>
          <w:lang w:val="pt-BR" w:eastAsia="pt-BR"/>
        </w:rPr>
        <w:t>Introdução: A Evolução Paradigmática e a Necessidade Histórica da PMPT</w:t>
      </w:r>
      <w:bookmarkEnd w:id="36"/>
    </w:p>
    <w:p w14:paraId="13E6851F" w14:textId="77777777" w:rsidR="00346652" w:rsidRDefault="00346652">
      <w:pPr>
        <w:rPr>
          <w:sz w:val="24"/>
          <w:szCs w:val="24"/>
        </w:rPr>
      </w:pPr>
    </w:p>
    <w:p w14:paraId="0D8DBCFF"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Pr>
          <w:i/>
          <w:iCs/>
          <w:sz w:val="24"/>
          <w:szCs w:val="24"/>
          <w:lang w:val="pt-BR" w:eastAsia="pt-BR"/>
        </w:rPr>
        <w:t>Portfolio Selection</w:t>
      </w:r>
      <w:r>
        <w:rPr>
          <w:sz w:val="24"/>
          <w:szCs w:val="24"/>
          <w:lang w:val="pt-BR" w:eastAsia="pt-BR"/>
        </w:rPr>
        <w:t xml:space="preserve">, estabeleceu o alicerce sobre o qual a gestão moderna de investimentos foi construída, formalizando a intuição da diversificação através da análise de média-variância. No entanto, a hegemonia da MPT, embora duradoura, fundamentou-se em simplificações matemáticas — notadamente a distribuição normal dos retornos e a variância como </w:t>
      </w:r>
      <w:r>
        <w:rPr>
          <w:i/>
          <w:iCs/>
          <w:sz w:val="24"/>
          <w:szCs w:val="24"/>
          <w:lang w:val="pt-BR" w:eastAsia="pt-BR"/>
        </w:rPr>
        <w:t xml:space="preserve">proxy </w:t>
      </w:r>
      <w:r>
        <w:rPr>
          <w:sz w:val="24"/>
          <w:szCs w:val="24"/>
          <w:lang w:val="pt-BR" w:eastAsia="pt-BR"/>
        </w:rPr>
        <w:t>de risco — que se mostraram cada vez mais dissonantes da realidade empírica dos mercados globais e da psicologia do investidor.</w:t>
      </w:r>
    </w:p>
    <w:p w14:paraId="11984819"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Enquanto a MPT opera sob a suposição de simetria, tratando ganhos e perdas de igual magnitude como eventos de risco equivalentes, a PMPT reconhece a assimetria fundamental da preferência do investidor: a aversão à perda (downside) em detrimento da mera aversão à volatilidade.</w:t>
      </w:r>
    </w:p>
    <w:p w14:paraId="1A12A92C" w14:textId="77777777" w:rsidR="00696B7C" w:rsidRPr="00696B7C" w:rsidRDefault="00696B7C" w:rsidP="00577540">
      <w:pPr>
        <w:spacing w:line="360" w:lineRule="auto"/>
        <w:ind w:firstLine="851"/>
        <w:jc w:val="both"/>
        <w:rPr>
          <w:sz w:val="24"/>
          <w:szCs w:val="24"/>
          <w:lang w:val="pt-BR" w:eastAsia="pt-BR"/>
        </w:rPr>
      </w:pPr>
      <w:r>
        <w:rPr>
          <w:sz w:val="24"/>
          <w:szCs w:val="24"/>
          <w:lang w:val="pt-BR" w:eastAsia="pt-BR"/>
        </w:rPr>
        <w:t>Este capítulo dedica-se a uma exegese profunda da PMPT, explorando suas raízes históricas, sua fundamentação matemática nos Momentos Parciais Inferiores (Lower Partial Moments - LPM), e a superioridade de suas métricas de risco — como a Semivariância, o Expected Shortfall (CVaR) e os índices de Sortino e Omega — em comparação com os análogos da MPT. A análise demonstrará que a PMPT oferece um arcabouço mais robusto para a construção de portfólios em um mundo caracterizado por distribuições de cauda gorda (</w:t>
      </w:r>
      <w:r>
        <w:rPr>
          <w:i/>
          <w:iCs/>
          <w:sz w:val="24"/>
          <w:szCs w:val="24"/>
          <w:lang w:val="pt-BR" w:eastAsia="pt-BR"/>
        </w:rPr>
        <w:t>fat tails</w:t>
      </w:r>
      <w:r>
        <w:rPr>
          <w:sz w:val="24"/>
          <w:szCs w:val="24"/>
          <w:lang w:val="pt-BR" w:eastAsia="pt-BR"/>
        </w:rPr>
        <w:t>), cisnes negros e comportamento irracional dos agentes.</w:t>
      </w:r>
    </w:p>
    <w:p w14:paraId="58F0B867" w14:textId="77777777" w:rsidR="005D48A6" w:rsidRPr="00346652" w:rsidRDefault="005D48A6" w:rsidP="005D48A6">
      <w:pPr>
        <w:rPr>
          <w:b/>
          <w:sz w:val="24"/>
          <w:szCs w:val="24"/>
          <w:lang w:val="pt-BR" w:eastAsia="pt-BR"/>
        </w:rPr>
      </w:pPr>
    </w:p>
    <w:p w14:paraId="25DF22D5"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7" w:name="_Toc230857005"/>
      <w:r>
        <w:rPr>
          <w:sz w:val="24"/>
          <w:szCs w:val="24"/>
          <w:lang w:eastAsia="pt-BR"/>
        </w:rPr>
        <w:t>O "Esquecimento Tecnológico" e as Origens em Markowitz (1959)</w:t>
      </w:r>
      <w:bookmarkEnd w:id="37"/>
    </w:p>
    <w:p w14:paraId="7C480FEE" w14:textId="77777777" w:rsidR="005D48A6" w:rsidRDefault="005D48A6" w:rsidP="005D48A6">
      <w:pPr>
        <w:rPr>
          <w:sz w:val="24"/>
          <w:szCs w:val="24"/>
        </w:rPr>
      </w:pPr>
    </w:p>
    <w:p w14:paraId="73981365" w14:textId="77777777" w:rsidR="00BF1D60" w:rsidRDefault="00BF1D60" w:rsidP="005D48A6">
      <w:pPr>
        <w:rPr>
          <w:sz w:val="24"/>
          <w:szCs w:val="24"/>
          <w:lang w:val="pt-BR" w:eastAsia="pt-BR"/>
        </w:rPr>
      </w:pPr>
    </w:p>
    <w:p w14:paraId="2C2D064C" w14:textId="77777777" w:rsidR="0008685A" w:rsidRPr="0008685A" w:rsidRDefault="0008685A" w:rsidP="0008685A">
      <w:pPr>
        <w:spacing w:line="360" w:lineRule="auto"/>
        <w:ind w:firstLine="851"/>
        <w:jc w:val="both"/>
        <w:rPr>
          <w:sz w:val="24"/>
          <w:szCs w:val="24"/>
          <w:lang w:val="pt-BR" w:eastAsia="pt-BR"/>
        </w:rPr>
      </w:pPr>
      <w:r>
        <w:rPr>
          <w:sz w:val="24"/>
          <w:szCs w:val="24"/>
          <w:lang w:val="pt-BR" w:eastAsia="pt-BR"/>
        </w:rPr>
        <w:t>É um equívoco comum na literatura financeira atribuir a invenção do foco no downside risk exclusivamente aos teóricos da década de 1990. Uma análise historiográfica rigorosa revela que Harry Markowitz, em sua monografia de 1959, Portfolio Selection: Efficient Diversification of Investments, dedicou um capítulo inteiro à semivariância. Markowitz postulou explicitamente que a semivariância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p>
    <w:p w14:paraId="56576E25" w14:textId="77777777" w:rsidR="0008685A" w:rsidRPr="0008685A" w:rsidRDefault="0008685A" w:rsidP="00577540">
      <w:pPr>
        <w:spacing w:line="360" w:lineRule="auto"/>
        <w:ind w:firstLine="851"/>
        <w:jc w:val="both"/>
        <w:rPr>
          <w:sz w:val="24"/>
          <w:szCs w:val="24"/>
          <w:lang w:val="pt-BR" w:eastAsia="pt-BR"/>
        </w:rPr>
      </w:pPr>
      <w:r>
        <w:rPr>
          <w:sz w:val="24"/>
          <w:szCs w:val="24"/>
          <w:lang w:val="pt-BR" w:eastAsia="pt-BR"/>
        </w:rPr>
        <w:t xml:space="preserve">A decisão de Markowitz de fundamentar a MPT na variância, e não na semivariância, foi uma concessão pragmática imposta pelas restrições tecnológicas da época. Na década de 1950, o custo computacional para calcular a covariância de </w:t>
      </w:r>
      <w:r>
        <w:rPr>
          <w:i/>
          <w:iCs/>
          <w:sz w:val="24"/>
          <w:szCs w:val="24"/>
          <w:lang w:val="pt-BR" w:eastAsia="pt-BR"/>
        </w:rPr>
        <w:t>downside</w:t>
      </w:r>
      <w:r>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p>
    <w:p w14:paraId="732967CA" w14:textId="77777777" w:rsidR="00BF1D60" w:rsidRDefault="0008685A" w:rsidP="00577540">
      <w:pPr>
        <w:spacing w:line="360" w:lineRule="auto"/>
        <w:ind w:firstLine="851"/>
        <w:jc w:val="both"/>
        <w:rPr>
          <w:sz w:val="24"/>
          <w:szCs w:val="24"/>
          <w:lang w:val="pt-BR" w:eastAsia="pt-BR"/>
        </w:rPr>
      </w:pPr>
      <w:r>
        <w:rPr>
          <w:sz w:val="24"/>
          <w:szCs w:val="24"/>
          <w:lang w:val="pt-BR" w:eastAsia="pt-BR"/>
        </w:rPr>
        <w:t>Consequentemente, a indústria financeira passou as três décadas seguintes otimizando portfólios com base em uma medida de risco (desvio padrão) que o próprio criador da teoria considerava uma segunda melhor opção. Foi somente com o advento dos microcomputadores de alta performance nas décadas de 1980 e 1990 que a barreira computacional foi superada, permitindo o renascimento da semivariância sob a égide da PMPT.</w:t>
      </w:r>
    </w:p>
    <w:p w14:paraId="167FB53C" w14:textId="77777777" w:rsidR="005D48A6" w:rsidRPr="00346652" w:rsidRDefault="005D48A6" w:rsidP="005D48A6">
      <w:pPr>
        <w:rPr>
          <w:b/>
          <w:sz w:val="24"/>
          <w:szCs w:val="24"/>
          <w:lang w:val="pt-BR" w:eastAsia="pt-BR"/>
        </w:rPr>
      </w:pPr>
    </w:p>
    <w:p w14:paraId="3C587439"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8" w:name="_Toc230857006"/>
      <w:r>
        <w:rPr>
          <w:sz w:val="24"/>
          <w:szCs w:val="24"/>
          <w:lang w:eastAsia="pt-BR"/>
        </w:rPr>
        <w:t>A Consolidação da PMPT: Rom, Ferguson e o Instituto de Pesquisa de Pensões</w:t>
      </w:r>
      <w:bookmarkEnd w:id="38"/>
    </w:p>
    <w:p w14:paraId="286F75BE" w14:textId="77777777" w:rsidR="005D48A6" w:rsidRDefault="005D48A6" w:rsidP="005D48A6">
      <w:pPr>
        <w:rPr>
          <w:sz w:val="24"/>
          <w:szCs w:val="24"/>
        </w:rPr>
      </w:pPr>
    </w:p>
    <w:p w14:paraId="5704B4FE" w14:textId="77777777" w:rsidR="0058564B" w:rsidRPr="0058564B" w:rsidRDefault="0058564B" w:rsidP="0058564B">
      <w:pPr>
        <w:spacing w:line="360" w:lineRule="auto"/>
        <w:ind w:firstLine="851"/>
        <w:jc w:val="both"/>
        <w:rPr>
          <w:sz w:val="24"/>
          <w:szCs w:val="24"/>
          <w:lang w:val="pt-BR" w:eastAsia="pt-BR"/>
        </w:rPr>
      </w:pPr>
      <w:r>
        <w:rPr>
          <w:sz w:val="24"/>
          <w:szCs w:val="24"/>
          <w:lang w:val="pt-BR" w:eastAsia="pt-BR"/>
        </w:rPr>
        <w:t>A formalização do termo "Teoria Pós-Moderna do Portfólio" é creditada aos desenvolvedores de software Brian M. Rom e Kathleen Ferguson, que publicaram trabalhos seminais em 1993 e 1994 no The Journal of Investing. Rom e Ferguson identificaram falhas críticas nos softwares de otimização baseados na MPT e propuseram uma nova estrutura que incorporava a assimetria das distribuições de retorno.</w:t>
      </w:r>
    </w:p>
    <w:p w14:paraId="6AA04C3D" w14:textId="77777777" w:rsidR="003A4B13" w:rsidRDefault="0058564B" w:rsidP="0058564B">
      <w:pPr>
        <w:spacing w:line="360" w:lineRule="auto"/>
        <w:ind w:firstLine="851"/>
        <w:jc w:val="both"/>
        <w:rPr>
          <w:sz w:val="24"/>
          <w:szCs w:val="24"/>
          <w:lang w:val="pt-BR" w:eastAsia="pt-BR"/>
        </w:rPr>
      </w:pPr>
      <w:r>
        <w:rPr>
          <w:sz w:val="24"/>
          <w:szCs w:val="24"/>
          <w:lang w:val="pt-BR" w:eastAsia="pt-BR"/>
        </w:rPr>
        <w:t xml:space="preserve">Paralelamente, o suporte acadêmico para a PMPT foi solidificado pelo Pension Research Institute (PRI) na Universidade Estadual de São Francisco. Pesquisadores como Dr. Frank Sortino e Dr. Hal Forsey, trabalhando com base nos teoremas de Bawa (1975) </w:t>
        <w:lastRenderedPageBreak/>
        <w:t>e Fishburn (1977), desenvolveram algoritmos práticos para calcular o risco de downside e a distribuição log-normal de três parâmetros, que se ajustava melhor aos dados de mercado do que a distribuição normal da MPT. O trabalho de Sortino, em particular, foi crucial para traduzir a teoria complexa dos momentos parciais em ferramentas aplicáveis, culminando na criação do Índice de Sortino, que se tornou o padrão da análise de desempenho ajustada ao risco de downside.</w:t>
      </w:r>
    </w:p>
    <w:p w14:paraId="2299A371" w14:textId="77777777" w:rsidR="005D48A6" w:rsidRPr="00346652" w:rsidRDefault="005D48A6" w:rsidP="005D48A6">
      <w:pPr>
        <w:rPr>
          <w:b/>
          <w:sz w:val="24"/>
          <w:szCs w:val="24"/>
          <w:lang w:val="pt-BR" w:eastAsia="pt-BR"/>
        </w:rPr>
      </w:pPr>
    </w:p>
    <w:p w14:paraId="7B1FF360"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39" w:name="_Toc230857007"/>
      <w:r>
        <w:rPr>
          <w:sz w:val="24"/>
          <w:szCs w:val="24"/>
          <w:lang w:eastAsia="pt-BR"/>
        </w:rPr>
        <w:t>O Fenômeno da "Maximização de Erros" e a Instabilidade das Soluções</w:t>
      </w:r>
      <w:bookmarkEnd w:id="39"/>
    </w:p>
    <w:p w14:paraId="13C8951A" w14:textId="77777777" w:rsidR="005D48A6" w:rsidRDefault="005D48A6" w:rsidP="005D48A6">
      <w:pPr>
        <w:rPr>
          <w:sz w:val="24"/>
          <w:szCs w:val="24"/>
        </w:rPr>
      </w:pPr>
    </w:p>
    <w:p w14:paraId="110CB73A" w14:textId="77777777" w:rsidR="00B0386A" w:rsidRPr="00B0386A" w:rsidRDefault="00B0386A" w:rsidP="00B0386A">
      <w:pPr>
        <w:rPr>
          <w:sz w:val="24"/>
          <w:szCs w:val="24"/>
          <w:lang w:val="pt-BR" w:eastAsia="pt-BR"/>
        </w:rPr>
      </w:pPr>
    </w:p>
    <w:p w14:paraId="2FDDE910"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A crítica mais devastadora e pragmaticamente relevante à implementação institucional da MPT foi articulada por Richard Michaud (1989), que cunhou o termo "maximizador de erros" (error maximizer) para descrever os otimizadores de média-variância. A intuição subjacente a esta crítica é estatisticamente profunda e deve ser o ponto de partida para qualquer discussão sobre o modelo Black-Litterman. Os algoritmos de otimização quadrática são desenhados para explorar as extremidades do conjunto de oportunidades de investimento. Eles buscam, matematicamente, os ativos que oferecem as maiores razões de retorno marginal por unidade de risco marginal. </w:t>
      </w:r>
    </w:p>
    <w:p w14:paraId="6F42DF1B" w14:textId="77777777" w:rsidR="007423F5" w:rsidRDefault="00B0386A" w:rsidP="00B0386A">
      <w:pPr>
        <w:spacing w:line="360" w:lineRule="auto"/>
        <w:ind w:firstLine="851"/>
        <w:jc w:val="both"/>
        <w:rPr>
          <w:sz w:val="24"/>
          <w:szCs w:val="24"/>
          <w:lang w:val="pt-BR" w:eastAsia="pt-BR"/>
        </w:rPr>
      </w:pPr>
      <w:r>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 </w:t>
      </w:r>
    </w:p>
    <w:p w14:paraId="7375F5E8" w14:textId="77777777" w:rsidR="00B0386A" w:rsidRDefault="00B0386A" w:rsidP="00B0386A">
      <w:pPr>
        <w:spacing w:line="360" w:lineRule="auto"/>
        <w:ind w:firstLine="851"/>
        <w:jc w:val="both"/>
        <w:rPr>
          <w:sz w:val="24"/>
          <w:szCs w:val="24"/>
          <w:lang w:val="pt-BR" w:eastAsia="pt-BR"/>
        </w:rPr>
      </w:pPr>
      <w:r>
        <w:rPr>
          <w:sz w:val="24"/>
          <w:szCs w:val="24"/>
          <w:lang w:val="pt-BR" w:eastAsia="pt-BR"/>
        </w:rPr>
        <w:t xml:space="preserve">O resultado prático, frequentemente observado em backtests no mercado brasileiro, é a construção de "Soluções de Canto" (Corner Solutions): portfólios binários, concentrados em poucos ativos, que contradizem o próprio princípio da diversificação que a teoria pretendia promover. Em um exercício de simulação, tais carteiras frequentemente apresentam desempenho fora da amostra (out-of-sample) inferior a estratégias ingênuas de equiponderação </w:t>
      </w:r>
      <m:oMath>
        <m:r>
          <w:rPr>
            <w:rFonts w:ascii="Cambria Math" w:hAnsi="Cambria Math"/>
            <w:sz w:val="24"/>
            <w:szCs w:val="24"/>
            <w:lang w:val="pt-BR" w:eastAsia="pt-BR"/>
          </w:rPr>
          <m:t>(1/N)</m:t>
        </m:r>
      </m:oMath>
      <w:r>
        <w:rPr>
          <w:sz w:val="24"/>
          <w:szCs w:val="24"/>
          <w:lang w:val="pt-BR" w:eastAsia="pt-BR"/>
        </w:rPr>
        <w:t xml:space="preserve">, pois o otimizador alavancou os erros de previsão em vez de capturar o prêmio de risco verdadeiro. Esta instabilidade — onde pequenas alterações nos inputs (ex: 0,1% na média estimada de uma blue chip como a </w:t>
        <w:lastRenderedPageBreak/>
        <w:t>Petrobras) geram mudanças drásticas nos pesos (ex: 0% para 40% de alocação) — torna a MPT pura inutilizável para a gestão profissional de grandes volumes de capital, onde os custos de transação e a coerência da estratégia são imperativos.</w:t>
      </w:r>
    </w:p>
    <w:p w14:paraId="0F67C317" w14:textId="77777777" w:rsidR="005D48A6" w:rsidRPr="00346652" w:rsidRDefault="005D48A6" w:rsidP="005D48A6">
      <w:pPr>
        <w:rPr>
          <w:b/>
          <w:sz w:val="24"/>
          <w:szCs w:val="24"/>
          <w:lang w:val="pt-BR" w:eastAsia="pt-BR"/>
        </w:rPr>
      </w:pPr>
    </w:p>
    <w:p w14:paraId="1AB3FBEF"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0" w:name="_Toc230857008"/>
      <w:r>
        <w:rPr>
          <w:sz w:val="24"/>
          <w:szCs w:val="24"/>
          <w:lang w:val="pt-BR" w:eastAsia="pt-BR"/>
        </w:rPr>
        <w:t>A Limitação da Utilidade Quadrática e a Cegueira à Assimetria</w:t>
      </w:r>
      <w:bookmarkEnd w:id="40"/>
    </w:p>
    <w:p w14:paraId="05D4CA9B" w14:textId="77777777" w:rsidR="005D48A6" w:rsidRDefault="005D48A6" w:rsidP="005D48A6">
      <w:pPr>
        <w:rPr>
          <w:sz w:val="24"/>
          <w:szCs w:val="24"/>
        </w:rPr>
      </w:pPr>
    </w:p>
    <w:p w14:paraId="4F6D5A6C" w14:textId="77777777" w:rsidR="007423F5" w:rsidRDefault="00A0765E" w:rsidP="00A0765E">
      <w:pPr>
        <w:spacing w:line="360" w:lineRule="auto"/>
        <w:ind w:firstLine="851"/>
        <w:jc w:val="both"/>
        <w:rPr>
          <w:sz w:val="24"/>
          <w:szCs w:val="24"/>
          <w:lang w:val="pt-BR" w:eastAsia="pt-BR"/>
        </w:rPr>
      </w:pPr>
      <w:r>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 </w:t>
      </w:r>
    </w:p>
    <w:p w14:paraId="3132D154" w14:textId="77777777" w:rsidR="007423F5" w:rsidRDefault="00A0765E" w:rsidP="00A0765E">
      <w:pPr>
        <w:spacing w:line="360" w:lineRule="auto"/>
        <w:ind w:firstLine="851"/>
        <w:jc w:val="both"/>
        <w:rPr>
          <w:sz w:val="24"/>
          <w:szCs w:val="24"/>
          <w:lang w:val="pt-BR" w:eastAsia="pt-BR"/>
        </w:rPr>
      </w:pPr>
      <w:r>
        <w:rPr>
          <w:sz w:val="24"/>
          <w:szCs w:val="24"/>
          <w:lang w:val="pt-BR" w:eastAsia="pt-BR"/>
        </w:rPr>
        <w:t>Esta premissa é violentamente rejeitada pelas evidências da Economia Comportamental e pela realidade observável dos investidores na B3. A Teoria da Perspectiva (Prospect Theory), desenvolvida por Kahneman e Tversky, demonstrou que os seres humanos exibem aversão à perda (loss aversion) e não aversão à volatilidade per se. A dor da perda é psicologicamente duas vezes mais intensa que o prazer do ganho equivalente. Além disso, os mercados financeiros exibem assimetria estatística (skewness) e curtose excessiva (fat tails), fenômenos que a distribuição normal da MPT falha em capturar.</w:t>
      </w:r>
    </w:p>
    <w:p w14:paraId="0595532B" w14:textId="77777777" w:rsidR="007423F5" w:rsidRDefault="00A0765E" w:rsidP="00A0765E">
      <w:pPr>
        <w:spacing w:line="360" w:lineRule="auto"/>
        <w:ind w:firstLine="851"/>
        <w:jc w:val="both"/>
        <w:rPr>
          <w:sz w:val="24"/>
          <w:szCs w:val="24"/>
          <w:lang w:val="pt-BR" w:eastAsia="pt-BR"/>
        </w:rPr>
      </w:pPr>
      <w:r>
        <w:rPr>
          <w:sz w:val="24"/>
          <w:szCs w:val="24"/>
          <w:lang w:val="pt-BR" w:eastAsia="pt-BR"/>
        </w:rPr>
        <w:t>No contexto brasileiro, a análise descritiva dos dados frequentemente revela ativos com curtose extremamente elevada (leptocurtose).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4CA44F51" w14:textId="77777777" w:rsidR="00FF493E" w:rsidRDefault="00A0765E" w:rsidP="00A0765E">
      <w:pPr>
        <w:spacing w:line="360" w:lineRule="auto"/>
        <w:ind w:firstLine="851"/>
        <w:jc w:val="both"/>
        <w:rPr>
          <w:sz w:val="24"/>
          <w:szCs w:val="24"/>
          <w:lang w:val="pt-BR" w:eastAsia="pt-BR"/>
        </w:rPr>
      </w:pPr>
      <w:r>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Black-Litterman) e o aprimoramento da medição de risco através do reconhecimento da assimetria (Teoria Pós-Moderna).</w:t>
      </w:r>
    </w:p>
    <w:p w14:paraId="5683C731" w14:textId="77777777" w:rsidR="00FF493E" w:rsidRPr="005D48A6" w:rsidRDefault="00FF493E" w:rsidP="00FF493E">
      <w:pPr>
        <w:rPr>
          <w:sz w:val="24"/>
          <w:szCs w:val="24"/>
          <w:lang w:val="pt-BR" w:eastAsia="pt-BR"/>
        </w:rPr>
      </w:pPr>
    </w:p>
    <w:p w14:paraId="187D8ACE" w14:textId="77777777" w:rsidR="005D48A6" w:rsidRPr="005D48A6" w:rsidRDefault="005D48A6" w:rsidP="005D48A6">
      <w:pPr>
        <w:rPr>
          <w:b/>
          <w:sz w:val="24"/>
          <w:szCs w:val="24"/>
          <w:lang w:val="pt-BR" w:eastAsia="pt-BR"/>
        </w:rPr>
      </w:pPr>
    </w:p>
    <w:p w14:paraId="2342B8CF" w14:textId="77777777" w:rsidR="005D48A6" w:rsidRPr="005D48A6"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1" w:name="_Toc230857009"/>
      <w:r>
        <w:rPr>
          <w:sz w:val="24"/>
          <w:szCs w:val="24"/>
          <w:lang w:eastAsia="pt-BR"/>
        </w:rPr>
        <w:lastRenderedPageBreak/>
        <w:t>A Insuficiência da Variância e a Gênese da PMPT</w:t>
      </w:r>
      <w:bookmarkEnd w:id="41"/>
    </w:p>
    <w:p w14:paraId="51B8AAF9" w14:textId="77777777" w:rsidR="005D48A6" w:rsidRPr="005D48A6" w:rsidRDefault="005D48A6" w:rsidP="005D48A6">
      <w:pPr>
        <w:rPr>
          <w:sz w:val="24"/>
          <w:szCs w:val="24"/>
        </w:rPr>
      </w:pPr>
    </w:p>
    <w:p w14:paraId="34840121" w14:textId="77777777" w:rsidR="00443833" w:rsidRPr="005D48A6" w:rsidRDefault="00443833" w:rsidP="00443833">
      <w:pPr>
        <w:widowControl/>
        <w:autoSpaceDE/>
        <w:autoSpaceDN/>
        <w:spacing w:line="360" w:lineRule="auto"/>
        <w:ind w:firstLine="851"/>
        <w:jc w:val="both"/>
        <w:rPr>
          <w:sz w:val="24"/>
          <w:szCs w:val="24"/>
          <w:lang w:val="pt-BR" w:eastAsia="pt-BR"/>
        </w:rPr>
      </w:pPr>
    </w:p>
    <w:p w14:paraId="472C0D54" w14:textId="77777777" w:rsidR="00CB0A71" w:rsidRDefault="00CB0A71" w:rsidP="00E8525A">
      <w:pPr>
        <w:widowControl/>
        <w:autoSpaceDE/>
        <w:autoSpaceDN/>
        <w:spacing w:line="360" w:lineRule="auto"/>
        <w:ind w:firstLine="851"/>
        <w:jc w:val="both"/>
        <w:rPr>
          <w:sz w:val="24"/>
          <w:szCs w:val="24"/>
          <w:lang w:val="pt-BR" w:eastAsia="pt-BR"/>
        </w:rPr>
      </w:pPr>
      <w:r>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Pr>
          <w:sz w:val="24"/>
          <w:szCs w:val="24"/>
          <w:lang w:val="pt-BR" w:eastAsia="pt-BR"/>
        </w:rPr>
        <w:t xml:space="preserve"> </w:t>
      </w:r>
    </w:p>
    <w:p w14:paraId="00082E27" w14:textId="77777777" w:rsidR="00F63933" w:rsidRDefault="00F63933" w:rsidP="00E8525A">
      <w:pPr>
        <w:widowControl/>
        <w:autoSpaceDE/>
        <w:autoSpaceDN/>
        <w:spacing w:line="360" w:lineRule="auto"/>
        <w:ind w:firstLine="851"/>
        <w:jc w:val="both"/>
        <w:rPr>
          <w:sz w:val="24"/>
          <w:szCs w:val="24"/>
          <w:lang w:val="pt-BR" w:eastAsia="pt-BR"/>
        </w:rPr>
      </w:pPr>
      <w:r>
        <w:rPr>
          <w:sz w:val="24"/>
          <w:szCs w:val="24"/>
          <w:lang w:eastAsia="pt-BR"/>
        </w:rPr>
        <w:t xml:space="preserve">Neste contexto, a variância falha por ser uma medida simétrica: ela penaliza os desvios positivos (ganhos acima da média) com a mesma severidade que os desvios negativos (perdas) (Nawrocki, 1999). A Teoria Pós-Moderna do Portfólio (PMPT) surge, portanto, como uma evolução necessária, fundamentada na premissa de que o risco deve ser tratado como a possibilidade de não atingir um retorno mínimo aceitável (Target Minimum Return), focando exclusivamente no </w:t>
      </w:r>
      <w:r>
        <w:rPr>
          <w:i/>
          <w:iCs/>
          <w:sz w:val="24"/>
          <w:szCs w:val="24"/>
          <w:lang w:eastAsia="pt-BR"/>
        </w:rPr>
        <w:t>downside risk</w:t>
      </w:r>
      <w:r>
        <w:rPr>
          <w:sz w:val="24"/>
          <w:szCs w:val="24"/>
          <w:lang w:eastAsia="pt-BR"/>
        </w:rPr>
        <w:t>.</w:t>
      </w:r>
      <w:r>
        <w:rPr>
          <w:sz w:val="24"/>
          <w:szCs w:val="24"/>
          <w:lang w:val="pt-BR" w:eastAsia="pt-BR"/>
        </w:rPr>
        <w:t xml:space="preserve"> </w:t>
      </w:r>
    </w:p>
    <w:p w14:paraId="54DF5174" w14:textId="77777777" w:rsidR="00443833" w:rsidRDefault="00771C38" w:rsidP="00E8525A">
      <w:pPr>
        <w:widowControl/>
        <w:autoSpaceDE/>
        <w:autoSpaceDN/>
        <w:spacing w:line="360" w:lineRule="auto"/>
        <w:ind w:firstLine="851"/>
        <w:jc w:val="both"/>
        <w:rPr>
          <w:sz w:val="24"/>
          <w:szCs w:val="24"/>
          <w:lang w:eastAsia="pt-BR"/>
        </w:rPr>
      </w:pPr>
      <w:r>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r>
        <w:rPr>
          <w:i/>
          <w:iCs/>
          <w:sz w:val="24"/>
          <w:szCs w:val="24"/>
          <w:lang w:eastAsia="pt-BR"/>
        </w:rPr>
        <w:t>Pension Research Institute</w:t>
      </w:r>
      <w:r>
        <w:rPr>
          <w:sz w:val="24"/>
          <w:szCs w:val="24"/>
          <w:lang w:eastAsia="pt-BR"/>
        </w:rPr>
        <w:t xml:space="preserve">, através de pesquisadores como Frank Sortino, operacionalizou a teoria dos Momentos Parciais Inferiores (LPM - </w:t>
      </w:r>
      <w:r>
        <w:rPr>
          <w:i/>
          <w:iCs/>
          <w:sz w:val="24"/>
          <w:szCs w:val="24"/>
          <w:lang w:eastAsia="pt-BR"/>
        </w:rPr>
        <w:t>Lower Partial Moments</w:t>
      </w:r>
      <w:r>
        <w:rPr>
          <w:sz w:val="24"/>
          <w:szCs w:val="24"/>
          <w:lang w:eastAsia="pt-BR"/>
        </w:rPr>
        <w:t xml:space="preserve">), desenvolvendo métricas como o Índice de Sortino, que ajusta o retorno pelo risco de </w:t>
      </w:r>
      <w:r>
        <w:rPr>
          <w:i/>
          <w:iCs/>
          <w:sz w:val="24"/>
          <w:szCs w:val="24"/>
          <w:lang w:eastAsia="pt-BR"/>
        </w:rPr>
        <w:t>downside</w:t>
      </w:r>
      <w:r>
        <w:rPr>
          <w:sz w:val="24"/>
          <w:szCs w:val="24"/>
          <w:lang w:eastAsia="pt-BR"/>
        </w:rPr>
        <w:t xml:space="preserve"> em vez do desvio padrão total.</w:t>
      </w:r>
    </w:p>
    <w:p w14:paraId="1644AD54" w14:textId="77777777" w:rsidR="005D48A6" w:rsidRPr="00346652" w:rsidRDefault="005D48A6" w:rsidP="005D48A6">
      <w:pPr>
        <w:rPr>
          <w:b/>
          <w:sz w:val="24"/>
          <w:szCs w:val="24"/>
          <w:lang w:val="pt-BR" w:eastAsia="pt-BR"/>
        </w:rPr>
      </w:pPr>
    </w:p>
    <w:p w14:paraId="63BA3CFD"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2" w:name="_Toc230857010"/>
      <w:r>
        <w:rPr>
          <w:sz w:val="24"/>
          <w:szCs w:val="24"/>
          <w:lang w:eastAsia="pt-BR"/>
        </w:rPr>
        <w:t>Métricas de Risco: Do VaR às Medidas Coerentes</w:t>
      </w:r>
      <w:bookmarkEnd w:id="42"/>
    </w:p>
    <w:p w14:paraId="7AC2AF11" w14:textId="77777777" w:rsidR="005D48A6" w:rsidRDefault="005D48A6" w:rsidP="005D48A6">
      <w:pPr>
        <w:rPr>
          <w:sz w:val="24"/>
          <w:szCs w:val="24"/>
        </w:rPr>
      </w:pPr>
    </w:p>
    <w:p w14:paraId="19C3145E"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6BF110EB"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 xml:space="preserve">Para operacionalizar a PMPT em modelos de otimização, é necessário definir métricas que capturem o risco de cauda. O Value at Risk (VaR), popularizado na década de 1990, tornou-se um padrão regulatório. O VaR estima a perda máxima esperada para um determinado nível de confiança e horizonte de tempo. No entanto, o VaR possui limitações teóricas graves para a otimização de portfólios: ele não é uma medida subaditiva, o que significa que, em certas condições, o VaR de uma carteira diversificada </w:t>
        <w:lastRenderedPageBreak/>
        <w:t>pode ser maior que a soma dos VaRs individuais dos ativos, violando o princípio da diversificação.</w:t>
      </w:r>
    </w:p>
    <w:p w14:paraId="1A22FF1C" w14:textId="77777777" w:rsidR="000228B8" w:rsidRPr="000228B8"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Em resposta, Artzner et al. (1999) estabeleceram os axiomas que definem uma Medida de Risco Coerente: monotonicidade, subaditividade, homogeneidade positiva e invariância à translação. Com base nesses axiomas, o Conditional Value at Risk (CVaR), também conhecido como Expected Shortfall (ES), emergiu como a métrica superior.</w:t>
      </w:r>
    </w:p>
    <w:p w14:paraId="4BA192D6" w14:textId="77777777" w:rsidR="00443833" w:rsidRDefault="000228B8" w:rsidP="000228B8">
      <w:pPr>
        <w:widowControl/>
        <w:autoSpaceDE/>
        <w:autoSpaceDN/>
        <w:spacing w:line="360" w:lineRule="auto"/>
        <w:ind w:firstLine="851"/>
        <w:jc w:val="both"/>
        <w:rPr>
          <w:sz w:val="24"/>
          <w:szCs w:val="24"/>
          <w:lang w:val="pt-BR" w:eastAsia="pt-BR"/>
        </w:rPr>
      </w:pPr>
      <w:r>
        <w:rPr>
          <w:sz w:val="24"/>
          <w:szCs w:val="24"/>
          <w:lang w:val="pt-BR" w:eastAsia="pt-BR"/>
        </w:rPr>
        <w:t>O CVaR mede a perda esperada dado que a perda excedeu o limite do VaR, capturando a severidade dos eventos extremos na cauda esquerda da distribuição. Diferentemente do VaR, o CVaR é uma medida coerente e convexa, o que permite sua minimização eficiente através de técnicas de programação linear, conforme demonstrado por Rockafellar e Uryasev (2000, 2002).</w:t>
      </w:r>
    </w:p>
    <w:p w14:paraId="108B0864" w14:textId="77777777" w:rsidR="005D48A6" w:rsidRPr="00346652" w:rsidRDefault="005D48A6" w:rsidP="005D48A6">
      <w:pPr>
        <w:rPr>
          <w:b/>
          <w:sz w:val="24"/>
          <w:szCs w:val="24"/>
          <w:lang w:val="pt-BR" w:eastAsia="pt-BR"/>
        </w:rPr>
      </w:pPr>
    </w:p>
    <w:p w14:paraId="40CDA657" w14:textId="77777777" w:rsidR="005D48A6" w:rsidRPr="00C52D1A" w:rsidRDefault="005D48A6" w:rsidP="005D48A6">
      <w:pPr>
        <w:pStyle w:val="PargrafodaLista"/>
        <w:widowControl/>
        <w:numPr>
          <w:ilvl w:val="2"/>
          <w:numId w:val="1"/>
        </w:numPr>
        <w:autoSpaceDE/>
        <w:autoSpaceDN/>
        <w:spacing w:line="360" w:lineRule="auto"/>
        <w:jc w:val="both"/>
        <w:outlineLvl w:val="2"/>
        <w:rPr>
          <w:b/>
          <w:sz w:val="24"/>
          <w:szCs w:val="24"/>
          <w:lang w:val="pt-BR" w:eastAsia="pt-BR"/>
        </w:rPr>
      </w:pPr>
      <w:bookmarkStart w:id="43" w:name="_Toc230857011"/>
      <w:r>
        <w:rPr>
          <w:sz w:val="24"/>
          <w:szCs w:val="24"/>
          <w:lang w:val="pt-BR" w:eastAsia="pt-BR"/>
        </w:rPr>
        <w:t>Transição da MPT para a PMPT</w:t>
      </w:r>
      <w:bookmarkEnd w:id="43"/>
    </w:p>
    <w:p w14:paraId="2C73326C" w14:textId="77777777" w:rsidR="005D48A6" w:rsidRDefault="005D48A6" w:rsidP="005D48A6">
      <w:pPr>
        <w:rPr>
          <w:sz w:val="24"/>
          <w:szCs w:val="24"/>
        </w:rPr>
      </w:pPr>
    </w:p>
    <w:p w14:paraId="5A621267" w14:textId="77777777" w:rsidR="00443833" w:rsidRPr="00443833" w:rsidRDefault="00443833" w:rsidP="005D48A6">
      <w:pPr>
        <w:widowControl/>
        <w:autoSpaceDE/>
        <w:autoSpaceDN/>
        <w:spacing w:line="360" w:lineRule="auto"/>
        <w:jc w:val="both"/>
        <w:rPr>
          <w:sz w:val="24"/>
          <w:szCs w:val="24"/>
          <w:lang w:val="pt-BR" w:eastAsia="pt-BR"/>
        </w:rPr>
      </w:pPr>
    </w:p>
    <w:p w14:paraId="7F68E9F5"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Pr>
          <w:sz w:val="24"/>
          <w:szCs w:val="24"/>
          <w:lang w:val="pt-BR" w:eastAsia="pt-BR"/>
        </w:rPr>
        <w:t>, o modelo Pós-Moderno aqui proposto busca minimizar o CVaR para um dado nível de retorno.</w:t>
      </w:r>
    </w:p>
    <w:p w14:paraId="76E45576" w14:textId="77777777" w:rsidR="004E301B" w:rsidRPr="004E301B" w:rsidRDefault="004E301B" w:rsidP="004E301B">
      <w:pPr>
        <w:widowControl/>
        <w:autoSpaceDE/>
        <w:autoSpaceDN/>
        <w:spacing w:line="360" w:lineRule="auto"/>
        <w:ind w:firstLine="851"/>
        <w:jc w:val="both"/>
        <w:rPr>
          <w:sz w:val="24"/>
          <w:szCs w:val="24"/>
          <w:lang w:val="pt-BR" w:eastAsia="pt-BR"/>
        </w:rPr>
      </w:pPr>
      <w:r>
        <w:rPr>
          <w:sz w:val="24"/>
          <w:szCs w:val="24"/>
          <w:lang w:val="pt-BR" w:eastAsia="pt-BR"/>
        </w:rPr>
        <w:t>A formulação do problema de otimização de Média-CVaR pode ser descrita como a busca pelos pesos (w) que minimizam as perdas extremas ponderadas pela distribuição de probabilidade dos retornos, sujeitos às restrições de alocação. Estudos empíricos no mercado brasileiro indicam que carteiras otimizadas por Média-CVaR tendem a apresentar melhor desempenho ajustado ao risco e maior proteção contra drawdowns em períodos de crise, comparativamente às carteiras de Média-Variância, devido à sua sensibilidade aos momentos de ordem superior (assimetria e curtose).</w:t>
      </w:r>
    </w:p>
    <w:p w14:paraId="30AF7AA4" w14:textId="77777777" w:rsidR="009E1AAD" w:rsidRPr="00607CFE" w:rsidRDefault="004E301B" w:rsidP="00607CFE">
      <w:pPr>
        <w:widowControl/>
        <w:autoSpaceDE/>
        <w:autoSpaceDN/>
        <w:spacing w:line="360" w:lineRule="auto"/>
        <w:ind w:firstLine="851"/>
        <w:jc w:val="both"/>
        <w:rPr>
          <w:sz w:val="24"/>
          <w:szCs w:val="24"/>
          <w:lang w:val="pt-BR" w:eastAsia="pt-BR"/>
        </w:rPr>
      </w:pPr>
      <w:r>
        <w:rPr>
          <w:sz w:val="24"/>
          <w:szCs w:val="24"/>
          <w:lang w:val="pt-BR" w:eastAsia="pt-BR"/>
        </w:rPr>
        <w:t>Portanto, ao comparar carteiras geradas por diferentes otimizadores, espera-se que o otimizador PMPT (Mínimo-CVaR) gere alocações mais defensivas e robustas a eventos de cauda, refletindo de forma mais fidedigna a aversão à perda descrita pelas Finanças Comportamentais</w:t>
        <w:br w:type="page"/>
      </w:r>
    </w:p>
    <w:p w14:paraId="5700B946" w14:textId="77777777" w:rsidR="009E1AAD" w:rsidRPr="00EE5FAE" w:rsidRDefault="009E1AAD" w:rsidP="003F1C11">
      <w:pPr>
        <w:pStyle w:val="PargrafodaLista"/>
        <w:widowControl/>
        <w:numPr>
          <w:ilvl w:val="1"/>
          <w:numId w:val="32"/>
        </w:numPr>
        <w:autoSpaceDE/>
        <w:autoSpaceDN/>
        <w:spacing w:line="360" w:lineRule="auto"/>
        <w:jc w:val="both"/>
        <w:outlineLvl w:val="1"/>
        <w:rPr>
          <w:sz w:val="24"/>
          <w:szCs w:val="24"/>
          <w:lang w:val="pt-BR" w:eastAsia="pt-BR"/>
        </w:rPr>
      </w:pPr>
      <w:bookmarkStart w:id="44" w:name="_Toc230857012"/>
      <w:r>
        <w:rPr>
          <w:b/>
          <w:bCs/>
          <w:sz w:val="24"/>
          <w:szCs w:val="24"/>
          <w:lang w:val="pt-BR" w:eastAsia="pt-BR"/>
        </w:rPr>
        <w:lastRenderedPageBreak/>
        <w:t>Desconstrução Crítica da MPT: As Falácias da Normalidade e da Utilidade Quadrática</w:t>
      </w:r>
      <w:bookmarkEnd w:id="44"/>
    </w:p>
    <w:p w14:paraId="51D0882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03EB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597BE010" w14:textId="77777777" w:rsidR="009578C9" w:rsidRPr="00002122" w:rsidRDefault="009578C9" w:rsidP="009578C9">
      <w:pPr>
        <w:rPr>
          <w:b/>
          <w:bCs/>
          <w:sz w:val="24"/>
          <w:szCs w:val="24"/>
          <w:lang w:val="pt-BR" w:eastAsia="pt-BR"/>
        </w:rPr>
      </w:pPr>
    </w:p>
    <w:p w14:paraId="004FA5CD" w14:textId="77777777" w:rsidR="009578C9" w:rsidRDefault="005106B9" w:rsidP="005106B9">
      <w:pPr>
        <w:pStyle w:val="PargrafodaLista"/>
        <w:widowControl/>
        <w:numPr>
          <w:ilvl w:val="2"/>
          <w:numId w:val="32"/>
        </w:numPr>
        <w:autoSpaceDE/>
        <w:autoSpaceDN/>
        <w:spacing w:line="360" w:lineRule="auto"/>
        <w:jc w:val="both"/>
        <w:outlineLvl w:val="2"/>
        <w:rPr>
          <w:sz w:val="24"/>
          <w:szCs w:val="24"/>
          <w:lang w:val="pt-BR" w:eastAsia="pt-BR"/>
        </w:rPr>
      </w:pPr>
      <w:r>
        <w:rPr>
          <w:sz w:val="24"/>
          <w:szCs w:val="24"/>
          <w:lang w:val="pt-BR" w:eastAsia="pt-BR"/>
        </w:rPr>
        <w:t>Limitações da Distribuição Normal: Caudas Pesadas e Assimetria</w:t>
      </w:r>
    </w:p>
    <w:p w14:paraId="0A9850BD" w14:textId="77777777" w:rsidR="00607CFE" w:rsidRDefault="00607CFE" w:rsidP="00607CFE">
      <w:pPr>
        <w:rPr>
          <w:sz w:val="24"/>
          <w:szCs w:val="24"/>
          <w:lang w:val="pt-BR" w:eastAsia="pt-BR"/>
        </w:rPr>
      </w:pPr>
    </w:p>
    <w:p w14:paraId="105E1D09"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 xml:space="preserve">A MPT assume que os retornos dos ativos financeiros são variáveis aleatórias independentes e identicamente distribuídas (i.i.d.)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Pr>
          <w:sz w:val="24"/>
          <w:szCs w:val="24"/>
          <w:lang w:val="pt-BR" w:eastAsia="pt-BR"/>
        </w:rPr>
        <w:t xml:space="preserve">e desvio padrão </w:t>
      </w:r>
      <m:oMath>
        <m:r>
          <w:rPr>
            <w:rFonts w:ascii="Cambria Math" w:hAnsi="Cambria Math"/>
            <w:sz w:val="24"/>
            <w:szCs w:val="24"/>
            <w:lang w:val="pt-BR" w:eastAsia="pt-BR"/>
          </w:rPr>
          <m:t>(σ)</m:t>
        </m:r>
      </m:oMath>
      <w:r>
        <w:rPr>
          <w:sz w:val="24"/>
          <w:szCs w:val="24"/>
          <w:lang w:val="pt-BR" w:eastAsia="pt-BR"/>
        </w:rPr>
        <w:t>. Sob esta ótica, a probabilidade de eventos extremos diminui exponencialmente à medida que nos afastamos da média.</w:t>
      </w:r>
    </w:p>
    <w:p w14:paraId="058C90DF" w14:textId="77777777" w:rsidR="00607CFE" w:rsidRPr="00443833" w:rsidRDefault="00607CFE" w:rsidP="00607CFE">
      <w:pPr>
        <w:widowControl/>
        <w:autoSpaceDE/>
        <w:autoSpaceDN/>
        <w:spacing w:line="360" w:lineRule="auto"/>
        <w:ind w:firstLine="851"/>
        <w:jc w:val="both"/>
        <w:rPr>
          <w:sz w:val="24"/>
          <w:szCs w:val="24"/>
          <w:lang w:val="pt-BR" w:eastAsia="pt-BR"/>
        </w:rPr>
      </w:pPr>
      <w:r>
        <w:rPr>
          <w:sz w:val="24"/>
          <w:szCs w:val="24"/>
          <w:lang w:val="pt-BR" w:eastAsia="pt-BR"/>
        </w:rPr>
        <w:t>No entanto, evidências empíricas exaustivas demonstram que as séries temporais financeiras exibem características que violam sistematicamente a normalidade:</w:t>
      </w:r>
    </w:p>
    <w:p w14:paraId="7C9E5E7D"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Leptocurtose (Caudas Gordas):</w:t>
      </w:r>
      <w:r>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Pr>
          <w:sz w:val="24"/>
          <w:szCs w:val="24"/>
          <w:lang w:val="pt-BR" w:eastAsia="pt-BR"/>
        </w:rPr>
        <w:t>, que teoricamente deveriam ocorrer uma vez a cada milhões de anos, ocorrem com uma regularidade alarmante em crises financeiras.</w:t>
      </w:r>
    </w:p>
    <w:p w14:paraId="629BCEB1" w14:textId="77777777" w:rsidR="00607CFE" w:rsidRPr="00443833" w:rsidRDefault="00607CFE" w:rsidP="003F1C11">
      <w:pPr>
        <w:widowControl/>
        <w:numPr>
          <w:ilvl w:val="0"/>
          <w:numId w:val="51"/>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Assimetria (Skewness):</w:t>
      </w:r>
      <w:r>
        <w:rPr>
          <w:sz w:val="24"/>
          <w:szCs w:val="24"/>
          <w:lang w:val="pt-BR" w:eastAsia="pt-BR"/>
        </w:rPr>
        <w:t xml:space="preserve"> Os retornos não são simétricos. Em mercados de ações, por exemplo, observa-se frequentemente uma assimetria negativa, onde as quedas são mais abruptas e profundas do que as altas.</w:t>
      </w:r>
    </w:p>
    <w:p w14:paraId="0E55467A" w14:textId="77777777" w:rsidR="00607CFE" w:rsidRPr="00607CFE" w:rsidRDefault="00607CFE" w:rsidP="00607CFE">
      <w:pPr>
        <w:rPr>
          <w:sz w:val="24"/>
          <w:szCs w:val="24"/>
          <w:lang w:val="pt-BR" w:eastAsia="pt-BR"/>
        </w:rPr>
      </w:pPr>
    </w:p>
    <w:p w14:paraId="787D788E" w14:textId="77777777" w:rsidR="00607CFE" w:rsidRPr="009578C9" w:rsidRDefault="00607CFE" w:rsidP="003F1C11">
      <w:pPr>
        <w:pStyle w:val="PargrafodaLista"/>
        <w:widowControl/>
        <w:numPr>
          <w:ilvl w:val="3"/>
          <w:numId w:val="32"/>
        </w:numPr>
        <w:autoSpaceDE/>
        <w:autoSpaceDN/>
        <w:spacing w:line="360" w:lineRule="auto"/>
        <w:ind w:left="851" w:hanging="567"/>
        <w:jc w:val="both"/>
        <w:outlineLvl w:val="2"/>
        <w:rPr>
          <w:sz w:val="24"/>
          <w:szCs w:val="24"/>
          <w:lang w:val="pt-BR" w:eastAsia="pt-BR"/>
        </w:rPr>
      </w:pPr>
      <w:bookmarkStart w:id="45" w:name="_Toc230857014"/>
      <w:r>
        <w:rPr>
          <w:sz w:val="24"/>
          <w:szCs w:val="24"/>
          <w:lang w:val="pt-BR" w:eastAsia="pt-BR"/>
        </w:rPr>
        <w:t>Implicação para a Gestão de Portfólio</w:t>
      </w:r>
      <w:bookmarkEnd w:id="45"/>
    </w:p>
    <w:p w14:paraId="0086CF4F" w14:textId="77777777" w:rsidR="009578C9" w:rsidRDefault="009578C9" w:rsidP="00443833">
      <w:pPr>
        <w:widowControl/>
        <w:autoSpaceDE/>
        <w:autoSpaceDN/>
        <w:spacing w:line="360" w:lineRule="auto"/>
        <w:ind w:firstLine="851"/>
        <w:jc w:val="both"/>
        <w:rPr>
          <w:sz w:val="24"/>
          <w:szCs w:val="24"/>
          <w:lang w:val="pt-BR" w:eastAsia="pt-BR"/>
        </w:rPr>
      </w:pPr>
    </w:p>
    <w:p w14:paraId="4ECBB69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Ao utilizar o desvio padrão como medida de risco, a MPT falha em distinguir entre a volatilidade gerada por "saltos" positivos e a volatilidade gerada por "crashes". </w:t>
        <w:lastRenderedPageBreak/>
        <w:t>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 Esta, ao não assumir normalidade, permite o uso de distribuições mais flexíveis ou métodos não paramétricos que capturam a verdadeira natureza do risco de cauda.</w:t>
      </w:r>
    </w:p>
    <w:p w14:paraId="78284466" w14:textId="77777777" w:rsidR="007F3010" w:rsidRPr="00002122" w:rsidRDefault="007F3010" w:rsidP="007F3010">
      <w:pPr>
        <w:rPr>
          <w:b/>
          <w:bCs/>
          <w:sz w:val="24"/>
          <w:szCs w:val="24"/>
          <w:lang w:val="pt-BR" w:eastAsia="pt-BR"/>
        </w:rPr>
      </w:pPr>
    </w:p>
    <w:p w14:paraId="3BD4F34B" w14:textId="77777777" w:rsidR="007F3010" w:rsidRPr="007F3010" w:rsidRDefault="007F3010" w:rsidP="003F1C11">
      <w:pPr>
        <w:pStyle w:val="PargrafodaLista"/>
        <w:widowControl/>
        <w:numPr>
          <w:ilvl w:val="2"/>
          <w:numId w:val="32"/>
        </w:numPr>
        <w:autoSpaceDE/>
        <w:autoSpaceDN/>
        <w:spacing w:line="360" w:lineRule="auto"/>
        <w:ind w:left="1276" w:hanging="567"/>
        <w:jc w:val="both"/>
        <w:outlineLvl w:val="2"/>
        <w:rPr>
          <w:sz w:val="24"/>
          <w:szCs w:val="24"/>
          <w:lang w:val="pt-BR" w:eastAsia="pt-BR"/>
        </w:rPr>
      </w:pPr>
      <w:bookmarkStart w:id="46" w:name="_Toc230857015"/>
      <w:r>
        <w:rPr>
          <w:sz w:val="24"/>
          <w:szCs w:val="24"/>
          <w:lang w:val="pt-BR" w:eastAsia="pt-BR"/>
        </w:rPr>
        <w:t>A Função de Utilidade e a Teoria da Perspectiva</w:t>
      </w:r>
      <w:bookmarkEnd w:id="46"/>
      <w:r>
        <w:rPr>
          <w:sz w:val="24"/>
          <w:szCs w:val="24"/>
          <w:lang w:val="pt-BR" w:eastAsia="pt-BR"/>
        </w:rPr>
        <w:t xml:space="preserve"> </w:t>
      </w:r>
    </w:p>
    <w:p w14:paraId="73864FFF" w14:textId="77777777" w:rsidR="00443833" w:rsidRPr="007F3010" w:rsidRDefault="00443833" w:rsidP="007F3010">
      <w:pPr>
        <w:widowControl/>
        <w:autoSpaceDE/>
        <w:autoSpaceDN/>
        <w:spacing w:line="360" w:lineRule="auto"/>
        <w:jc w:val="both"/>
        <w:rPr>
          <w:b/>
          <w:bCs/>
          <w:sz w:val="24"/>
          <w:szCs w:val="24"/>
          <w:lang w:val="pt-BR" w:eastAsia="pt-BR"/>
        </w:rPr>
      </w:pPr>
    </w:p>
    <w:p w14:paraId="02B7DBF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Pr>
          <w:sz w:val="24"/>
          <w:szCs w:val="24"/>
          <w:vertAlign w:val="superscript"/>
          <w:lang w:val="pt-BR" w:eastAsia="pt-BR"/>
        </w:rPr>
        <w:t>4</w:t>
      </w:r>
    </w:p>
    <w:p w14:paraId="627EE6D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Esta premissa entra em conflito direto com as descobertas das Finanças Comportamentais, especificamente a </w:t>
      </w:r>
      <w:r>
        <w:rPr>
          <w:b/>
          <w:bCs/>
          <w:sz w:val="24"/>
          <w:szCs w:val="24"/>
          <w:lang w:val="pt-BR" w:eastAsia="pt-BR"/>
        </w:rPr>
        <w:t>Teoria da Perspectiva (Prospect Theory)</w:t>
      </w:r>
      <w:r>
        <w:rPr>
          <w:sz w:val="24"/>
          <w:szCs w:val="24"/>
          <w:lang w:val="pt-BR" w:eastAsia="pt-BR"/>
        </w:rPr>
        <w:t xml:space="preserve"> desenvolvida por Daniel Kahneman e Amos Tversky. A Teoria da Perspectiva demonstra que os investidores exibem </w:t>
      </w:r>
      <w:r>
        <w:rPr>
          <w:b/>
          <w:bCs/>
          <w:sz w:val="24"/>
          <w:szCs w:val="24"/>
          <w:lang w:val="pt-BR" w:eastAsia="pt-BR"/>
        </w:rPr>
        <w:t>aversão à perda</w:t>
      </w:r>
      <w:r>
        <w:rPr>
          <w:sz w:val="24"/>
          <w:szCs w:val="24"/>
          <w:lang w:val="pt-BR" w:eastAsia="pt-BR"/>
        </w:rPr>
        <w:t xml:space="preserve"> (</w:t>
      </w:r>
      <w:r>
        <w:rPr>
          <w:i/>
          <w:iCs/>
          <w:sz w:val="24"/>
          <w:szCs w:val="24"/>
          <w:lang w:val="pt-BR" w:eastAsia="pt-BR"/>
        </w:rPr>
        <w:t>loss aversion</w:t>
      </w:r>
      <w:r>
        <w:rPr>
          <w:sz w:val="24"/>
          <w:szCs w:val="24"/>
          <w:lang w:val="pt-BR" w:eastAsia="pt-BR"/>
        </w:rPr>
        <w:t>) em vez de aversão ao risco (</w:t>
      </w:r>
      <w:r>
        <w:rPr>
          <w:i/>
          <w:iCs/>
          <w:sz w:val="24"/>
          <w:szCs w:val="24"/>
          <w:lang w:val="pt-BR" w:eastAsia="pt-BR"/>
        </w:rPr>
        <w:t>risk aversion</w:t>
      </w:r>
      <w:r>
        <w:rPr>
          <w:sz w:val="24"/>
          <w:szCs w:val="24"/>
          <w:lang w:val="pt-BR" w:eastAsia="pt-BR"/>
        </w:rPr>
        <w:t>).</w:t>
      </w:r>
    </w:p>
    <w:p w14:paraId="396B1BA7"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Aversão à Perda:</w:t>
      </w:r>
      <w:r>
        <w:rPr>
          <w:sz w:val="24"/>
          <w:szCs w:val="24"/>
          <w:lang w:val="pt-BR" w:eastAsia="pt-BR"/>
        </w:rPr>
        <w:t xml:space="preserve"> A dor psicológica de perder $100 é aproximadamente duas vezes mais intensa do que o prazer de ganhar $100.</w:t>
      </w:r>
    </w:p>
    <w:p w14:paraId="5D10BA12" w14:textId="77777777" w:rsidR="00443833" w:rsidRPr="00443833" w:rsidRDefault="00443833" w:rsidP="003F1C11">
      <w:pPr>
        <w:widowControl/>
        <w:numPr>
          <w:ilvl w:val="0"/>
          <w:numId w:val="13"/>
        </w:numPr>
        <w:tabs>
          <w:tab w:val="clear" w:pos="720"/>
          <w:tab w:val="num" w:pos="1134"/>
        </w:tabs>
        <w:autoSpaceDE/>
        <w:autoSpaceDN/>
        <w:spacing w:line="360" w:lineRule="auto"/>
        <w:ind w:left="1134" w:hanging="283"/>
        <w:jc w:val="both"/>
        <w:rPr>
          <w:sz w:val="24"/>
          <w:szCs w:val="24"/>
          <w:lang w:val="pt-BR" w:eastAsia="pt-BR"/>
        </w:rPr>
      </w:pPr>
      <w:r>
        <w:rPr>
          <w:b/>
          <w:bCs/>
          <w:sz w:val="24"/>
          <w:szCs w:val="24"/>
          <w:lang w:val="pt-BR" w:eastAsia="pt-BR"/>
        </w:rPr>
        <w:t>Ponto de Referência:</w:t>
      </w:r>
      <w:r>
        <w:rPr>
          <w:sz w:val="24"/>
          <w:szCs w:val="24"/>
          <w:lang w:val="pt-BR" w:eastAsia="pt-BR"/>
        </w:rPr>
        <w:t xml:space="preserve"> Os investidores avaliam o desempenho não em relação à média do portfólio, mas em relação a um ponto de referência ou alvo (</w:t>
      </w:r>
      <w:r>
        <w:rPr>
          <w:i/>
          <w:iCs/>
          <w:sz w:val="24"/>
          <w:szCs w:val="24"/>
          <w:lang w:val="pt-BR" w:eastAsia="pt-BR"/>
        </w:rPr>
        <w:t>target return</w:t>
      </w:r>
      <w:r>
        <w:rPr>
          <w:sz w:val="24"/>
          <w:szCs w:val="24"/>
          <w:lang w:val="pt-BR" w:eastAsia="pt-BR"/>
        </w:rPr>
        <w:t>). Retornos acima do alvo são vistos como "ganhos" e retornos abaixo como "perdas".</w:t>
      </w:r>
    </w:p>
    <w:p w14:paraId="65BF2DA9" w14:textId="77777777" w:rsidR="00443833" w:rsidRPr="00443833" w:rsidRDefault="00443833" w:rsidP="00920FF8">
      <w:pPr>
        <w:widowControl/>
        <w:tabs>
          <w:tab w:val="num" w:pos="851"/>
        </w:tabs>
        <w:autoSpaceDE/>
        <w:autoSpaceDN/>
        <w:spacing w:line="360" w:lineRule="auto"/>
        <w:ind w:firstLine="851"/>
        <w:jc w:val="both"/>
        <w:rPr>
          <w:sz w:val="24"/>
          <w:szCs w:val="24"/>
          <w:lang w:val="pt-BR" w:eastAsia="pt-BR"/>
        </w:rPr>
      </w:pPr>
      <w:r>
        <w:rPr>
          <w:sz w:val="24"/>
          <w:szCs w:val="24"/>
          <w:lang w:val="pt-BR" w:eastAsia="pt-BR"/>
        </w:rPr>
        <w:t xml:space="preserve">A PMPT operacionaliza a Teoria da Perspectiva ao substituir a média pelo </w:t>
      </w:r>
      <w:r>
        <w:rPr>
          <w:b/>
          <w:bCs/>
          <w:sz w:val="24"/>
          <w:szCs w:val="24"/>
          <w:lang w:val="pt-BR" w:eastAsia="pt-BR"/>
        </w:rPr>
        <w:t>Retorno Mínimo Aceitável (MAR)</w:t>
      </w:r>
      <w:r>
        <w:rPr>
          <w:sz w:val="24"/>
          <w:szCs w:val="24"/>
          <w:lang w:val="pt-BR" w:eastAsia="pt-BR"/>
        </w:rPr>
        <w:t xml:space="preserve"> e a variância pelo risco de </w:t>
      </w:r>
      <w:r>
        <w:rPr>
          <w:i/>
          <w:iCs/>
          <w:sz w:val="24"/>
          <w:szCs w:val="24"/>
          <w:lang w:val="pt-BR" w:eastAsia="pt-BR"/>
        </w:rPr>
        <w:t>downside</w:t>
      </w:r>
      <w:r>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r>
        <w:rPr>
          <w:i/>
          <w:iCs/>
          <w:sz w:val="24"/>
          <w:szCs w:val="24"/>
          <w:lang w:val="pt-BR" w:eastAsia="pt-BR"/>
        </w:rPr>
        <w:t>upside</w:t>
      </w:r>
      <w:r>
        <w:rPr>
          <w:sz w:val="24"/>
          <w:szCs w:val="24"/>
          <w:lang w:val="pt-BR" w:eastAsia="pt-BR"/>
        </w:rPr>
        <w:t xml:space="preserve"> livre para capturar retornos excessivos.</w:t>
      </w:r>
    </w:p>
    <w:p w14:paraId="7247A686" w14:textId="77777777" w:rsidR="008C1690" w:rsidRDefault="008C1690">
      <w:pPr>
        <w:rPr>
          <w:b/>
          <w:bCs/>
          <w:sz w:val="24"/>
          <w:szCs w:val="24"/>
          <w:lang w:val="pt-BR" w:eastAsia="pt-BR"/>
        </w:rPr>
      </w:pPr>
      <w:r>
        <w:rPr>
          <w:b/>
          <w:bCs/>
          <w:sz w:val="24"/>
          <w:szCs w:val="24"/>
          <w:lang w:val="pt-BR" w:eastAsia="pt-BR"/>
        </w:rPr>
        <w:br w:type="page"/>
      </w:r>
    </w:p>
    <w:p w14:paraId="41CC65BB" w14:textId="77777777" w:rsidR="00903B95" w:rsidRDefault="00903B95" w:rsidP="00443833">
      <w:pPr>
        <w:widowControl/>
        <w:autoSpaceDE/>
        <w:autoSpaceDN/>
        <w:spacing w:line="360" w:lineRule="auto"/>
        <w:ind w:firstLine="851"/>
        <w:jc w:val="both"/>
        <w:rPr>
          <w:b/>
          <w:bCs/>
          <w:sz w:val="24"/>
          <w:szCs w:val="24"/>
          <w:lang w:val="pt-BR" w:eastAsia="pt-BR"/>
        </w:rPr>
      </w:pPr>
    </w:p>
    <w:p w14:paraId="596784E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363A208" w14:textId="1FBFD28B" w:rsidR="008C1690" w:rsidRPr="008C1690" w:rsidRDefault="008C1690" w:rsidP="008C1690">
      <w:pPr>
        <w:pStyle w:val="Legenda"/>
        <w:keepNext/>
        <w:jc w:val="center"/>
        <w:rPr>
          <w:rFonts w:ascii="Times New Roman" w:hAnsi="Times New Roman" w:cs="Times New Roman"/>
          <w:i w:val="0"/>
          <w:color w:val="auto"/>
          <w:sz w:val="24"/>
        </w:rPr>
      </w:pPr>
      <w:bookmarkStart w:id="47" w:name="_Toc230853328"/>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2</w:t>
      </w:r>
      <w:r>
        <w:rPr>
          <w:rFonts w:ascii="Times New Roman" w:hAnsi="Times New Roman" w:cs="Times New Roman"/>
          <w:i w:val="0"/>
          <w:color w:val="auto"/>
          <w:sz w:val="24"/>
        </w:rPr>
        <w:fldChar w:fldCharType="end"/>
        <w:t xml:space="preserve"> - Comparação Estrutural: MPT vs. PMPT</w:t>
      </w:r>
      <w:bookmarkEnd w:id="47"/>
    </w:p>
    <w:tbl>
      <w:tblPr>
        <w:tblW w:w="0" w:type="auto"/>
        <w:tblCellMar>
          <w:top w:w="15" w:type="dxa"/>
          <w:left w:w="15" w:type="dxa"/>
          <w:bottom w:w="15" w:type="dxa"/>
          <w:right w:w="15" w:type="dxa"/>
        </w:tblCellMar>
        <w:tblLook w:val="04A0" w:firstRow="1" w:lastRow="0" w:firstColumn="1" w:lastColumn="0" w:noHBand="0" w:noVBand="1"/>
      </w:tblPr>
      <w:tblGrid>
        <w:gridCol w:w="2156"/>
        <w:gridCol w:w="3077"/>
        <w:gridCol w:w="3255"/>
      </w:tblGrid>
      <w:tr w:rsidR="00443833" w:rsidRPr="00443833" w14:paraId="1C4B82F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4C0B9C" w14:textId="77777777" w:rsidR="00443833" w:rsidRPr="00E1600B" w:rsidRDefault="00443833" w:rsidP="00E1600B">
            <w:pPr>
              <w:widowControl/>
              <w:autoSpaceDE/>
              <w:autoSpaceDN/>
              <w:spacing w:line="360" w:lineRule="auto"/>
              <w:jc w:val="both"/>
              <w:rPr>
                <w:lang w:val="pt-BR" w:eastAsia="pt-BR"/>
              </w:rPr>
            </w:pPr>
            <w:r>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663F82" w14:textId="77777777" w:rsidR="00443833" w:rsidRPr="00443833" w:rsidRDefault="00443833" w:rsidP="00E1600B">
            <w:pPr>
              <w:widowControl/>
              <w:autoSpaceDE/>
              <w:autoSpaceDN/>
              <w:spacing w:line="360" w:lineRule="auto"/>
              <w:jc w:val="both"/>
              <w:rPr>
                <w:sz w:val="24"/>
                <w:szCs w:val="24"/>
                <w:lang w:val="pt-BR" w:eastAsia="pt-BR"/>
              </w:rPr>
            </w:pPr>
            <w:r>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9F1DEB" w14:textId="77777777" w:rsidR="00443833" w:rsidRPr="00443833" w:rsidRDefault="00443833" w:rsidP="00E1600B">
            <w:pPr>
              <w:widowControl/>
              <w:autoSpaceDE/>
              <w:autoSpaceDN/>
              <w:spacing w:line="360" w:lineRule="auto"/>
              <w:jc w:val="both"/>
              <w:rPr>
                <w:sz w:val="24"/>
                <w:szCs w:val="24"/>
                <w:lang w:val="pt-BR" w:eastAsia="pt-BR"/>
              </w:rPr>
            </w:pPr>
            <w:r>
              <w:rPr>
                <w:b/>
                <w:bCs/>
                <w:lang w:val="pt-BR" w:eastAsia="pt-BR"/>
              </w:rPr>
              <w:t>Teoria Pós-Moderna do Portfólio (PMPT)</w:t>
            </w:r>
          </w:p>
        </w:tc>
      </w:tr>
      <w:tr w:rsidR="00443833" w:rsidRPr="00443833" w14:paraId="1014228C"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ECC362" w14:textId="77777777" w:rsidR="00443833" w:rsidRPr="00E1600B" w:rsidRDefault="00443833" w:rsidP="00E1600B">
            <w:pPr>
              <w:widowControl/>
              <w:autoSpaceDE/>
              <w:autoSpaceDN/>
              <w:spacing w:line="360" w:lineRule="auto"/>
              <w:jc w:val="both"/>
              <w:rPr>
                <w:lang w:val="pt-BR" w:eastAsia="pt-BR"/>
              </w:rPr>
            </w:pPr>
            <w:r>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0452A" w14:textId="77777777" w:rsidR="00443833" w:rsidRPr="00E1600B" w:rsidRDefault="00443833" w:rsidP="00E1600B">
            <w:pPr>
              <w:widowControl/>
              <w:autoSpaceDE/>
              <w:autoSpaceDN/>
              <w:spacing w:line="360" w:lineRule="auto"/>
              <w:jc w:val="both"/>
              <w:rPr>
                <w:sz w:val="24"/>
                <w:szCs w:val="24"/>
                <w:lang w:val="pt-BR" w:eastAsia="pt-BR"/>
              </w:rPr>
            </w:pPr>
            <w:r>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3A4FCD" w14:textId="77777777" w:rsidR="00443833" w:rsidRPr="00443833" w:rsidRDefault="00443833" w:rsidP="00E1600B">
            <w:pPr>
              <w:widowControl/>
              <w:autoSpaceDE/>
              <w:autoSpaceDN/>
              <w:spacing w:line="360" w:lineRule="auto"/>
              <w:jc w:val="both"/>
              <w:rPr>
                <w:sz w:val="24"/>
                <w:szCs w:val="24"/>
                <w:lang w:val="pt-BR" w:eastAsia="pt-BR"/>
              </w:rPr>
            </w:pPr>
            <w:r>
              <w:rPr>
                <w:lang w:val="pt-BR" w:eastAsia="pt-BR"/>
              </w:rPr>
              <w:t>Downside Deviation / LPM / CVaR</w:t>
            </w:r>
          </w:p>
        </w:tc>
      </w:tr>
      <w:tr w:rsidR="00443833" w:rsidRPr="00443833" w14:paraId="374099A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7E1BBD" w14:textId="77777777" w:rsidR="00443833" w:rsidRPr="00E1600B" w:rsidRDefault="00443833" w:rsidP="00E1600B">
            <w:pPr>
              <w:widowControl/>
              <w:autoSpaceDE/>
              <w:autoSpaceDN/>
              <w:spacing w:line="360" w:lineRule="auto"/>
              <w:jc w:val="both"/>
              <w:rPr>
                <w:lang w:val="pt-BR" w:eastAsia="pt-BR"/>
              </w:rPr>
            </w:pPr>
            <w:r>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FB1B6B" w14:textId="77777777" w:rsidR="00443833" w:rsidRPr="00E1600B" w:rsidRDefault="00443833" w:rsidP="00E1600B">
            <w:pPr>
              <w:widowControl/>
              <w:autoSpaceDE/>
              <w:autoSpaceDN/>
              <w:spacing w:line="360" w:lineRule="auto"/>
              <w:jc w:val="both"/>
              <w:rPr>
                <w:lang w:val="pt-BR" w:eastAsia="pt-BR"/>
              </w:rPr>
            </w:pPr>
            <w:r>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57B827" w14:textId="77777777" w:rsidR="00443833" w:rsidRPr="00E1600B" w:rsidRDefault="00443833" w:rsidP="00E1600B">
            <w:pPr>
              <w:widowControl/>
              <w:autoSpaceDE/>
              <w:autoSpaceDN/>
              <w:spacing w:line="360" w:lineRule="auto"/>
              <w:jc w:val="both"/>
              <w:rPr>
                <w:lang w:val="pt-BR" w:eastAsia="pt-BR"/>
              </w:rPr>
            </w:pPr>
            <w:r>
              <w:rPr>
                <w:lang w:val="pt-BR" w:eastAsia="pt-BR"/>
              </w:rPr>
              <w:t>Qualquer (Não-Normal, Assimétrica, Empírica)</w:t>
            </w:r>
          </w:p>
        </w:tc>
      </w:tr>
      <w:tr w:rsidR="00443833" w:rsidRPr="00443833" w14:paraId="0E1B9C74"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4055F" w14:textId="77777777" w:rsidR="00443833" w:rsidRPr="00E1600B" w:rsidRDefault="00443833" w:rsidP="00E1600B">
            <w:pPr>
              <w:widowControl/>
              <w:autoSpaceDE/>
              <w:autoSpaceDN/>
              <w:spacing w:line="360" w:lineRule="auto"/>
              <w:jc w:val="both"/>
              <w:rPr>
                <w:lang w:val="pt-BR" w:eastAsia="pt-BR"/>
              </w:rPr>
            </w:pPr>
            <w:r>
              <w:rPr>
                <w:b/>
                <w:bCs/>
                <w:lang w:val="pt-BR" w:eastAsia="pt-BR"/>
              </w:rPr>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5ED597" w14:textId="77777777" w:rsidR="00443833" w:rsidRPr="00E1600B" w:rsidRDefault="00443833" w:rsidP="00E1600B">
            <w:pPr>
              <w:widowControl/>
              <w:autoSpaceDE/>
              <w:autoSpaceDN/>
              <w:spacing w:line="360" w:lineRule="auto"/>
              <w:jc w:val="both"/>
              <w:rPr>
                <w:lang w:val="pt-BR" w:eastAsia="pt-BR"/>
              </w:rPr>
            </w:pPr>
            <w:r>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34F804" w14:textId="77777777" w:rsidR="00443833" w:rsidRPr="00E1600B" w:rsidRDefault="00443833" w:rsidP="00E1600B">
            <w:pPr>
              <w:widowControl/>
              <w:autoSpaceDE/>
              <w:autoSpaceDN/>
              <w:spacing w:line="360" w:lineRule="auto"/>
              <w:jc w:val="both"/>
              <w:rPr>
                <w:lang w:val="pt-BR" w:eastAsia="pt-BR"/>
              </w:rPr>
            </w:pPr>
            <w:r>
              <w:rPr>
                <w:lang w:val="pt-BR" w:eastAsia="pt-BR"/>
              </w:rPr>
              <w:t>Fracasso em atingir o Retorno Mínimo (MAR)</w:t>
            </w:r>
          </w:p>
        </w:tc>
      </w:tr>
      <w:tr w:rsidR="00443833" w:rsidRPr="00443833" w14:paraId="3E9CDB6E"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4DD04D" w14:textId="77777777" w:rsidR="00443833" w:rsidRPr="00E1600B" w:rsidRDefault="00443833" w:rsidP="00E1600B">
            <w:pPr>
              <w:widowControl/>
              <w:autoSpaceDE/>
              <w:autoSpaceDN/>
              <w:spacing w:line="360" w:lineRule="auto"/>
              <w:jc w:val="both"/>
              <w:rPr>
                <w:lang w:val="pt-BR" w:eastAsia="pt-BR"/>
              </w:rPr>
            </w:pPr>
            <w:r>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D02B9" w14:textId="77777777" w:rsidR="00443833" w:rsidRPr="00E1600B" w:rsidRDefault="00443833" w:rsidP="00E1600B">
            <w:pPr>
              <w:widowControl/>
              <w:autoSpaceDE/>
              <w:autoSpaceDN/>
              <w:spacing w:line="360" w:lineRule="auto"/>
              <w:jc w:val="both"/>
              <w:rPr>
                <w:lang w:val="pt-BR" w:eastAsia="pt-BR"/>
              </w:rPr>
            </w:pPr>
            <w:r>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9E4A7F" w14:textId="77777777" w:rsidR="00443833" w:rsidRPr="00E1600B" w:rsidRDefault="00443833" w:rsidP="00E1600B">
            <w:pPr>
              <w:widowControl/>
              <w:autoSpaceDE/>
              <w:autoSpaceDN/>
              <w:spacing w:line="360" w:lineRule="auto"/>
              <w:jc w:val="both"/>
              <w:rPr>
                <w:lang w:val="pt-BR" w:eastAsia="pt-BR"/>
              </w:rPr>
            </w:pPr>
            <w:r>
              <w:rPr>
                <w:lang w:val="pt-BR" w:eastAsia="pt-BR"/>
              </w:rPr>
              <w:t>Avesso à perda (Loss Aversion - Prospect Theory)</w:t>
            </w:r>
          </w:p>
        </w:tc>
      </w:tr>
      <w:tr w:rsidR="00443833" w:rsidRPr="00443833" w14:paraId="5811364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AD704" w14:textId="77777777" w:rsidR="00443833" w:rsidRPr="00E1600B" w:rsidRDefault="00443833" w:rsidP="00E1600B">
            <w:pPr>
              <w:widowControl/>
              <w:autoSpaceDE/>
              <w:autoSpaceDN/>
              <w:spacing w:line="360" w:lineRule="auto"/>
              <w:jc w:val="both"/>
              <w:rPr>
                <w:lang w:val="pt-BR" w:eastAsia="pt-BR"/>
              </w:rPr>
            </w:pPr>
            <w:r>
              <w:rPr>
                <w:b/>
                <w:bCs/>
                <w:lang w:val="pt-BR" w:eastAsia="pt-BR"/>
              </w:rPr>
              <w:t>Tratamento do Upside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775F1"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Penalizado como risco (aumenta </w:t>
            </w:r>
            <m:oMath>
              <m:r>
                <w:rPr>
                  <w:rFonts w:ascii="Cambria Math" w:hAnsi="Cambria Math"/>
                  <w:lang w:val="pt-BR" w:eastAsia="pt-BR"/>
                </w:rPr>
                <m:t>σ</m:t>
              </m:r>
            </m:oMath>
            <w:r>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46EF3" w14:textId="77777777" w:rsidR="00443833" w:rsidRPr="00E1600B" w:rsidRDefault="00443833" w:rsidP="00E1600B">
            <w:pPr>
              <w:widowControl/>
              <w:autoSpaceDE/>
              <w:autoSpaceDN/>
              <w:spacing w:line="360" w:lineRule="auto"/>
              <w:jc w:val="both"/>
              <w:rPr>
                <w:lang w:val="pt-BR" w:eastAsia="pt-BR"/>
              </w:rPr>
            </w:pPr>
            <w:r>
              <w:rPr>
                <w:lang w:val="pt-BR" w:eastAsia="pt-BR"/>
              </w:rPr>
              <w:t>Ignorado ou valorizado (Upside Potential)</w:t>
            </w:r>
          </w:p>
        </w:tc>
      </w:tr>
      <w:tr w:rsidR="00443833" w:rsidRPr="00443833" w14:paraId="457BEB5F"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5CC92B" w14:textId="77777777" w:rsidR="00443833" w:rsidRPr="00E1600B" w:rsidRDefault="00443833" w:rsidP="00E1600B">
            <w:pPr>
              <w:widowControl/>
              <w:autoSpaceDE/>
              <w:autoSpaceDN/>
              <w:spacing w:line="360" w:lineRule="auto"/>
              <w:jc w:val="both"/>
              <w:rPr>
                <w:lang w:val="pt-BR" w:eastAsia="pt-BR"/>
              </w:rPr>
            </w:pPr>
            <w:r>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9E3C02" w14:textId="77777777" w:rsidR="00443833" w:rsidRPr="00E1600B" w:rsidRDefault="00443833" w:rsidP="00E1600B">
            <w:pPr>
              <w:widowControl/>
              <w:autoSpaceDE/>
              <w:autoSpaceDN/>
              <w:spacing w:line="360" w:lineRule="auto"/>
              <w:jc w:val="both"/>
              <w:rPr>
                <w:lang w:val="pt-BR" w:eastAsia="pt-BR"/>
              </w:rPr>
            </w:pPr>
            <w:r>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70D3D9" w14:textId="77777777" w:rsidR="00443833" w:rsidRPr="00E1600B" w:rsidRDefault="00443833" w:rsidP="00E1600B">
            <w:pPr>
              <w:widowControl/>
              <w:autoSpaceDE/>
              <w:autoSpaceDN/>
              <w:spacing w:line="360" w:lineRule="auto"/>
              <w:jc w:val="both"/>
              <w:rPr>
                <w:lang w:val="pt-BR" w:eastAsia="pt-BR"/>
              </w:rPr>
            </w:pPr>
            <w:r>
              <w:rPr>
                <w:lang w:val="pt-BR" w:eastAsia="pt-BR"/>
              </w:rPr>
              <w:t>Maximizar Retorno para dado Downside Risk</w:t>
            </w:r>
          </w:p>
        </w:tc>
      </w:tr>
    </w:tbl>
    <w:p w14:paraId="3E01768D" w14:textId="77777777" w:rsidR="00443833" w:rsidRPr="00443833" w:rsidRDefault="008C1690" w:rsidP="00443833">
      <w:pPr>
        <w:widowControl/>
        <w:autoSpaceDE/>
        <w:autoSpaceDN/>
        <w:spacing w:line="360" w:lineRule="auto"/>
        <w:ind w:firstLine="851"/>
        <w:jc w:val="both"/>
        <w:rPr>
          <w:sz w:val="24"/>
          <w:szCs w:val="24"/>
          <w:lang w:val="pt-BR" w:eastAsia="pt-BR"/>
        </w:rPr>
      </w:pPr>
      <w:r>
        <w:rPr>
          <w:sz w:val="24"/>
          <w:szCs w:val="24"/>
          <w:lang w:val="pt-BR" w:eastAsia="pt-BR"/>
        </w:rPr>
        <w:t>Fonte: Elaboração Propria</w:t>
      </w:r>
    </w:p>
    <w:p w14:paraId="592DCD4C" w14:textId="77777777" w:rsidR="00903B95" w:rsidRPr="00002122" w:rsidRDefault="00903B95" w:rsidP="00903B95">
      <w:pPr>
        <w:rPr>
          <w:b/>
          <w:bCs/>
          <w:sz w:val="24"/>
          <w:szCs w:val="24"/>
          <w:lang w:val="pt-BR" w:eastAsia="pt-BR"/>
        </w:rPr>
      </w:pPr>
    </w:p>
    <w:p w14:paraId="4D29C0CA" w14:textId="77777777" w:rsidR="00903B95" w:rsidRPr="009578C9" w:rsidRDefault="00903B95" w:rsidP="003F1C11">
      <w:pPr>
        <w:pStyle w:val="PargrafodaLista"/>
        <w:widowControl/>
        <w:numPr>
          <w:ilvl w:val="1"/>
          <w:numId w:val="32"/>
        </w:numPr>
        <w:autoSpaceDE/>
        <w:autoSpaceDN/>
        <w:spacing w:line="360" w:lineRule="auto"/>
        <w:jc w:val="both"/>
        <w:outlineLvl w:val="1"/>
        <w:rPr>
          <w:sz w:val="24"/>
          <w:szCs w:val="24"/>
          <w:lang w:val="pt-BR" w:eastAsia="pt-BR"/>
        </w:rPr>
      </w:pPr>
      <w:bookmarkStart w:id="48" w:name="_Toc230857016"/>
      <w:r>
        <w:rPr>
          <w:b/>
          <w:bCs/>
          <w:sz w:val="24"/>
          <w:szCs w:val="24"/>
          <w:lang w:val="pt-BR" w:eastAsia="pt-BR"/>
        </w:rPr>
        <w:t xml:space="preserve">Conceitos Fundamentais de </w:t>
      </w:r>
      <w:r>
        <w:rPr>
          <w:b/>
          <w:bCs/>
          <w:i/>
          <w:iCs/>
          <w:sz w:val="24"/>
          <w:szCs w:val="24"/>
          <w:lang w:val="pt-BR" w:eastAsia="pt-BR"/>
        </w:rPr>
        <w:t>'Downside Risk'</w:t>
      </w:r>
      <w:r>
        <w:rPr>
          <w:b/>
          <w:bCs/>
          <w:sz w:val="24"/>
          <w:szCs w:val="24"/>
          <w:lang w:val="pt-BR" w:eastAsia="pt-BR"/>
        </w:rPr>
        <w:t>: A Estrutura dos Momentos Parciais Inferiores (LPM)</w:t>
      </w:r>
      <w:bookmarkEnd w:id="48"/>
    </w:p>
    <w:p w14:paraId="55D5D99A" w14:textId="77777777" w:rsidR="00903B95" w:rsidRDefault="00903B95" w:rsidP="00903B95">
      <w:pPr>
        <w:widowControl/>
        <w:autoSpaceDE/>
        <w:autoSpaceDN/>
        <w:spacing w:line="360" w:lineRule="auto"/>
        <w:ind w:firstLine="851"/>
        <w:jc w:val="both"/>
        <w:rPr>
          <w:sz w:val="24"/>
          <w:szCs w:val="24"/>
          <w:lang w:val="pt-BR" w:eastAsia="pt-BR"/>
        </w:rPr>
      </w:pPr>
    </w:p>
    <w:p w14:paraId="0809C91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Para superar as limitações da variância, a PMPT adota a estrutura matemática dos Momentos Parciais Inferiores (</w:t>
      </w:r>
      <w:r>
        <w:rPr>
          <w:i/>
          <w:iCs/>
          <w:sz w:val="24"/>
          <w:szCs w:val="24"/>
          <w:lang w:val="pt-BR" w:eastAsia="pt-BR"/>
        </w:rPr>
        <w:t>Lower Partial Moments</w:t>
      </w:r>
      <w:r>
        <w:rPr>
          <w:sz w:val="24"/>
          <w:szCs w:val="24"/>
          <w:lang w:val="pt-BR" w:eastAsia="pt-BR"/>
        </w:rPr>
        <w:t xml:space="preserve"> - LPM). Desenvolvida teoricamente por Bawa (1975) e expandida por Fishburn (1977), a família de métricas LPM oferece uma generalização flexível para mensurar o risco abaixo de um limiar específico. A elegância dos LPMs reside na sua capacidade de incorporar diferentes graus de aversão ao risco através de um único parâmetro, </w:t>
      </w:r>
      <m:oMath>
        <m:r>
          <w:rPr>
            <w:rFonts w:ascii="Cambria Math" w:hAnsi="Cambria Math"/>
            <w:sz w:val="24"/>
            <w:szCs w:val="24"/>
            <w:lang w:val="pt-BR" w:eastAsia="pt-BR"/>
          </w:rPr>
          <m:t>(n)</m:t>
        </m:r>
      </m:oMath>
      <w:r>
        <w:rPr>
          <w:sz w:val="24"/>
          <w:szCs w:val="24"/>
          <w:lang w:val="pt-BR" w:eastAsia="pt-BR"/>
        </w:rPr>
        <w:t xml:space="preserve"> (a ordem do momento).</w:t>
      </w:r>
    </w:p>
    <w:p w14:paraId="7A73DFD3" w14:textId="77777777" w:rsidR="00AF619F" w:rsidRPr="00AF619F" w:rsidRDefault="00AF619F" w:rsidP="00AF619F">
      <w:pPr>
        <w:rPr>
          <w:sz w:val="24"/>
          <w:szCs w:val="24"/>
          <w:lang w:val="pt-BR" w:eastAsia="pt-BR"/>
        </w:rPr>
      </w:pPr>
    </w:p>
    <w:p w14:paraId="4A5EA081" w14:textId="77777777" w:rsidR="00AF619F" w:rsidRPr="00AF619F"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49" w:name="_Toc230857017"/>
      <w:r>
        <w:rPr>
          <w:sz w:val="24"/>
          <w:szCs w:val="24"/>
          <w:lang w:val="pt-BR" w:eastAsia="pt-BR"/>
        </w:rPr>
        <w:t>Definição Matemática dos LPMs</w:t>
      </w:r>
      <w:bookmarkEnd w:id="49"/>
    </w:p>
    <w:p w14:paraId="2B4062A3" w14:textId="77777777" w:rsidR="00AF619F" w:rsidRPr="00AF619F" w:rsidRDefault="00AF619F" w:rsidP="00AF619F">
      <w:pPr>
        <w:widowControl/>
        <w:autoSpaceDE/>
        <w:autoSpaceDN/>
        <w:spacing w:line="360" w:lineRule="auto"/>
        <w:jc w:val="both"/>
        <w:rPr>
          <w:sz w:val="24"/>
          <w:szCs w:val="24"/>
          <w:lang w:val="pt-BR" w:eastAsia="pt-BR"/>
        </w:rPr>
      </w:pPr>
    </w:p>
    <w:p w14:paraId="6014BEA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Seja </w:t>
      </w:r>
      <m:oMath>
        <m:r>
          <w:rPr>
            <w:rFonts w:ascii="Cambria Math" w:hAnsi="Cambria Math"/>
            <w:sz w:val="24"/>
            <w:szCs w:val="24"/>
            <w:lang w:val="pt-BR" w:eastAsia="pt-BR"/>
          </w:rPr>
          <m:t xml:space="preserve">(R) </m:t>
        </m:r>
      </m:oMath>
      <w:r>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Pr>
          <w:sz w:val="24"/>
          <w:szCs w:val="24"/>
          <w:lang w:val="pt-BR" w:eastAsia="pt-BR"/>
        </w:rPr>
        <w:t xml:space="preserve"> (tau) o Retorno Mínimo Aceitável (MAR) ou </w:t>
      </w:r>
      <w:r>
        <w:rPr>
          <w:i/>
          <w:iCs/>
          <w:sz w:val="24"/>
          <w:szCs w:val="24"/>
          <w:lang w:val="pt-BR" w:eastAsia="pt-BR"/>
        </w:rPr>
        <w:t>target return</w:t>
      </w:r>
      <w:r>
        <w:rPr>
          <w:sz w:val="24"/>
          <w:szCs w:val="24"/>
          <w:lang w:val="pt-BR" w:eastAsia="pt-BR"/>
        </w:rPr>
        <w:t xml:space="preserve">. O LPM de ordem </w:t>
      </w:r>
      <m:oMath>
        <m:r>
          <w:rPr>
            <w:rFonts w:ascii="Cambria Math" w:hAnsi="Cambria Math"/>
            <w:sz w:val="24"/>
            <w:szCs w:val="24"/>
            <w:lang w:val="pt-BR" w:eastAsia="pt-BR"/>
          </w:rPr>
          <m:t>(n)</m:t>
        </m:r>
      </m:oMath>
      <w:r>
        <w:rPr>
          <w:sz w:val="24"/>
          <w:szCs w:val="24"/>
          <w:lang w:val="pt-BR" w:eastAsia="pt-BR"/>
        </w:rPr>
        <w:t xml:space="preserve"> é definido pela integral:</w:t>
      </w:r>
    </w:p>
    <w:p w14:paraId="16E3431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792BB0E"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431EC3C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a fórmula torna-se:</w:t>
      </w:r>
    </w:p>
    <w:p w14:paraId="0E4A86C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20A0E8" w14:textId="77777777"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Pr>
          <w:sz w:val="24"/>
          <w:szCs w:val="24"/>
          <w:lang w:val="pt-BR" w:eastAsia="pt-BR"/>
        </w:rPr>
        <w:t xml:space="preserve"> $</w:t>
      </w:r>
    </w:p>
    <w:p w14:paraId="6AC9DBB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Pr>
          <w:sz w:val="24"/>
          <w:szCs w:val="24"/>
          <w:lang w:val="pt-BR" w:eastAsia="pt-BR"/>
        </w:rPr>
        <w:t xml:space="preserve"> atua como um filtro, zerando qualquer contribuição de retornos positivos (acima do alvo), o que reflete matematicamente a premissa de que o </w:t>
      </w:r>
      <w:r>
        <w:rPr>
          <w:i/>
          <w:iCs/>
          <w:sz w:val="24"/>
          <w:szCs w:val="24"/>
          <w:lang w:val="pt-BR" w:eastAsia="pt-BR"/>
        </w:rPr>
        <w:t>upside</w:t>
      </w:r>
      <w:r>
        <w:rPr>
          <w:sz w:val="24"/>
          <w:szCs w:val="24"/>
          <w:lang w:val="pt-BR" w:eastAsia="pt-BR"/>
        </w:rPr>
        <w:t xml:space="preserve"> não é risco.</w:t>
      </w:r>
    </w:p>
    <w:p w14:paraId="5CFEE9D9" w14:textId="77777777" w:rsidR="00AF619F" w:rsidRPr="00AF619F" w:rsidRDefault="00AF619F" w:rsidP="00AF619F">
      <w:pPr>
        <w:rPr>
          <w:sz w:val="24"/>
          <w:szCs w:val="24"/>
          <w:lang w:val="pt-BR" w:eastAsia="pt-BR"/>
        </w:rPr>
      </w:pPr>
    </w:p>
    <w:p w14:paraId="3A5E191A" w14:textId="77777777" w:rsidR="00443833" w:rsidRPr="00443833" w:rsidRDefault="00AF619F" w:rsidP="003F1C11">
      <w:pPr>
        <w:pStyle w:val="PargrafodaLista"/>
        <w:widowControl/>
        <w:numPr>
          <w:ilvl w:val="2"/>
          <w:numId w:val="32"/>
        </w:numPr>
        <w:autoSpaceDE/>
        <w:autoSpaceDN/>
        <w:spacing w:line="360" w:lineRule="auto"/>
        <w:jc w:val="both"/>
        <w:outlineLvl w:val="2"/>
        <w:rPr>
          <w:sz w:val="24"/>
          <w:szCs w:val="24"/>
          <w:lang w:val="pt-BR" w:eastAsia="pt-BR"/>
        </w:rPr>
      </w:pPr>
      <w:bookmarkStart w:id="50" w:name="_Toc230857018"/>
      <w:r>
        <w:rPr>
          <w:sz w:val="24"/>
          <w:szCs w:val="24"/>
          <w:lang w:val="pt-BR" w:eastAsia="pt-BR"/>
        </w:rPr>
        <w:t>A Hierarquia dos Graus de LPM e suas Interpretações</w:t>
      </w:r>
      <w:bookmarkEnd w:id="50"/>
      <w:r>
        <w:rPr>
          <w:sz w:val="24"/>
          <w:szCs w:val="24"/>
          <w:lang w:val="pt-BR" w:eastAsia="pt-BR"/>
        </w:rPr>
        <w:t xml:space="preserve"> </w:t>
      </w:r>
    </w:p>
    <w:p w14:paraId="46F5CA2B" w14:textId="77777777" w:rsidR="00AF619F" w:rsidRDefault="00AF619F" w:rsidP="00AF619F">
      <w:pPr>
        <w:widowControl/>
        <w:autoSpaceDE/>
        <w:autoSpaceDN/>
        <w:spacing w:line="360" w:lineRule="auto"/>
        <w:jc w:val="both"/>
        <w:rPr>
          <w:sz w:val="24"/>
          <w:szCs w:val="24"/>
          <w:lang w:val="pt-BR" w:eastAsia="pt-BR"/>
        </w:rPr>
      </w:pPr>
    </w:p>
    <w:p w14:paraId="5E59B7A6" w14:textId="77777777" w:rsid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escolha do grau (</w:t>
      </w:r>
      <m:oMath>
        <m:r>
          <w:rPr>
            <w:rFonts w:ascii="Cambria Math" w:hAnsi="Cambria Math"/>
            <w:sz w:val="24"/>
            <w:szCs w:val="24"/>
            <w:lang w:val="pt-BR" w:eastAsia="pt-BR"/>
          </w:rPr>
          <m:t>n)</m:t>
        </m:r>
      </m:oMath>
      <w:r>
        <w:rPr>
          <w:sz w:val="24"/>
          <w:szCs w:val="24"/>
          <w:lang w:val="pt-BR" w:eastAsia="pt-BR"/>
        </w:rPr>
        <w:t xml:space="preserve"> permite ajustar a métrica à psicologia do investidor, ponderando a severidade das perdas de maneira distinta:</w:t>
      </w:r>
    </w:p>
    <w:p w14:paraId="32E747F4"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6DC01DA6" w14:textId="77777777" w:rsidR="00443833" w:rsidRPr="00D257C0" w:rsidRDefault="00443833" w:rsidP="003F1C11">
      <w:pPr>
        <w:widowControl/>
        <w:numPr>
          <w:ilvl w:val="0"/>
          <w:numId w:val="14"/>
        </w:numPr>
        <w:autoSpaceDE/>
        <w:autoSpaceDN/>
        <w:spacing w:line="360" w:lineRule="auto"/>
        <w:jc w:val="both"/>
        <w:rPr>
          <w:sz w:val="24"/>
          <w:szCs w:val="24"/>
          <w:lang w:val="pt-BR" w:eastAsia="pt-BR"/>
        </w:rPr>
      </w:pPr>
      <w:r>
        <w:rPr>
          <w:b/>
          <w:bCs/>
          <w:sz w:val="24"/>
          <w:szCs w:val="24"/>
          <w:lang w:val="pt-BR" w:eastAsia="pt-BR"/>
        </w:rPr>
        <w:t xml:space="preserve">LPM de Ordem 0 </w:t>
      </w:r>
      <m:oMath>
        <m:r>
          <m:rPr>
            <m:sty m:val="bi"/>
          </m:rPr>
          <w:rPr>
            <w:rFonts w:ascii="Cambria Math" w:hAnsi="Cambria Math"/>
            <w:sz w:val="24"/>
            <w:szCs w:val="24"/>
            <w:lang w:val="pt-BR" w:eastAsia="pt-BR"/>
          </w:rPr>
          <m:t>(n=0)</m:t>
        </m:r>
      </m:oMath>
      <w:r>
        <w:rPr>
          <w:b/>
          <w:bCs/>
          <w:sz w:val="24"/>
          <w:szCs w:val="24"/>
          <w:lang w:val="pt-BR" w:eastAsia="pt-BR"/>
        </w:rPr>
        <w:t xml:space="preserve"> – Probabilidade de Perda (</w:t>
      </w:r>
      <w:r>
        <w:rPr>
          <w:b/>
          <w:bCs/>
          <w:i/>
          <w:iCs/>
          <w:sz w:val="24"/>
          <w:szCs w:val="24"/>
          <w:lang w:val="pt-BR" w:eastAsia="pt-BR"/>
        </w:rPr>
        <w:t>Safety First</w:t>
      </w:r>
      <w:r>
        <w:rPr>
          <w:b/>
          <w:bCs/>
          <w:sz w:val="24"/>
          <w:szCs w:val="24"/>
          <w:lang w:val="pt-BR" w:eastAsia="pt-BR"/>
        </w:rPr>
        <w:t>):</w:t>
      </w:r>
    </w:p>
    <w:p w14:paraId="7E3E6A7A" w14:textId="77777777" w:rsidR="00443833" w:rsidRPr="00D257C0" w:rsidRDefault="00443833" w:rsidP="003F1C11">
      <w:pPr>
        <w:widowControl/>
        <w:numPr>
          <w:ilvl w:val="0"/>
          <w:numId w:val="15"/>
        </w:numPr>
        <w:autoSpaceDE/>
        <w:autoSpaceDN/>
        <w:spacing w:line="360" w:lineRule="auto"/>
        <w:jc w:val="both"/>
        <w:rPr>
          <w:sz w:val="24"/>
          <w:szCs w:val="24"/>
          <w:lang w:val="pt-BR" w:eastAsia="pt-BR"/>
        </w:rPr>
      </w:pPr>
      <w:r>
        <w:rPr>
          <w:sz w:val="24"/>
          <w:szCs w:val="24"/>
          <w:lang w:val="pt-BR" w:eastAsia="pt-BR"/>
        </w:rPr>
        <w:t>Mede a frequência com que o retorno cai abaixo do alvo.</w:t>
      </w:r>
    </w:p>
    <w:p w14:paraId="3B87D038" w14:textId="77777777" w:rsidR="00443833" w:rsidRPr="00D257C0" w:rsidRDefault="00443833" w:rsidP="003F1C11">
      <w:pPr>
        <w:widowControl/>
        <w:numPr>
          <w:ilvl w:val="0"/>
          <w:numId w:val="16"/>
        </w:numPr>
        <w:autoSpaceDE/>
        <w:autoSpaceDN/>
        <w:spacing w:line="360" w:lineRule="auto"/>
        <w:jc w:val="both"/>
        <w:rPr>
          <w:sz w:val="24"/>
          <w:szCs w:val="24"/>
          <w:lang w:val="pt-BR" w:eastAsia="pt-BR"/>
        </w:rPr>
      </w:pPr>
      <w:r>
        <w:rPr>
          <w:sz w:val="24"/>
          <w:szCs w:val="24"/>
          <w:lang w:val="pt-BR" w:eastAsia="pt-BR"/>
        </w:rPr>
        <w:t xml:space="preserve">Matematicamente, equivale a </w:t>
      </w:r>
      <m:oMath>
        <m:r>
          <w:rPr>
            <w:rFonts w:ascii="Cambria Math" w:hAnsi="Cambria Math"/>
            <w:sz w:val="24"/>
            <w:szCs w:val="24"/>
            <w:lang w:val="pt-BR" w:eastAsia="pt-BR"/>
          </w:rPr>
          <m:t>P(R &lt; τ)</m:t>
        </m:r>
      </m:oMath>
      <w:r>
        <w:rPr>
          <w:sz w:val="24"/>
          <w:szCs w:val="24"/>
          <w:lang w:val="pt-BR" w:eastAsia="pt-BR"/>
        </w:rPr>
        <w:t>.</w:t>
      </w:r>
    </w:p>
    <w:p w14:paraId="644BBE99" w14:textId="77777777" w:rsidR="00443833" w:rsidRPr="00D257C0" w:rsidRDefault="00443833" w:rsidP="003F1C11">
      <w:pPr>
        <w:widowControl/>
        <w:numPr>
          <w:ilvl w:val="0"/>
          <w:numId w:val="17"/>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"Qual a chance de eu perder dinheiro?". No entanto, falha em distinguir entre uma perda pequena e uma perda catastrófica (uma perda de 1% conta o mesmo que uma de 50%).</w:t>
      </w:r>
      <w:r>
        <w:rPr>
          <w:sz w:val="24"/>
          <w:szCs w:val="24"/>
          <w:vertAlign w:val="superscript"/>
          <w:lang w:val="pt-BR" w:eastAsia="pt-BR"/>
        </w:rPr>
        <w:t>15</w:t>
      </w:r>
    </w:p>
    <w:p w14:paraId="48DBCDA5" w14:textId="77777777" w:rsidR="00443833" w:rsidRPr="00D257C0" w:rsidRDefault="00443833" w:rsidP="003F1C11">
      <w:pPr>
        <w:widowControl/>
        <w:numPr>
          <w:ilvl w:val="0"/>
          <w:numId w:val="18"/>
        </w:numPr>
        <w:autoSpaceDE/>
        <w:autoSpaceDN/>
        <w:spacing w:line="360" w:lineRule="auto"/>
        <w:jc w:val="both"/>
        <w:rPr>
          <w:sz w:val="24"/>
          <w:szCs w:val="24"/>
          <w:lang w:val="pt-BR" w:eastAsia="pt-BR"/>
        </w:rPr>
      </w:pPr>
      <w:r>
        <w:rPr>
          <w:b/>
          <w:bCs/>
          <w:sz w:val="24"/>
          <w:szCs w:val="24"/>
          <w:lang w:val="pt-BR" w:eastAsia="pt-BR"/>
        </w:rPr>
        <w:t xml:space="preserve">LPM de Ordem 1 </w:t>
      </w:r>
      <m:oMath>
        <m:r>
          <m:rPr>
            <m:sty m:val="bi"/>
          </m:rPr>
          <w:rPr>
            <w:rFonts w:ascii="Cambria Math" w:hAnsi="Cambria Math"/>
            <w:sz w:val="24"/>
            <w:szCs w:val="24"/>
            <w:lang w:val="pt-BR" w:eastAsia="pt-BR"/>
          </w:rPr>
          <m:t>(n=1)</m:t>
        </m:r>
      </m:oMath>
      <w:r>
        <w:rPr>
          <w:b/>
          <w:bCs/>
          <w:sz w:val="24"/>
          <w:szCs w:val="24"/>
          <w:lang w:val="pt-BR" w:eastAsia="pt-BR"/>
        </w:rPr>
        <w:t xml:space="preserve"> – Déficit Esperado (</w:t>
      </w:r>
      <w:r>
        <w:rPr>
          <w:b/>
          <w:bCs/>
          <w:i/>
          <w:iCs/>
          <w:sz w:val="24"/>
          <w:szCs w:val="24"/>
          <w:lang w:val="pt-BR" w:eastAsia="pt-BR"/>
        </w:rPr>
        <w:t>Target Shortfall</w:t>
      </w:r>
      <w:r>
        <w:rPr>
          <w:b/>
          <w:bCs/>
          <w:sz w:val="24"/>
          <w:szCs w:val="24"/>
          <w:lang w:val="pt-BR" w:eastAsia="pt-BR"/>
        </w:rPr>
        <w:t>):</w:t>
      </w:r>
    </w:p>
    <w:p w14:paraId="336D1985" w14:textId="77777777" w:rsidR="00443833" w:rsidRPr="00D257C0" w:rsidRDefault="00443833" w:rsidP="003F1C11">
      <w:pPr>
        <w:widowControl/>
        <w:numPr>
          <w:ilvl w:val="0"/>
          <w:numId w:val="19"/>
        </w:numPr>
        <w:autoSpaceDE/>
        <w:autoSpaceDN/>
        <w:spacing w:line="360" w:lineRule="auto"/>
        <w:jc w:val="both"/>
        <w:rPr>
          <w:sz w:val="24"/>
          <w:szCs w:val="24"/>
          <w:lang w:val="pt-BR" w:eastAsia="pt-BR"/>
        </w:rPr>
      </w:pPr>
      <w:r>
        <w:rPr>
          <w:sz w:val="24"/>
          <w:szCs w:val="24"/>
          <w:lang w:val="pt-BR" w:eastAsia="pt-BR"/>
        </w:rPr>
        <w:t>Mede a magnitude média das perdas. Os desvios abaixo do alvo são ponderados linearmente.</w:t>
      </w:r>
    </w:p>
    <w:p w14:paraId="7B78D057" w14:textId="77777777" w:rsidR="00443833" w:rsidRPr="00D257C0" w:rsidRDefault="00443833" w:rsidP="003F1C11">
      <w:pPr>
        <w:widowControl/>
        <w:numPr>
          <w:ilvl w:val="0"/>
          <w:numId w:val="20"/>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Responde à pergunta "Se eu perder dinheiro, quanto espero perder em média?". É a medida de risco fundamental para o cálculo do Índice Omega (discutido na Seção 2.5) e reflete um investidor neutro ao risco em relação à severidade da perda, desde que a média seja controlada.</w:t>
      </w:r>
    </w:p>
    <w:p w14:paraId="64DD8F51" w14:textId="77777777" w:rsidR="00443833" w:rsidRPr="00D257C0" w:rsidRDefault="00443833" w:rsidP="003F1C11">
      <w:pPr>
        <w:widowControl/>
        <w:numPr>
          <w:ilvl w:val="0"/>
          <w:numId w:val="21"/>
        </w:numPr>
        <w:autoSpaceDE/>
        <w:autoSpaceDN/>
        <w:spacing w:line="360" w:lineRule="auto"/>
        <w:jc w:val="both"/>
        <w:rPr>
          <w:sz w:val="24"/>
          <w:szCs w:val="24"/>
          <w:lang w:val="pt-BR" w:eastAsia="pt-BR"/>
        </w:rPr>
      </w:pPr>
      <w:r>
        <w:rPr>
          <w:b/>
          <w:bCs/>
          <w:sz w:val="24"/>
          <w:szCs w:val="24"/>
          <w:lang w:val="pt-BR" w:eastAsia="pt-BR"/>
        </w:rPr>
        <w:t xml:space="preserve">LPM de Ordem 2 </w:t>
      </w:r>
      <m:oMath>
        <m:r>
          <m:rPr>
            <m:sty m:val="bi"/>
          </m:rPr>
          <w:rPr>
            <w:rFonts w:ascii="Cambria Math" w:hAnsi="Cambria Math"/>
            <w:sz w:val="24"/>
            <w:szCs w:val="24"/>
            <w:lang w:val="pt-BR" w:eastAsia="pt-BR"/>
          </w:rPr>
          <m:t>(n=2)</m:t>
        </m:r>
      </m:oMath>
      <w:r>
        <w:rPr>
          <w:b/>
          <w:bCs/>
          <w:sz w:val="24"/>
          <w:szCs w:val="24"/>
          <w:lang w:val="pt-BR" w:eastAsia="pt-BR"/>
        </w:rPr>
        <w:t xml:space="preserve"> – Semivariância (</w:t>
      </w:r>
      <w:r>
        <w:rPr>
          <w:b/>
          <w:bCs/>
          <w:i/>
          <w:iCs/>
          <w:sz w:val="24"/>
          <w:szCs w:val="24"/>
          <w:lang w:val="pt-BR" w:eastAsia="pt-BR"/>
        </w:rPr>
        <w:t>Target Semivariance</w:t>
      </w:r>
      <w:r>
        <w:rPr>
          <w:b/>
          <w:bCs/>
          <w:sz w:val="24"/>
          <w:szCs w:val="24"/>
          <w:lang w:val="pt-BR" w:eastAsia="pt-BR"/>
        </w:rPr>
        <w:t>):</w:t>
      </w:r>
    </w:p>
    <w:p w14:paraId="22CFFE0E" w14:textId="77777777" w:rsidR="00443833" w:rsidRPr="00D257C0" w:rsidRDefault="00443833" w:rsidP="003F1C11">
      <w:pPr>
        <w:widowControl/>
        <w:numPr>
          <w:ilvl w:val="0"/>
          <w:numId w:val="22"/>
        </w:numPr>
        <w:autoSpaceDE/>
        <w:autoSpaceDN/>
        <w:spacing w:line="360" w:lineRule="auto"/>
        <w:jc w:val="both"/>
        <w:rPr>
          <w:sz w:val="24"/>
          <w:szCs w:val="24"/>
          <w:lang w:val="pt-BR" w:eastAsia="pt-BR"/>
        </w:rPr>
      </w:pPr>
      <w:r>
        <w:rPr>
          <w:sz w:val="24"/>
          <w:szCs w:val="24"/>
          <w:lang w:val="pt-BR" w:eastAsia="pt-BR"/>
        </w:rPr>
        <w:lastRenderedPageBreak/>
        <w:t>Mede a dispersão quadrática dos retornos abaixo do alvo. Semelhante à variância, mas unilateral.</w:t>
      </w:r>
    </w:p>
    <w:p w14:paraId="20521A95" w14:textId="77777777" w:rsidR="00443833" w:rsidRPr="00D257C0" w:rsidRDefault="00443833" w:rsidP="003F1C11">
      <w:pPr>
        <w:widowControl/>
        <w:numPr>
          <w:ilvl w:val="0"/>
          <w:numId w:val="23"/>
        </w:numPr>
        <w:autoSpaceDE/>
        <w:autoSpaceDN/>
        <w:spacing w:line="360" w:lineRule="auto"/>
        <w:jc w:val="both"/>
        <w:rPr>
          <w:sz w:val="24"/>
          <w:szCs w:val="24"/>
          <w:lang w:val="pt-BR" w:eastAsia="pt-BR"/>
        </w:rPr>
      </w:pPr>
      <w:r>
        <w:rPr>
          <w:sz w:val="24"/>
          <w:szCs w:val="24"/>
          <w:lang w:val="pt-BR" w:eastAsia="pt-BR"/>
        </w:rPr>
        <w:t>Interpretação</w:t>
      </w:r>
      <w:r>
        <w:rPr>
          <w:i/>
          <w:iCs/>
          <w:sz w:val="24"/>
          <w:szCs w:val="24"/>
          <w:lang w:val="pt-BR" w:eastAsia="pt-BR"/>
        </w:rPr>
        <w:t>:</w:t>
      </w:r>
      <w:r>
        <w:rPr>
          <w:sz w:val="24"/>
          <w:szCs w:val="24"/>
          <w:lang w:val="pt-BR" w:eastAsia="pt-BR"/>
        </w:rPr>
        <w:t xml:space="preserve"> Penaliza desproporcionalmente as grandes perdas. Uma perda duas vezes maior pesa quatro vezes mais no cálculo do risco. Esta é a medida preferida por Markowitz (1959) e a base para o </w:t>
      </w:r>
      <w:r>
        <w:rPr>
          <w:b/>
          <w:bCs/>
          <w:sz w:val="24"/>
          <w:szCs w:val="24"/>
          <w:lang w:val="pt-BR" w:eastAsia="pt-BR"/>
        </w:rPr>
        <w:t>Desvio Padrão de Downside</w:t>
      </w:r>
      <w:r>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Pr>
          <w:sz w:val="24"/>
          <w:szCs w:val="24"/>
          <w:lang w:val="pt-BR" w:eastAsia="pt-BR"/>
        </w:rPr>
        <w:t>, que é o denominador do Índice de Sortino.</w:t>
      </w:r>
    </w:p>
    <w:p w14:paraId="08D28226" w14:textId="77777777" w:rsidR="00443833" w:rsidRPr="00D257C0" w:rsidRDefault="00443833" w:rsidP="003F1C11">
      <w:pPr>
        <w:widowControl/>
        <w:numPr>
          <w:ilvl w:val="0"/>
          <w:numId w:val="24"/>
        </w:numPr>
        <w:autoSpaceDE/>
        <w:autoSpaceDN/>
        <w:spacing w:line="360" w:lineRule="auto"/>
        <w:jc w:val="both"/>
        <w:rPr>
          <w:sz w:val="24"/>
          <w:szCs w:val="24"/>
          <w:lang w:val="pt-BR" w:eastAsia="pt-BR"/>
        </w:rPr>
      </w:pPr>
      <w:r>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Pr>
          <w:b/>
          <w:bCs/>
          <w:sz w:val="24"/>
          <w:szCs w:val="24"/>
          <w:lang w:val="pt-BR" w:eastAsia="pt-BR"/>
        </w:rPr>
        <w:t>:</w:t>
      </w:r>
    </w:p>
    <w:p w14:paraId="0ED7B23E" w14:textId="77777777" w:rsidR="00443833" w:rsidRPr="00D257C0" w:rsidRDefault="00443833" w:rsidP="003F1C11">
      <w:pPr>
        <w:widowControl/>
        <w:numPr>
          <w:ilvl w:val="0"/>
          <w:numId w:val="25"/>
        </w:numPr>
        <w:autoSpaceDE/>
        <w:autoSpaceDN/>
        <w:spacing w:line="360" w:lineRule="auto"/>
        <w:jc w:val="both"/>
        <w:rPr>
          <w:sz w:val="24"/>
          <w:szCs w:val="24"/>
          <w:lang w:val="pt-BR" w:eastAsia="pt-BR"/>
        </w:rPr>
      </w:pPr>
      <w:r>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Pr>
          <w:sz w:val="24"/>
          <w:szCs w:val="24"/>
          <w:lang w:val="pt-BR" w:eastAsia="pt-BR"/>
        </w:rPr>
        <w:t xml:space="preserve"> aumenta, o foco da métrica desloca-se quase exclusivamente para a cauda esquerda extrema da distribuição, ignorando pequenas flutuações negativas.</w:t>
      </w:r>
    </w:p>
    <w:p w14:paraId="03DD9E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8076ABE" w14:textId="77777777" w:rsidR="00E55AD9" w:rsidRPr="00180F64" w:rsidRDefault="00E55AD9" w:rsidP="00E55AD9">
      <w:pPr>
        <w:rPr>
          <w:sz w:val="24"/>
          <w:szCs w:val="24"/>
          <w:lang w:val="pt-BR" w:eastAsia="pt-BR"/>
        </w:rPr>
      </w:pPr>
    </w:p>
    <w:p w14:paraId="7F96DB4E" w14:textId="77777777" w:rsidR="00E55AD9" w:rsidRPr="00180F64" w:rsidRDefault="00180F6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1" w:name="_Toc230857019"/>
      <w:r>
        <w:rPr>
          <w:sz w:val="24"/>
          <w:szCs w:val="24"/>
          <w:lang w:val="pt-BR" w:eastAsia="pt-BR"/>
        </w:rPr>
        <w:t>Semivariância vs. Variância: O Impacto na Alocação</w:t>
      </w:r>
      <w:bookmarkEnd w:id="51"/>
      <w:r>
        <w:rPr>
          <w:sz w:val="24"/>
          <w:szCs w:val="24"/>
          <w:lang w:val="pt-BR" w:eastAsia="pt-BR"/>
        </w:rPr>
        <w:t xml:space="preserve"> </w:t>
      </w:r>
    </w:p>
    <w:p w14:paraId="596828D5"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BF369FE"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substituição da variância pela semivariância tem implicações profundas na construção de portfólios. Em distribuições simétricas (normais), a semivariância é proporcional à variância, e a fronteira eficiente da PMPT converge para a da MPT. No entanto, na presença de assimetria (</w:t>
      </w:r>
      <w:r>
        <w:rPr>
          <w:i/>
          <w:iCs/>
          <w:sz w:val="24"/>
          <w:szCs w:val="24"/>
          <w:lang w:val="pt-BR" w:eastAsia="pt-BR"/>
        </w:rPr>
        <w:t>skewness</w:t>
      </w:r>
      <w:r>
        <w:rPr>
          <w:sz w:val="24"/>
          <w:szCs w:val="24"/>
          <w:lang w:val="pt-BR" w:eastAsia="pt-BR"/>
        </w:rPr>
        <w:t>), as fronteiras divergem.</w:t>
      </w:r>
    </w:p>
    <w:p w14:paraId="1435FD5C"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Um ativo com alta assimetria positiva (como uma opção de compra longa ou uma startup de venture capital) terá uma variância alta (devido ao potencial de ganho ilimitado) mas uma semivariância baixa (perda limitada ao capital investido). A MPT penalizaria este ativo, reduzindo sua alocação para diminuir o risco total. A PMPT, utilizando a semivariância, reconheceria o perfil favorável de risco/retorno e aumentaria a alocação, capturando o </w:t>
      </w:r>
      <w:r>
        <w:rPr>
          <w:i/>
          <w:iCs/>
          <w:sz w:val="24"/>
          <w:szCs w:val="24"/>
          <w:lang w:val="pt-BR" w:eastAsia="pt-BR"/>
        </w:rPr>
        <w:t>"upside potential"</w:t>
      </w:r>
      <w:r>
        <w:rPr>
          <w:sz w:val="24"/>
          <w:szCs w:val="24"/>
          <w:lang w:val="pt-BR" w:eastAsia="pt-BR"/>
        </w:rPr>
        <w:t>. Estudos empíricos mostram que, em mercados emergentes ou durante crises, portfólios otimizados via semivariância tendem a preservar capital de forma mais eficiente do que aqueles baseados em média-variância.</w:t>
      </w:r>
      <w:r>
        <w:rPr>
          <w:sz w:val="24"/>
          <w:szCs w:val="24"/>
          <w:vertAlign w:val="superscript"/>
          <w:lang w:val="pt-BR" w:eastAsia="pt-BR"/>
        </w:rPr>
        <w:t>45</w:t>
      </w:r>
    </w:p>
    <w:p w14:paraId="76455BDB" w14:textId="77777777" w:rsidR="00A74B8A" w:rsidRPr="00180F64" w:rsidRDefault="00A74B8A" w:rsidP="00A74B8A">
      <w:pPr>
        <w:rPr>
          <w:sz w:val="24"/>
          <w:szCs w:val="24"/>
          <w:lang w:val="pt-BR" w:eastAsia="pt-BR"/>
        </w:rPr>
      </w:pPr>
    </w:p>
    <w:p w14:paraId="5DE1CB8E" w14:textId="77777777" w:rsidR="00A74B8A" w:rsidRPr="00180F64" w:rsidRDefault="00A74B8A" w:rsidP="003F1C11">
      <w:pPr>
        <w:pStyle w:val="PargrafodaLista"/>
        <w:widowControl/>
        <w:numPr>
          <w:ilvl w:val="1"/>
          <w:numId w:val="32"/>
        </w:numPr>
        <w:autoSpaceDE/>
        <w:autoSpaceDN/>
        <w:spacing w:line="360" w:lineRule="auto"/>
        <w:jc w:val="both"/>
        <w:outlineLvl w:val="1"/>
        <w:rPr>
          <w:sz w:val="24"/>
          <w:szCs w:val="24"/>
          <w:lang w:val="pt-BR" w:eastAsia="pt-BR"/>
        </w:rPr>
      </w:pPr>
      <w:bookmarkStart w:id="52" w:name="_Toc230857020"/>
      <w:r>
        <w:rPr>
          <w:b/>
          <w:bCs/>
          <w:sz w:val="24"/>
          <w:szCs w:val="24"/>
          <w:lang w:val="pt-BR" w:eastAsia="pt-BR"/>
        </w:rPr>
        <w:t>Métricas Avançadas de Risco e Propriedades de Coerência</w:t>
      </w:r>
      <w:bookmarkEnd w:id="52"/>
      <w:r>
        <w:rPr>
          <w:sz w:val="24"/>
          <w:szCs w:val="24"/>
          <w:lang w:val="pt-BR" w:eastAsia="pt-BR"/>
        </w:rPr>
        <w:t xml:space="preserve"> </w:t>
      </w:r>
    </w:p>
    <w:p w14:paraId="3A4AEF1D"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7C3EDE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evolução da gestão de riscos não parou nos LPMs. A necessidade de quantificar o capital regulatório bancário e o risco sistêmico levou ao desenvolvimento de métricas baseadas em quantis, como o </w:t>
      </w:r>
      <w:r>
        <w:rPr>
          <w:i/>
          <w:iCs/>
          <w:sz w:val="24"/>
          <w:szCs w:val="24"/>
          <w:lang w:val="pt-BR" w:eastAsia="pt-BR"/>
        </w:rPr>
        <w:t>Value at Risk</w:t>
      </w:r>
      <w:r>
        <w:rPr>
          <w:sz w:val="24"/>
          <w:szCs w:val="24"/>
          <w:lang w:val="pt-BR" w:eastAsia="pt-BR"/>
        </w:rPr>
        <w:t xml:space="preserve"> (VaR) e o </w:t>
      </w:r>
      <w:r>
        <w:rPr>
          <w:i/>
          <w:iCs/>
          <w:sz w:val="24"/>
          <w:szCs w:val="24"/>
          <w:lang w:val="pt-BR" w:eastAsia="pt-BR"/>
        </w:rPr>
        <w:t>Expected Shortfall</w:t>
      </w:r>
      <w:r>
        <w:rPr>
          <w:sz w:val="24"/>
          <w:szCs w:val="24"/>
          <w:lang w:val="pt-BR" w:eastAsia="pt-BR"/>
        </w:rPr>
        <w:t xml:space="preserve"> (ES/CVaR). A análise dessas métricas sob a perspectiva da teoria axiomática de riscos revela distinções cruciais sobre sua confiabilidade.</w:t>
      </w:r>
    </w:p>
    <w:p w14:paraId="628B4E06" w14:textId="77777777" w:rsidR="00801647" w:rsidRPr="00180F64" w:rsidRDefault="00801647" w:rsidP="00801647">
      <w:pPr>
        <w:rPr>
          <w:sz w:val="24"/>
          <w:szCs w:val="24"/>
          <w:lang w:val="pt-BR" w:eastAsia="pt-BR"/>
        </w:rPr>
      </w:pPr>
    </w:p>
    <w:p w14:paraId="153D2D79" w14:textId="77777777" w:rsidR="00801647" w:rsidRPr="00443833" w:rsidRDefault="00801647"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3" w:name="_Toc230857021"/>
      <w:r>
        <w:rPr>
          <w:sz w:val="24"/>
          <w:szCs w:val="24"/>
          <w:lang w:val="pt-BR" w:eastAsia="pt-BR"/>
        </w:rPr>
        <w:t>Value at Risk (VaR): A Revolução Incoerente</w:t>
      </w:r>
      <w:bookmarkEnd w:id="53"/>
      <w:r>
        <w:rPr>
          <w:sz w:val="24"/>
          <w:szCs w:val="24"/>
          <w:lang w:val="pt-BR" w:eastAsia="pt-BR"/>
        </w:rPr>
        <w:t xml:space="preserve"> </w:t>
      </w:r>
    </w:p>
    <w:p w14:paraId="67064702" w14:textId="77777777" w:rsidR="00443833" w:rsidRPr="00443833" w:rsidRDefault="00443833" w:rsidP="00801647">
      <w:pPr>
        <w:widowControl/>
        <w:autoSpaceDE/>
        <w:autoSpaceDN/>
        <w:spacing w:line="360" w:lineRule="auto"/>
        <w:jc w:val="both"/>
        <w:rPr>
          <w:b/>
          <w:bCs/>
          <w:sz w:val="24"/>
          <w:szCs w:val="24"/>
          <w:lang w:val="pt-BR" w:eastAsia="pt-BR"/>
        </w:rPr>
      </w:pPr>
    </w:p>
    <w:p w14:paraId="76DEFF9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Popularizado em 1994 pelo J.P. Morgan através do sistema </w:t>
      </w:r>
      <w:r>
        <w:rPr>
          <w:i/>
          <w:iCs/>
          <w:sz w:val="24"/>
          <w:szCs w:val="24"/>
          <w:lang w:val="pt-BR" w:eastAsia="pt-BR"/>
        </w:rPr>
        <w:t>RiskMetrics</w:t>
      </w:r>
      <w:r>
        <w:rPr>
          <w:sz w:val="24"/>
          <w:szCs w:val="24"/>
          <w:lang w:val="pt-BR" w:eastAsia="pt-BR"/>
        </w:rPr>
        <w:t xml:space="preserve">, o VaR tornou-se o padrão da indústria para a gestão de riscos de mercado e regulação bancária (Acordos de Basileia I e II). O VaR é definido como a perda máxima esperada em um determinado horizonte de tempo, com um certo nível de confiança </w:t>
      </w:r>
      <m:oMath>
        <m:r>
          <w:rPr>
            <w:rFonts w:ascii="Cambria Math" w:hAnsi="Cambria Math"/>
            <w:sz w:val="24"/>
            <w:szCs w:val="24"/>
            <w:lang w:val="pt-BR" w:eastAsia="pt-BR"/>
          </w:rPr>
          <m:t>(1-α)</m:t>
        </m:r>
      </m:oMath>
      <w:r>
        <w:rPr>
          <w:sz w:val="24"/>
          <w:szCs w:val="24"/>
          <w:lang w:val="pt-BR" w:eastAsia="pt-BR"/>
        </w:rPr>
        <w:t>.</w:t>
      </w:r>
    </w:p>
    <w:p w14:paraId="63FFA12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Por exemplo, um VaR de 99% de $10 milhões em 1 dia implica que há apenas 1% de chance de a perda exceder $10 milhões.</w:t>
      </w:r>
    </w:p>
    <w:p w14:paraId="60D69E59"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Apesar de sua ubiquidade, o VaR apresenta falhas estruturais graves sob a ótica da PMPT e da teoria estatística:</w:t>
      </w:r>
    </w:p>
    <w:p w14:paraId="2485B139"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Cegueira da Cauda (</w:t>
      </w:r>
      <w:r>
        <w:rPr>
          <w:b/>
          <w:bCs/>
          <w:i/>
          <w:iCs/>
          <w:sz w:val="24"/>
          <w:szCs w:val="24"/>
          <w:lang w:val="pt-BR" w:eastAsia="pt-BR"/>
        </w:rPr>
        <w:t>Tail Blindness</w:t>
      </w:r>
      <w:r>
        <w:rPr>
          <w:b/>
          <w:bCs/>
          <w:sz w:val="24"/>
          <w:szCs w:val="24"/>
          <w:lang w:val="pt-BR" w:eastAsia="pt-BR"/>
        </w:rPr>
        <w:t>):</w:t>
      </w:r>
      <w:r>
        <w:rPr>
          <w:sz w:val="24"/>
          <w:szCs w:val="24"/>
          <w:lang w:val="pt-BR" w:eastAsia="pt-BR"/>
        </w:rPr>
        <w:t xml:space="preserve"> O VaR indica o limiar da perda, mas nada diz sobre a severidade da perda caso esse limiar seja ultrapassado. Em distribuições de cauda gorda, a perda média além do VaR pode ser muitas vezes superior ao próprio VaR, ocultando riscos catastróficos.</w:t>
      </w:r>
    </w:p>
    <w:p w14:paraId="37EC98F8" w14:textId="77777777" w:rsidR="00443833" w:rsidRPr="00443833" w:rsidRDefault="00443833" w:rsidP="003F1C11">
      <w:pPr>
        <w:widowControl/>
        <w:numPr>
          <w:ilvl w:val="0"/>
          <w:numId w:val="39"/>
        </w:numPr>
        <w:autoSpaceDE/>
        <w:autoSpaceDN/>
        <w:spacing w:line="360" w:lineRule="auto"/>
        <w:jc w:val="both"/>
        <w:rPr>
          <w:sz w:val="24"/>
          <w:szCs w:val="24"/>
          <w:lang w:val="pt-BR" w:eastAsia="pt-BR"/>
        </w:rPr>
      </w:pPr>
      <w:r>
        <w:rPr>
          <w:b/>
          <w:bCs/>
          <w:sz w:val="24"/>
          <w:szCs w:val="24"/>
          <w:lang w:val="pt-BR" w:eastAsia="pt-BR"/>
        </w:rPr>
        <w:t>Violação da Subaditividade:</w:t>
      </w:r>
      <w:r>
        <w:rPr>
          <w:sz w:val="24"/>
          <w:szCs w:val="24"/>
          <w:lang w:val="pt-BR" w:eastAsia="pt-BR"/>
        </w:rPr>
        <w:t xml:space="preserve"> Artzner et al. (1999), em seu artigo fundamental sobre medidas de risco coerentes, demonstraram que o VaR </w:t>
      </w:r>
      <w:r>
        <w:rPr>
          <w:b/>
          <w:bCs/>
          <w:sz w:val="24"/>
          <w:szCs w:val="24"/>
          <w:lang w:val="pt-BR" w:eastAsia="pt-BR"/>
        </w:rPr>
        <w:t>não é subaditivo</w:t>
      </w:r>
      <w:r>
        <w:rPr>
          <w:sz w:val="24"/>
          <w:szCs w:val="24"/>
          <w:lang w:val="pt-BR" w:eastAsia="pt-BR"/>
        </w:rPr>
        <w:t xml:space="preserve">. Isso significa que o VaR de um portfólio diversificado pode ser maior do que a soma dos VaRs dos ativos individuais </w:t>
      </w:r>
      <m:oMath>
        <m:r>
          <w:rPr>
            <w:rFonts w:ascii="Cambria Math" w:hAnsi="Cambria Math"/>
            <w:sz w:val="24"/>
            <w:szCs w:val="24"/>
            <w:lang w:val="pt-BR" w:eastAsia="pt-BR"/>
          </w:rPr>
          <m:t>(VaR(A+B) &gt; VaR(A) + VaR(B))</m:t>
        </m:r>
      </m:oMath>
      <w:r>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p>
    <w:p w14:paraId="0AB543F4" w14:textId="77777777" w:rsidR="00DB3EA8" w:rsidRPr="00180F64" w:rsidRDefault="00DB3EA8" w:rsidP="00DB3EA8">
      <w:pPr>
        <w:rPr>
          <w:sz w:val="24"/>
          <w:szCs w:val="24"/>
          <w:lang w:val="pt-BR" w:eastAsia="pt-BR"/>
        </w:rPr>
      </w:pPr>
    </w:p>
    <w:p w14:paraId="66FCA3A8" w14:textId="77777777" w:rsidR="00DB3EA8" w:rsidRPr="00443833" w:rsidRDefault="00DB3EA8"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4" w:name="_Toc230857022"/>
      <w:r>
        <w:rPr>
          <w:sz w:val="24"/>
          <w:szCs w:val="24"/>
          <w:lang w:val="pt-BR" w:eastAsia="pt-BR"/>
        </w:rPr>
        <w:t>Medidas de Risco Coerentes e os Axiomas de Artzner</w:t>
      </w:r>
      <w:bookmarkEnd w:id="54"/>
      <w:r>
        <w:rPr>
          <w:sz w:val="24"/>
          <w:szCs w:val="24"/>
          <w:lang w:val="pt-BR" w:eastAsia="pt-BR"/>
        </w:rPr>
        <w:t xml:space="preserve"> </w:t>
      </w:r>
    </w:p>
    <w:p w14:paraId="051F50D5" w14:textId="77777777" w:rsidR="00443833" w:rsidRPr="00443833" w:rsidRDefault="00443833" w:rsidP="0002251D">
      <w:pPr>
        <w:widowControl/>
        <w:autoSpaceDE/>
        <w:autoSpaceDN/>
        <w:spacing w:line="360" w:lineRule="auto"/>
        <w:jc w:val="both"/>
        <w:rPr>
          <w:sz w:val="24"/>
          <w:szCs w:val="24"/>
          <w:lang w:val="pt-BR" w:eastAsia="pt-BR"/>
        </w:rPr>
      </w:pPr>
    </w:p>
    <w:p w14:paraId="1D6CA4F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Para remediar as falhas do VaR, Artzner, Delbaen, Eber e Heath (1999) estabeleceram quatro axiomas que uma medida de risco </w:t>
      </w:r>
      <m:oMath>
        <m:r>
          <w:rPr>
            <w:rFonts w:ascii="Cambria Math" w:hAnsi="Cambria Math"/>
            <w:sz w:val="24"/>
            <w:szCs w:val="24"/>
            <w:lang w:val="pt-BR" w:eastAsia="pt-BR"/>
          </w:rPr>
          <m:t>(ρ)</m:t>
        </m:r>
      </m:oMath>
      <w:r>
        <w:rPr>
          <w:sz w:val="24"/>
          <w:szCs w:val="24"/>
          <w:lang w:val="pt-BR" w:eastAsia="pt-BR"/>
        </w:rPr>
        <w:t xml:space="preserve"> deve satisfazer para ser considerada "coerente" e segura para alocação de capital </w:t>
      </w:r>
      <w:r>
        <w:rPr>
          <w:sz w:val="24"/>
          <w:szCs w:val="24"/>
          <w:vertAlign w:val="superscript"/>
          <w:lang w:val="pt-BR" w:eastAsia="pt-BR"/>
        </w:rPr>
        <w:t>50</w:t>
      </w:r>
      <w:r>
        <w:rPr>
          <w:sz w:val="24"/>
          <w:szCs w:val="24"/>
          <w:lang w:val="pt-BR" w:eastAsia="pt-BR"/>
        </w:rPr>
        <w:t>:</w:t>
      </w:r>
    </w:p>
    <w:p w14:paraId="6C016A4D"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Monotonicidade:</w:t>
      </w:r>
      <w:r>
        <w:rPr>
          <w:sz w:val="24"/>
          <w:szCs w:val="24"/>
          <w:lang w:val="pt-BR" w:eastAsia="pt-BR"/>
        </w:rPr>
        <w:t xml:space="preserve"> Se o portfólio (</w:t>
      </w:r>
      <m:oMath>
        <m:r>
          <w:rPr>
            <w:rFonts w:ascii="Cambria Math" w:hAnsi="Cambria Math"/>
            <w:sz w:val="24"/>
            <w:szCs w:val="24"/>
            <w:lang w:val="pt-BR" w:eastAsia="pt-BR"/>
          </w:rPr>
          <m:t>X)</m:t>
        </m:r>
      </m:oMath>
      <w:r>
        <w:rPr>
          <w:sz w:val="24"/>
          <w:szCs w:val="24"/>
          <w:lang w:val="pt-BR" w:eastAsia="pt-BR"/>
        </w:rPr>
        <w:t xml:space="preserve"> tem retornos sempre melhores que (</w:t>
      </w:r>
      <m:oMath>
        <m:r>
          <w:rPr>
            <w:rFonts w:ascii="Cambria Math" w:hAnsi="Cambria Math"/>
            <w:sz w:val="24"/>
            <w:szCs w:val="24"/>
            <w:lang w:val="pt-BR" w:eastAsia="pt-BR"/>
          </w:rPr>
          <m:t>Y)</m:t>
        </m:r>
      </m:oMath>
      <w:r>
        <w:rPr>
          <w:sz w:val="24"/>
          <w:szCs w:val="24"/>
          <w:lang w:val="pt-BR" w:eastAsia="pt-BR"/>
        </w:rPr>
        <w:t xml:space="preserve">, o risco de </w:t>
      </w:r>
      <m:oMath>
        <m:r>
          <w:rPr>
            <w:rFonts w:ascii="Cambria Math" w:hAnsi="Cambria Math"/>
            <w:sz w:val="24"/>
            <w:szCs w:val="24"/>
            <w:lang w:val="pt-BR" w:eastAsia="pt-BR"/>
          </w:rPr>
          <m:t>(X)</m:t>
        </m:r>
      </m:oMath>
      <w:r>
        <w:rPr>
          <w:sz w:val="24"/>
          <w:szCs w:val="24"/>
          <w:lang w:val="pt-BR" w:eastAsia="pt-BR"/>
        </w:rPr>
        <w:t xml:space="preserve"> deve ser menor </w:t>
      </w:r>
      <m:oMath>
        <m:r>
          <w:rPr>
            <w:rFonts w:ascii="Cambria Math" w:hAnsi="Cambria Math"/>
            <w:sz w:val="24"/>
            <w:szCs w:val="24"/>
            <w:lang w:val="pt-BR" w:eastAsia="pt-BR"/>
          </w:rPr>
          <m:t>(Se X ≥ Y, então ρ(X) ≤ ρ(Y))</m:t>
        </m:r>
      </m:oMath>
      <w:r>
        <w:rPr>
          <w:sz w:val="24"/>
          <w:szCs w:val="24"/>
          <w:lang w:val="pt-BR" w:eastAsia="pt-BR"/>
        </w:rPr>
        <w:t>.</w:t>
      </w:r>
    </w:p>
    <w:p w14:paraId="0D57EC42"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Subaditividade:</w:t>
      </w:r>
      <w:r>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Pr>
          <w:sz w:val="24"/>
          <w:szCs w:val="24"/>
          <w:lang w:val="pt-BR" w:eastAsia="pt-BR"/>
        </w:rPr>
        <w:t>. Garante que a diversificação reduz o risco.</w:t>
      </w:r>
    </w:p>
    <w:p w14:paraId="010F6331"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lastRenderedPageBreak/>
        <w:t>Homogeneidade Positiva:</w:t>
      </w:r>
      <w:r>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Pr>
          <w:sz w:val="24"/>
          <w:szCs w:val="24"/>
          <w:lang w:val="pt-BR" w:eastAsia="pt-BR"/>
        </w:rPr>
        <w:t>.</w:t>
      </w:r>
    </w:p>
    <w:p w14:paraId="465CFFA7" w14:textId="77777777" w:rsidR="00443833" w:rsidRPr="00443833" w:rsidRDefault="00443833" w:rsidP="003F1C11">
      <w:pPr>
        <w:widowControl/>
        <w:numPr>
          <w:ilvl w:val="0"/>
          <w:numId w:val="52"/>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Invariância de Translação:</w:t>
      </w:r>
      <w:r>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Pr>
          <w:sz w:val="24"/>
          <w:szCs w:val="24"/>
          <w:lang w:val="pt-BR" w:eastAsia="pt-BR"/>
        </w:rPr>
        <w:t>.</w:t>
      </w:r>
    </w:p>
    <w:p w14:paraId="78C893FD" w14:textId="77777777" w:rsidR="00497C68" w:rsidRPr="00180F64" w:rsidRDefault="00497C68" w:rsidP="00497C68">
      <w:pPr>
        <w:rPr>
          <w:sz w:val="24"/>
          <w:szCs w:val="24"/>
          <w:lang w:val="pt-BR" w:eastAsia="pt-BR"/>
        </w:rPr>
      </w:pPr>
    </w:p>
    <w:p w14:paraId="41E252E9" w14:textId="77777777" w:rsidR="00497C68" w:rsidRPr="00497C68" w:rsidRDefault="00497C68" w:rsidP="003F1C11">
      <w:pPr>
        <w:pStyle w:val="PargrafodaLista"/>
        <w:widowControl/>
        <w:numPr>
          <w:ilvl w:val="2"/>
          <w:numId w:val="32"/>
        </w:numPr>
        <w:autoSpaceDE/>
        <w:autoSpaceDN/>
        <w:spacing w:line="360" w:lineRule="auto"/>
        <w:jc w:val="both"/>
        <w:outlineLvl w:val="2"/>
        <w:rPr>
          <w:sz w:val="24"/>
          <w:szCs w:val="24"/>
          <w:lang w:val="en-US" w:eastAsia="pt-BR"/>
        </w:rPr>
      </w:pPr>
      <w:bookmarkStart w:id="55" w:name="_Toc230857023"/>
      <w:r>
        <w:rPr>
          <w:sz w:val="24"/>
          <w:szCs w:val="24"/>
          <w:lang w:val="en-US" w:eastAsia="pt-BR"/>
        </w:rPr>
        <w:t>Conditional Value at Risk (CVaR) / Expected Shortfall (ES)</w:t>
      </w:r>
      <w:bookmarkEnd w:id="55"/>
      <w:r>
        <w:rPr>
          <w:sz w:val="24"/>
          <w:szCs w:val="24"/>
          <w:lang w:val="en-US" w:eastAsia="pt-BR"/>
        </w:rPr>
        <w:t xml:space="preserve"> </w:t>
      </w:r>
    </w:p>
    <w:p w14:paraId="2293942E" w14:textId="77777777" w:rsidR="00497C68" w:rsidRPr="00497C68" w:rsidRDefault="00497C68" w:rsidP="00497C68">
      <w:pPr>
        <w:widowControl/>
        <w:autoSpaceDE/>
        <w:autoSpaceDN/>
        <w:spacing w:line="360" w:lineRule="auto"/>
        <w:jc w:val="both"/>
        <w:rPr>
          <w:sz w:val="24"/>
          <w:szCs w:val="24"/>
          <w:lang w:val="en-US" w:eastAsia="pt-BR"/>
        </w:rPr>
      </w:pPr>
    </w:p>
    <w:p w14:paraId="12A872E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Como resposta direta à incoerência do VaR, Rockafellar e Uryasev (2000, 2002) propuseram e operacionalizaram o </w:t>
      </w:r>
      <w:r>
        <w:rPr>
          <w:i/>
          <w:iCs/>
          <w:sz w:val="24"/>
          <w:szCs w:val="24"/>
          <w:lang w:val="pt-BR" w:eastAsia="pt-BR"/>
        </w:rPr>
        <w:t>Conditional Value at Risk</w:t>
      </w:r>
      <w:r>
        <w:rPr>
          <w:sz w:val="24"/>
          <w:szCs w:val="24"/>
          <w:lang w:val="pt-BR" w:eastAsia="pt-BR"/>
        </w:rPr>
        <w:t xml:space="preserve"> (CVaR), também conhecido como </w:t>
      </w:r>
      <w:r>
        <w:rPr>
          <w:i/>
          <w:iCs/>
          <w:sz w:val="24"/>
          <w:szCs w:val="24"/>
          <w:lang w:val="pt-BR" w:eastAsia="pt-BR"/>
        </w:rPr>
        <w:t>Expected Shortfall</w:t>
      </w:r>
      <w:r>
        <w:rPr>
          <w:sz w:val="24"/>
          <w:szCs w:val="24"/>
          <w:lang w:val="pt-BR" w:eastAsia="pt-BR"/>
        </w:rPr>
        <w:t xml:space="preserve"> (ES). O CVaR é definido como a média das perdas que ocorrem na cauda da distribuição, estritamente além do ponto de corte do VaR.</w:t>
      </w:r>
      <w:r>
        <w:rPr>
          <w:sz w:val="24"/>
          <w:szCs w:val="24"/>
          <w:vertAlign w:val="superscript"/>
          <w:lang w:val="pt-BR" w:eastAsia="pt-BR"/>
        </w:rPr>
        <w:t>56</w:t>
      </w:r>
    </w:p>
    <w:p w14:paraId="634C67EC"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53BB370"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5E5F75F9" w14:textId="77777777" w:rsidR="002618DD" w:rsidRPr="00180F64" w:rsidRDefault="002618DD" w:rsidP="002618DD">
      <w:pPr>
        <w:rPr>
          <w:sz w:val="24"/>
          <w:szCs w:val="24"/>
          <w:lang w:val="pt-BR" w:eastAsia="pt-BR"/>
        </w:rPr>
      </w:pPr>
    </w:p>
    <w:p w14:paraId="0F3DCAB2" w14:textId="77777777" w:rsidR="002618DD" w:rsidRPr="008C1690" w:rsidRDefault="002618DD" w:rsidP="003F1C11">
      <w:pPr>
        <w:pStyle w:val="PargrafodaLista"/>
        <w:widowControl/>
        <w:numPr>
          <w:ilvl w:val="2"/>
          <w:numId w:val="32"/>
        </w:numPr>
        <w:autoSpaceDE/>
        <w:autoSpaceDN/>
        <w:spacing w:line="360" w:lineRule="auto"/>
        <w:jc w:val="both"/>
        <w:outlineLvl w:val="2"/>
        <w:rPr>
          <w:sz w:val="24"/>
          <w:szCs w:val="24"/>
          <w:lang w:val="en-US" w:eastAsia="pt-BR"/>
        </w:rPr>
      </w:pPr>
      <w:bookmarkStart w:id="56" w:name="_Toc230857024"/>
      <w:r>
        <w:rPr>
          <w:bCs/>
          <w:sz w:val="24"/>
          <w:szCs w:val="24"/>
          <w:lang w:val="pt-BR" w:eastAsia="pt-BR"/>
        </w:rPr>
        <w:t>Superioridade do CVaR na PMPT</w:t>
      </w:r>
      <w:bookmarkEnd w:id="56"/>
    </w:p>
    <w:p w14:paraId="5095BE18" w14:textId="77777777" w:rsidR="00850583" w:rsidRPr="002618DD" w:rsidRDefault="00850583" w:rsidP="002618DD">
      <w:pPr>
        <w:widowControl/>
        <w:autoSpaceDE/>
        <w:autoSpaceDN/>
        <w:spacing w:line="360" w:lineRule="auto"/>
        <w:rPr>
          <w:bCs/>
          <w:sz w:val="24"/>
          <w:szCs w:val="24"/>
          <w:lang w:val="pt-BR" w:eastAsia="pt-BR"/>
        </w:rPr>
      </w:pPr>
    </w:p>
    <w:p w14:paraId="1BAA77BC"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Coerência:</w:t>
      </w:r>
      <w:r>
        <w:rPr>
          <w:sz w:val="24"/>
          <w:szCs w:val="24"/>
          <w:lang w:val="pt-BR" w:eastAsia="pt-BR"/>
        </w:rPr>
        <w:t xml:space="preserve"> O CVaR satisfaz todos os axiomas de Artzner, incluindo a subaditividade. Ele reconhece corretamente os benefícios da diversificação mesmo em cenários de estresse extremo.</w:t>
      </w:r>
    </w:p>
    <w:p w14:paraId="75C0390A"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Convexidade e Otimização:</w:t>
      </w:r>
      <w:r>
        <w:rPr>
          <w:sz w:val="24"/>
          <w:szCs w:val="24"/>
          <w:lang w:val="pt-BR" w:eastAsia="pt-BR"/>
        </w:rPr>
        <w:t xml:space="preserve"> Diferentemente do VaR, que é uma função não-convexa e difícil de otimizar (com múltiplos mínimos locais), o CVaR é convexo. Isso permitiu a Rockafellar e Uryasev desenvolver algoritmos de programação linear que podem otimizar portfólios com milhares de ativos e cenários de forma extremamente eficiente, minimizando diretamente o risco de cauda.</w:t>
      </w:r>
    </w:p>
    <w:p w14:paraId="6A593B5A" w14:textId="77777777" w:rsidR="00443833" w:rsidRPr="00443833" w:rsidRDefault="00443833" w:rsidP="003F1C11">
      <w:pPr>
        <w:widowControl/>
        <w:numPr>
          <w:ilvl w:val="0"/>
          <w:numId w:val="53"/>
        </w:numPr>
        <w:tabs>
          <w:tab w:val="clear" w:pos="720"/>
        </w:tabs>
        <w:autoSpaceDE/>
        <w:autoSpaceDN/>
        <w:spacing w:line="360" w:lineRule="auto"/>
        <w:ind w:left="1134" w:hanging="283"/>
        <w:jc w:val="both"/>
        <w:rPr>
          <w:sz w:val="24"/>
          <w:szCs w:val="24"/>
          <w:lang w:val="pt-BR" w:eastAsia="pt-BR"/>
        </w:rPr>
      </w:pPr>
      <w:r>
        <w:rPr>
          <w:b/>
          <w:bCs/>
          <w:sz w:val="24"/>
          <w:szCs w:val="24"/>
          <w:lang w:val="pt-BR" w:eastAsia="pt-BR"/>
        </w:rPr>
        <w:t>Sensibilidade à Cauda:</w:t>
      </w:r>
      <w:r>
        <w:rPr>
          <w:sz w:val="24"/>
          <w:szCs w:val="24"/>
          <w:lang w:val="pt-BR" w:eastAsia="pt-BR"/>
        </w:rPr>
        <w:t xml:space="preserve"> O CVaR captura a forma da distribuição na região de perdas extremas. Se um ativo possui "cisnes negros" latentes, o CVaR será significativamente maior que o VaR, alertando o gestor sobre a verdadeira dimensão do risco.</w:t>
      </w:r>
    </w:p>
    <w:p w14:paraId="7C46DC4F"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transição regulatória global, exemplificada pela </w:t>
      </w:r>
      <w:r>
        <w:rPr>
          <w:i/>
          <w:iCs/>
          <w:sz w:val="24"/>
          <w:szCs w:val="24"/>
          <w:lang w:val="pt-BR" w:eastAsia="pt-BR"/>
        </w:rPr>
        <w:t>Fundamental Review of the Trading Book</w:t>
      </w:r>
      <w:r>
        <w:rPr>
          <w:sz w:val="24"/>
          <w:szCs w:val="24"/>
          <w:lang w:val="pt-BR" w:eastAsia="pt-BR"/>
        </w:rPr>
        <w:t xml:space="preserve"> (FRTB) do Comitê de Basileia, que substituiu o VaR pelo Expected Shortfall para o cálculo de capital de risco de mercado, constitui a validação institucional definitiva dos princípios defendidos pela PMPT: o risco real reside na cauda, e métricas incoerentes são inadequadas para a segurança sistêmica.</w:t>
      </w:r>
    </w:p>
    <w:p w14:paraId="457EC320" w14:textId="77777777" w:rsidR="000B2B13" w:rsidRPr="00180F64" w:rsidRDefault="000B2B13" w:rsidP="000B2B13">
      <w:pPr>
        <w:rPr>
          <w:sz w:val="24"/>
          <w:szCs w:val="24"/>
          <w:lang w:val="pt-BR" w:eastAsia="pt-BR"/>
        </w:rPr>
      </w:pPr>
    </w:p>
    <w:p w14:paraId="2B10895A" w14:textId="77777777" w:rsidR="000B2B13" w:rsidRPr="00443833" w:rsidRDefault="000B2B13"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57" w:name="_Toc230857025"/>
      <w:r>
        <w:rPr>
          <w:b/>
          <w:bCs/>
          <w:sz w:val="24"/>
          <w:szCs w:val="24"/>
          <w:lang w:val="pt-BR" w:eastAsia="pt-BR"/>
        </w:rPr>
        <w:t>Indicadores de Desempenho Ajustados: Sortino, Omega e a Generalização Kappa</w:t>
      </w:r>
      <w:bookmarkEnd w:id="57"/>
      <w:r>
        <w:rPr>
          <w:sz w:val="24"/>
          <w:szCs w:val="24"/>
          <w:lang w:val="pt-BR" w:eastAsia="pt-BR"/>
        </w:rPr>
        <w:t xml:space="preserve"> </w:t>
      </w:r>
    </w:p>
    <w:p w14:paraId="34721CA9"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8C2468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r>
        <w:rPr>
          <w:i/>
          <w:iCs/>
          <w:sz w:val="24"/>
          <w:szCs w:val="24"/>
          <w:lang w:val="pt-BR" w:eastAsia="pt-BR"/>
        </w:rPr>
        <w:t>downside risk</w:t>
      </w:r>
      <w:r>
        <w:rPr>
          <w:sz w:val="24"/>
          <w:szCs w:val="24"/>
          <w:lang w:val="pt-BR" w:eastAsia="pt-BR"/>
        </w:rPr>
        <w:t xml:space="preserve"> e momentos superiores.</w:t>
      </w:r>
    </w:p>
    <w:p w14:paraId="701784CC" w14:textId="77777777" w:rsidR="00D53AC5" w:rsidRPr="00180F64" w:rsidRDefault="00D53AC5" w:rsidP="00D53AC5">
      <w:pPr>
        <w:rPr>
          <w:sz w:val="24"/>
          <w:szCs w:val="24"/>
          <w:lang w:val="pt-BR" w:eastAsia="pt-BR"/>
        </w:rPr>
      </w:pPr>
    </w:p>
    <w:p w14:paraId="514E8051" w14:textId="77777777" w:rsidR="00D53AC5" w:rsidRPr="00443833" w:rsidRDefault="00D53AC5" w:rsidP="003F1C11">
      <w:pPr>
        <w:pStyle w:val="PargrafodaLista"/>
        <w:widowControl/>
        <w:numPr>
          <w:ilvl w:val="2"/>
          <w:numId w:val="32"/>
        </w:numPr>
        <w:autoSpaceDE/>
        <w:autoSpaceDN/>
        <w:spacing w:line="360" w:lineRule="auto"/>
        <w:jc w:val="both"/>
        <w:outlineLvl w:val="2"/>
        <w:rPr>
          <w:b/>
          <w:bCs/>
          <w:sz w:val="24"/>
          <w:szCs w:val="24"/>
          <w:lang w:val="pt-BR" w:eastAsia="pt-BR"/>
        </w:rPr>
      </w:pPr>
      <w:bookmarkStart w:id="58" w:name="_Toc230857026"/>
      <w:r>
        <w:rPr>
          <w:sz w:val="24"/>
          <w:szCs w:val="24"/>
          <w:lang w:val="pt-BR" w:eastAsia="pt-BR"/>
        </w:rPr>
        <w:t>Índice de Sortino: Refinando Sharpe</w:t>
      </w:r>
      <w:bookmarkEnd w:id="58"/>
      <w:r>
        <w:rPr>
          <w:sz w:val="24"/>
          <w:szCs w:val="24"/>
          <w:lang w:val="pt-BR" w:eastAsia="pt-BR"/>
        </w:rPr>
        <w:t xml:space="preserve"> </w:t>
      </w:r>
    </w:p>
    <w:p w14:paraId="4B9D872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556DA4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Desenvolvido por Frank Sortino no início dos anos 1980 e popularizado nos anos 1990, o Índice de Sortino é a modificação mais direta e amplamente adotada do Índice de Sharpe. Ele substitui o desvio padrão total pelo </w:t>
      </w:r>
      <w:r>
        <w:rPr>
          <w:b/>
          <w:bCs/>
          <w:sz w:val="24"/>
          <w:szCs w:val="24"/>
          <w:lang w:val="pt-BR" w:eastAsia="pt-BR"/>
        </w:rPr>
        <w:t>Desvio de Downside</w:t>
      </w:r>
      <w:r>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Pr>
          <w:sz w:val="24"/>
          <w:szCs w:val="24"/>
          <w:lang w:val="pt-BR" w:eastAsia="pt-BR"/>
        </w:rPr>
        <w:t xml:space="preserve"> no denominador.</w:t>
      </w:r>
    </w:p>
    <w:p w14:paraId="2001B4D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C8328C4" w14:textId="77777777"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4EBFDB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Onde:</w:t>
      </w:r>
    </w:p>
    <w:p w14:paraId="315FC680" w14:textId="77777777" w:rsidR="00443833" w:rsidRPr="00443833" w:rsidRDefault="00000000" w:rsidP="003F1C11">
      <w:pPr>
        <w:widowControl/>
        <w:numPr>
          <w:ilvl w:val="0"/>
          <w:numId w:val="26"/>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Pr>
          <w:sz w:val="24"/>
          <w:szCs w:val="24"/>
          <w:lang w:val="pt-BR" w:eastAsia="pt-BR"/>
        </w:rPr>
        <w:t>é o retorno médio do portfólio.</w:t>
      </w:r>
    </w:p>
    <w:p w14:paraId="424EE87A"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Pr>
          <w:sz w:val="24"/>
          <w:szCs w:val="24"/>
          <w:lang w:val="pt-BR" w:eastAsia="pt-BR"/>
        </w:rPr>
        <w:t xml:space="preserve"> (</w:t>
      </w:r>
      <w:r>
        <w:rPr>
          <w:i/>
          <w:iCs/>
          <w:sz w:val="24"/>
          <w:szCs w:val="24"/>
          <w:lang w:val="pt-BR" w:eastAsia="pt-BR"/>
        </w:rPr>
        <w:t>Minimum Acceptable Return</w:t>
      </w:r>
      <w:r>
        <w:rPr>
          <w:sz w:val="24"/>
          <w:szCs w:val="24"/>
          <w:lang w:val="pt-BR" w:eastAsia="pt-BR"/>
        </w:rPr>
        <w:t>) é o retorno alvo definido pelo investidor.</w:t>
      </w:r>
    </w:p>
    <w:p w14:paraId="68397133" w14:textId="77777777" w:rsidR="00443833" w:rsidRPr="00443833" w:rsidRDefault="000B1F12" w:rsidP="003F1C11">
      <w:pPr>
        <w:widowControl/>
        <w:numPr>
          <w:ilvl w:val="0"/>
          <w:numId w:val="26"/>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Pr>
          <w:sz w:val="24"/>
          <w:szCs w:val="24"/>
          <w:lang w:val="pt-BR" w:eastAsia="pt-BR"/>
        </w:rPr>
        <w:t xml:space="preserve"> (</w:t>
      </w:r>
      <w:r>
        <w:rPr>
          <w:i/>
          <w:iCs/>
          <w:sz w:val="24"/>
          <w:szCs w:val="24"/>
          <w:lang w:val="pt-BR" w:eastAsia="pt-BR"/>
        </w:rPr>
        <w:t>Target Downside Deviation</w:t>
      </w:r>
      <w:r>
        <w:rPr>
          <w:sz w:val="24"/>
          <w:szCs w:val="24"/>
          <w:lang w:val="pt-BR" w:eastAsia="pt-BR"/>
        </w:rPr>
        <w:t>) é a raiz quadrada da semivariância em relação ao MAR.</w:t>
      </w:r>
    </w:p>
    <w:p w14:paraId="7EB8AC68" w14:textId="77777777" w:rsidR="00443833" w:rsidRPr="00500568" w:rsidRDefault="00443833" w:rsidP="000B1F12">
      <w:pPr>
        <w:widowControl/>
        <w:autoSpaceDE/>
        <w:autoSpaceDN/>
        <w:spacing w:line="360" w:lineRule="auto"/>
        <w:ind w:firstLine="851"/>
        <w:jc w:val="center"/>
        <w:rPr>
          <w:b/>
          <w:bCs/>
          <w:sz w:val="24"/>
          <w:szCs w:val="24"/>
          <w:lang w:val="pt-BR" w:eastAsia="pt-BR"/>
        </w:rPr>
      </w:pPr>
      <w:r>
        <w:rPr>
          <w:b/>
          <w:bCs/>
          <w:sz w:val="24"/>
          <w:szCs w:val="24"/>
          <w:lang w:val="pt-BR" w:eastAsia="pt-BR"/>
        </w:rPr>
        <w:t>Análise Comparativa</w:t>
      </w:r>
    </w:p>
    <w:p w14:paraId="0DBB0DC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Índice de Sortino e o Sharpe convergem quando a distribuição dos retornos é normal e o MAR é igual à média. Contudo, para estratégias com alta assimetria positiva (e.g., </w:t>
      </w:r>
      <w:r>
        <w:rPr>
          <w:i/>
          <w:iCs/>
          <w:sz w:val="24"/>
          <w:szCs w:val="24"/>
          <w:lang w:val="pt-BR" w:eastAsia="pt-BR"/>
        </w:rPr>
        <w:t>trend following</w:t>
      </w:r>
      <w:r>
        <w:rPr>
          <w:sz w:val="24"/>
          <w:szCs w:val="24"/>
          <w:lang w:val="pt-BR" w:eastAsia="pt-BR"/>
        </w:rPr>
        <w:t>, opções longas), o Sortino será consistentemente superior ao Sharpe, pois não penaliza os ganhos voláteis. Inversamente, para estratégias com assimetria negativa (e.g., venda de volatilidade), o Sortino revelará um desempenho ajustado ao risco inferior, expondo os riscos ocultos que o Sharpe mascara.</w:t>
      </w:r>
    </w:p>
    <w:p w14:paraId="5C0CC989" w14:textId="77777777" w:rsidR="00E43374" w:rsidRPr="00180F64" w:rsidRDefault="00E43374" w:rsidP="00E43374">
      <w:pPr>
        <w:rPr>
          <w:sz w:val="24"/>
          <w:szCs w:val="24"/>
          <w:lang w:val="pt-BR" w:eastAsia="pt-BR"/>
        </w:rPr>
      </w:pPr>
    </w:p>
    <w:p w14:paraId="719C6DB9" w14:textId="77777777" w:rsidR="00E43374" w:rsidRPr="00E43374" w:rsidRDefault="00E43374" w:rsidP="003F1C11">
      <w:pPr>
        <w:pStyle w:val="PargrafodaLista"/>
        <w:widowControl/>
        <w:numPr>
          <w:ilvl w:val="2"/>
          <w:numId w:val="32"/>
        </w:numPr>
        <w:autoSpaceDE/>
        <w:autoSpaceDN/>
        <w:spacing w:line="360" w:lineRule="auto"/>
        <w:jc w:val="both"/>
        <w:outlineLvl w:val="2"/>
        <w:rPr>
          <w:sz w:val="24"/>
          <w:szCs w:val="24"/>
          <w:lang w:val="pt-BR" w:eastAsia="pt-BR"/>
        </w:rPr>
      </w:pPr>
      <w:bookmarkStart w:id="59" w:name="_Toc230857027"/>
      <w:r>
        <w:rPr>
          <w:sz w:val="24"/>
          <w:szCs w:val="24"/>
          <w:lang w:val="pt-BR" w:eastAsia="pt-BR"/>
        </w:rPr>
        <w:t>O Índice Omega: Capturando Todos os Momentos</w:t>
      </w:r>
      <w:bookmarkEnd w:id="59"/>
      <w:r>
        <w:rPr>
          <w:sz w:val="24"/>
          <w:szCs w:val="24"/>
          <w:lang w:val="pt-BR" w:eastAsia="pt-BR"/>
        </w:rPr>
        <w:t xml:space="preserve"> </w:t>
      </w:r>
    </w:p>
    <w:p w14:paraId="192A540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7E7950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Introduzido por Keating e Shadwick em 2002, o Índice Omega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Pr>
          <w:sz w:val="24"/>
          <w:szCs w:val="24"/>
          <w:lang w:val="pt-BR" w:eastAsia="pt-BR"/>
        </w:rPr>
        <w:t xml:space="preserve"> representa um salto conceitual ao dispensar completamente a necessidade de estimar momentos </w:t>
        <w:lastRenderedPageBreak/>
        <w:t>estatísticos (média, variância) e operar diretamente sobre a distribuição de probabilidade cumulativa dos retornos.</w:t>
      </w:r>
    </w:p>
    <w:p w14:paraId="5A4DBFC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é definido como a razão entre a probabilidade ponderada de ganhos e a probabilidade ponderada de perdas em relação a um limiar </w:t>
      </w:r>
      <m:oMath>
        <m:r>
          <w:rPr>
            <w:rFonts w:ascii="Cambria Math" w:hAnsi="Cambria Math"/>
            <w:sz w:val="24"/>
            <w:szCs w:val="24"/>
            <w:lang w:val="pt-BR" w:eastAsia="pt-BR"/>
          </w:rPr>
          <m:t>(L)</m:t>
        </m:r>
      </m:oMath>
      <w:r>
        <w:rPr>
          <w:sz w:val="24"/>
          <w:szCs w:val="24"/>
          <w:lang w:val="pt-BR" w:eastAsia="pt-BR"/>
        </w:rPr>
        <w:t>:</w:t>
      </w:r>
    </w:p>
    <w:p w14:paraId="73C32E00" w14:textId="77777777" w:rsidR="00443833" w:rsidRDefault="00443833" w:rsidP="00443833">
      <w:pPr>
        <w:widowControl/>
        <w:autoSpaceDE/>
        <w:autoSpaceDN/>
        <w:spacing w:line="360" w:lineRule="auto"/>
        <w:ind w:firstLine="851"/>
        <w:jc w:val="both"/>
        <w:rPr>
          <w:sz w:val="24"/>
          <w:szCs w:val="24"/>
          <w:lang w:val="pt-BR" w:eastAsia="pt-BR"/>
        </w:rPr>
      </w:pPr>
    </w:p>
    <w:p w14:paraId="21C8A7BE" w14:textId="77777777"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29D7F3AD"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5CABEA8B" w14:textId="77777777" w:rsidR="00443833" w:rsidRPr="00443833" w:rsidRDefault="00443833" w:rsidP="004709B4">
      <w:pPr>
        <w:widowControl/>
        <w:autoSpaceDE/>
        <w:autoSpaceDN/>
        <w:spacing w:line="360" w:lineRule="auto"/>
        <w:jc w:val="center"/>
        <w:rPr>
          <w:sz w:val="24"/>
          <w:szCs w:val="24"/>
          <w:lang w:val="pt-BR" w:eastAsia="pt-BR"/>
        </w:rPr>
      </w:pPr>
      <w:r>
        <w:rPr>
          <w:sz w:val="24"/>
          <w:szCs w:val="24"/>
          <w:lang w:val="pt-BR" w:eastAsia="pt-BR"/>
        </w:rPr>
        <w:t>Vantagem Crítica</w:t>
      </w:r>
    </w:p>
    <w:p w14:paraId="4A51C743"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O Omega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falha.64</w:t>
      </w:r>
    </w:p>
    <w:p w14:paraId="3E563D57"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Adicionalmente, existe uma relação direta entre o conceito de </w:t>
      </w:r>
      <w:r>
        <w:rPr>
          <w:i/>
          <w:iCs/>
          <w:sz w:val="24"/>
          <w:szCs w:val="24"/>
          <w:lang w:val="pt-BR" w:eastAsia="pt-BR"/>
        </w:rPr>
        <w:t>Upside Potential Ratio</w:t>
      </w:r>
      <w:r>
        <w:rPr>
          <w:sz w:val="24"/>
          <w:szCs w:val="24"/>
          <w:lang w:val="pt-BR" w:eastAsia="pt-BR"/>
        </w:rPr>
        <w:t xml:space="preserve"> e o Omega. O numerador do Omega corresponde ao potencial de alta (</w:t>
      </w:r>
      <w:r>
        <w:rPr>
          <w:i/>
          <w:iCs/>
          <w:sz w:val="24"/>
          <w:szCs w:val="24"/>
          <w:lang w:val="pt-BR" w:eastAsia="pt-BR"/>
        </w:rPr>
        <w:t>Upside Potential</w:t>
      </w:r>
      <w:r>
        <w:rPr>
          <w:sz w:val="24"/>
          <w:szCs w:val="24"/>
          <w:lang w:val="pt-BR" w:eastAsia="pt-BR"/>
        </w:rPr>
        <w:t>), enquanto o denominador corresponde ao potencial de baixa (</w:t>
      </w:r>
      <w:r>
        <w:rPr>
          <w:i/>
          <w:iCs/>
          <w:sz w:val="24"/>
          <w:szCs w:val="24"/>
          <w:lang w:val="pt-BR" w:eastAsia="pt-BR"/>
        </w:rPr>
        <w:t>Downside Potential</w:t>
      </w:r>
      <w:r>
        <w:rPr>
          <w:sz w:val="24"/>
          <w:szCs w:val="24"/>
          <w:lang w:val="pt-BR" w:eastAsia="pt-BR"/>
        </w:rPr>
        <w:t xml:space="preserve">), alinhando a métrica com a intuição econômica de ganho </w:t>
      </w:r>
      <w:r>
        <w:rPr>
          <w:i/>
          <w:iCs/>
          <w:sz w:val="24"/>
          <w:szCs w:val="24"/>
          <w:lang w:val="pt-BR" w:eastAsia="pt-BR"/>
        </w:rPr>
        <w:t>versus</w:t>
      </w:r>
      <w:r>
        <w:rPr>
          <w:sz w:val="24"/>
          <w:szCs w:val="24"/>
          <w:lang w:val="pt-BR" w:eastAsia="pt-BR"/>
        </w:rPr>
        <w:t xml:space="preserve"> dor.</w:t>
      </w:r>
    </w:p>
    <w:p w14:paraId="0D7C10F2" w14:textId="77777777" w:rsidR="0033641B" w:rsidRPr="00180F64" w:rsidRDefault="0033641B" w:rsidP="0033641B">
      <w:pPr>
        <w:rPr>
          <w:sz w:val="24"/>
          <w:szCs w:val="24"/>
          <w:lang w:val="pt-BR" w:eastAsia="pt-BR"/>
        </w:rPr>
      </w:pPr>
    </w:p>
    <w:p w14:paraId="6BA2BB53" w14:textId="77777777" w:rsidR="0033641B" w:rsidRPr="00344120" w:rsidRDefault="00344120" w:rsidP="003F1C11">
      <w:pPr>
        <w:pStyle w:val="PargrafodaLista"/>
        <w:widowControl/>
        <w:numPr>
          <w:ilvl w:val="2"/>
          <w:numId w:val="32"/>
        </w:numPr>
        <w:autoSpaceDE/>
        <w:autoSpaceDN/>
        <w:spacing w:line="360" w:lineRule="auto"/>
        <w:jc w:val="both"/>
        <w:outlineLvl w:val="2"/>
        <w:rPr>
          <w:sz w:val="24"/>
          <w:szCs w:val="24"/>
          <w:lang w:val="pt-BR" w:eastAsia="pt-BR"/>
        </w:rPr>
      </w:pPr>
      <w:bookmarkStart w:id="60" w:name="_Toc230857028"/>
      <w:r>
        <w:rPr>
          <w:sz w:val="24"/>
          <w:szCs w:val="24"/>
          <w:lang w:val="pt-BR" w:eastAsia="pt-BR"/>
        </w:rPr>
        <w:t>O Índice Kappa: A Generalização Unificadora</w:t>
      </w:r>
      <w:bookmarkEnd w:id="60"/>
      <w:r>
        <w:rPr>
          <w:sz w:val="24"/>
          <w:szCs w:val="24"/>
          <w:lang w:val="pt-BR" w:eastAsia="pt-BR"/>
        </w:rPr>
        <w:t xml:space="preserve"> </w:t>
      </w:r>
    </w:p>
    <w:p w14:paraId="5CF94DD2"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632B5611"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Pr>
          <w:sz w:val="24"/>
          <w:szCs w:val="24"/>
          <w:lang w:val="pt-BR" w:eastAsia="pt-BR"/>
        </w:rPr>
        <w:t xml:space="preserve"> como uma medida generalizada que unifica o Sortino e o Omega sob uma única estrutura matemática baseada em LPMs.</w:t>
      </w:r>
    </w:p>
    <w:p w14:paraId="1091AFC8" w14:textId="77777777"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40114AD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elegância do Kappa reside na sua capacidade de recuperar as outras métricas através do ajuste do parâmetro </w:t>
      </w:r>
      <m:oMath>
        <m:r>
          <w:rPr>
            <w:rFonts w:ascii="Cambria Math" w:hAnsi="Cambria Math"/>
            <w:sz w:val="24"/>
            <w:szCs w:val="24"/>
            <w:lang w:val="pt-BR" w:eastAsia="pt-BR"/>
          </w:rPr>
          <m:t>(n)</m:t>
        </m:r>
      </m:oMath>
      <w:r>
        <w:rPr>
          <w:sz w:val="24"/>
          <w:szCs w:val="24"/>
          <w:lang w:val="pt-BR" w:eastAsia="pt-BR"/>
        </w:rPr>
        <w:t>:</w:t>
      </w:r>
    </w:p>
    <w:p w14:paraId="727038D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n=1</m:t>
        </m:r>
      </m:oMath>
      <w:r>
        <w:rPr>
          <w:sz w:val="24"/>
          <w:szCs w:val="24"/>
          <w:lang w:val="pt-BR" w:eastAsia="pt-BR"/>
        </w:rPr>
        <w:t xml:space="preserve">, o Kappa é funcionalmente equivalente ao </w:t>
      </w:r>
      <w:r>
        <w:rPr>
          <w:b/>
          <w:bCs/>
          <w:sz w:val="24"/>
          <w:szCs w:val="24"/>
          <w:lang w:val="pt-BR" w:eastAsia="pt-BR"/>
        </w:rPr>
        <w:t>Índice Omega</w:t>
      </w:r>
      <w:r>
        <w:rPr>
          <w:sz w:val="24"/>
          <w:szCs w:val="24"/>
          <w:lang w:val="pt-BR" w:eastAsia="pt-BR"/>
        </w:rPr>
        <w:t xml:space="preserve"> (ranking idêntico).</w:t>
      </w:r>
    </w:p>
    <w:p w14:paraId="5641BF83"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Quando </w:t>
      </w:r>
      <m:oMath>
        <m:r>
          <w:rPr>
            <w:rFonts w:ascii="Cambria Math" w:hAnsi="Cambria Math"/>
            <w:sz w:val="24"/>
            <w:szCs w:val="24"/>
            <w:lang w:val="pt-BR" w:eastAsia="pt-BR"/>
          </w:rPr>
          <m:t>n=2</m:t>
        </m:r>
      </m:oMath>
      <w:r>
        <w:rPr>
          <w:sz w:val="24"/>
          <w:szCs w:val="24"/>
          <w:lang w:val="pt-BR" w:eastAsia="pt-BR"/>
        </w:rPr>
        <w:t xml:space="preserve">, o Kappa torna-se o </w:t>
      </w:r>
      <w:r>
        <w:rPr>
          <w:b/>
          <w:bCs/>
          <w:sz w:val="24"/>
          <w:szCs w:val="24"/>
          <w:lang w:val="pt-BR" w:eastAsia="pt-BR"/>
        </w:rPr>
        <w:t>Índice de Sortino</w:t>
      </w:r>
      <w:r>
        <w:rPr>
          <w:sz w:val="24"/>
          <w:szCs w:val="24"/>
          <w:lang w:val="pt-BR" w:eastAsia="pt-BR"/>
        </w:rPr>
        <w:t>.</w:t>
      </w:r>
    </w:p>
    <w:p w14:paraId="335CE6F9" w14:textId="77777777" w:rsidR="00443833" w:rsidRPr="00443833" w:rsidRDefault="00443833" w:rsidP="003F1C11">
      <w:pPr>
        <w:widowControl/>
        <w:numPr>
          <w:ilvl w:val="0"/>
          <w:numId w:val="27"/>
        </w:numPr>
        <w:autoSpaceDE/>
        <w:autoSpaceDN/>
        <w:spacing w:line="360" w:lineRule="auto"/>
        <w:jc w:val="both"/>
        <w:rPr>
          <w:sz w:val="24"/>
          <w:szCs w:val="24"/>
          <w:lang w:val="pt-BR" w:eastAsia="pt-BR"/>
        </w:rPr>
      </w:pPr>
      <w:r>
        <w:rPr>
          <w:sz w:val="24"/>
          <w:szCs w:val="24"/>
          <w:lang w:val="pt-BR" w:eastAsia="pt-BR"/>
        </w:rPr>
        <w:t xml:space="preserve">Para </w:t>
      </w:r>
      <m:oMath>
        <m:r>
          <w:rPr>
            <w:rFonts w:ascii="Cambria Math" w:hAnsi="Cambria Math"/>
            <w:sz w:val="24"/>
            <w:szCs w:val="24"/>
            <w:lang w:val="pt-BR" w:eastAsia="pt-BR"/>
          </w:rPr>
          <m:t>n=3</m:t>
        </m:r>
      </m:oMath>
      <w:r>
        <w:rPr>
          <w:sz w:val="24"/>
          <w:szCs w:val="24"/>
          <w:lang w:val="pt-BR" w:eastAsia="pt-BR"/>
        </w:rPr>
        <w:t xml:space="preserve"> ou superior, o Kappa penaliza severamente a curtose e riscos extremos de cauda.</w:t>
      </w:r>
    </w:p>
    <w:p w14:paraId="0E15A4E5"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Pr>
          <w:sz w:val="24"/>
          <w:szCs w:val="24"/>
          <w:lang w:val="pt-BR" w:eastAsia="pt-BR"/>
        </w:rPr>
        <w:t xml:space="preserve"> (Omega) seria ideal.</w:t>
      </w:r>
    </w:p>
    <w:p w14:paraId="6F638EC6" w14:textId="77777777" w:rsidR="00344120" w:rsidRPr="00180F64" w:rsidRDefault="00344120" w:rsidP="00344120">
      <w:pPr>
        <w:rPr>
          <w:sz w:val="24"/>
          <w:szCs w:val="24"/>
          <w:lang w:val="pt-BR" w:eastAsia="pt-BR"/>
        </w:rPr>
      </w:pPr>
    </w:p>
    <w:p w14:paraId="59693ADD" w14:textId="77777777" w:rsidR="00443833" w:rsidRPr="00443833" w:rsidRDefault="00344120" w:rsidP="003F1C11">
      <w:pPr>
        <w:pStyle w:val="PargrafodaLista"/>
        <w:widowControl/>
        <w:numPr>
          <w:ilvl w:val="1"/>
          <w:numId w:val="32"/>
        </w:numPr>
        <w:autoSpaceDE/>
        <w:autoSpaceDN/>
        <w:spacing w:line="360" w:lineRule="auto"/>
        <w:jc w:val="both"/>
        <w:outlineLvl w:val="1"/>
        <w:rPr>
          <w:b/>
          <w:bCs/>
          <w:sz w:val="24"/>
          <w:szCs w:val="24"/>
          <w:lang w:val="pt-BR" w:eastAsia="pt-BR"/>
        </w:rPr>
      </w:pPr>
      <w:bookmarkStart w:id="61" w:name="_Toc230857029"/>
      <w:r>
        <w:rPr>
          <w:b/>
          <w:bCs/>
          <w:sz w:val="24"/>
          <w:szCs w:val="24"/>
          <w:lang w:val="pt-BR" w:eastAsia="pt-BR"/>
        </w:rPr>
        <w:t>Fronteiras Eficientes: A Geometria da Assimetria</w:t>
      </w:r>
      <w:bookmarkEnd w:id="61"/>
      <w:r>
        <w:rPr>
          <w:sz w:val="24"/>
          <w:szCs w:val="24"/>
          <w:lang w:val="pt-BR" w:eastAsia="pt-BR"/>
        </w:rPr>
        <w:t xml:space="preserve"> </w:t>
      </w:r>
    </w:p>
    <w:p w14:paraId="350410B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80233EA"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retorno-CVaR) pode assumir formas irregulares e não-suaves, especialmente quando composta por ativos com distribuições heterogêneas (mistura de ativos normais e não-normais).</w:t>
      </w:r>
      <w:r>
        <w:rPr>
          <w:sz w:val="24"/>
          <w:szCs w:val="24"/>
          <w:vertAlign w:val="superscript"/>
          <w:lang w:val="pt-BR" w:eastAsia="pt-BR"/>
        </w:rPr>
        <w:t>43</w:t>
      </w:r>
    </w:p>
    <w:p w14:paraId="078E8662"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r>
        <w:rPr>
          <w:i/>
          <w:iCs/>
          <w:sz w:val="24"/>
          <w:szCs w:val="24"/>
          <w:lang w:val="pt-BR" w:eastAsia="pt-BR"/>
        </w:rPr>
        <w:t>drawdowns</w:t>
      </w:r>
      <w:r>
        <w:rPr>
          <w:sz w:val="24"/>
          <w:szCs w:val="24"/>
          <w:lang w:val="pt-BR" w:eastAsia="pt-BR"/>
        </w:rPr>
        <w:t xml:space="preserve"> severos do que a otimização via MPT, dado o perfil extremamente leptocúrtico desses ativos.</w:t>
      </w:r>
    </w:p>
    <w:p w14:paraId="01C60026" w14:textId="77777777" w:rsidR="00B84615" w:rsidRPr="00180F64" w:rsidRDefault="00B84615" w:rsidP="00B84615">
      <w:pPr>
        <w:rPr>
          <w:sz w:val="24"/>
          <w:szCs w:val="24"/>
          <w:lang w:val="pt-BR" w:eastAsia="pt-BR"/>
        </w:rPr>
      </w:pPr>
    </w:p>
    <w:p w14:paraId="24005B2B" w14:textId="77777777" w:rsidR="00B84615" w:rsidRPr="00344120" w:rsidRDefault="00B84615" w:rsidP="003F1C11">
      <w:pPr>
        <w:pStyle w:val="PargrafodaLista"/>
        <w:widowControl/>
        <w:numPr>
          <w:ilvl w:val="1"/>
          <w:numId w:val="32"/>
        </w:numPr>
        <w:autoSpaceDE/>
        <w:autoSpaceDN/>
        <w:spacing w:line="360" w:lineRule="auto"/>
        <w:jc w:val="both"/>
        <w:outlineLvl w:val="1"/>
        <w:rPr>
          <w:sz w:val="24"/>
          <w:szCs w:val="24"/>
          <w:lang w:val="pt-BR" w:eastAsia="pt-BR"/>
        </w:rPr>
      </w:pPr>
      <w:bookmarkStart w:id="62" w:name="_Toc230857030"/>
      <w:r>
        <w:rPr>
          <w:b/>
          <w:bCs/>
          <w:sz w:val="24"/>
          <w:szCs w:val="24"/>
          <w:lang w:val="pt-BR" w:eastAsia="pt-BR"/>
        </w:rPr>
        <w:t>Avanços Recentes e Integração com Machine Learning (2024-2025)</w:t>
      </w:r>
      <w:bookmarkEnd w:id="62"/>
    </w:p>
    <w:p w14:paraId="3CB63E4A"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807A2B"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Pr>
          <w:b/>
          <w:bCs/>
          <w:sz w:val="24"/>
          <w:szCs w:val="24"/>
          <w:lang w:val="pt-BR" w:eastAsia="pt-BR"/>
        </w:rPr>
        <w:t>Machine Learning</w:t>
      </w:r>
      <w:r>
        <w:rPr>
          <w:sz w:val="24"/>
          <w:szCs w:val="24"/>
          <w:lang w:val="pt-BR" w:eastAsia="pt-BR"/>
        </w:rPr>
        <w:t>, como fatores de momentum, para estimar dinamicamente os Momentos Parciais Inferiores e otimizar portfólios.</w:t>
      </w:r>
    </w:p>
    <w:p w14:paraId="79DBA2ED"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Ao contrário dos modelos estáticos tradicionais que dependem de dados históricos passados, modelos híbridos (PMPT + ML) conseguem prever mudanças nos regimes de volatilidade e na forma das caudas (</w:t>
      </w:r>
      <w:r>
        <w:rPr>
          <w:i/>
          <w:iCs/>
          <w:sz w:val="24"/>
          <w:szCs w:val="24"/>
          <w:lang w:val="pt-BR" w:eastAsia="pt-BR"/>
        </w:rPr>
        <w:t>tail risk forecasting</w:t>
      </w:r>
      <w:r>
        <w:rPr>
          <w:sz w:val="24"/>
          <w:szCs w:val="24"/>
          <w:lang w:val="pt-BR" w:eastAsia="pt-BR"/>
        </w:rPr>
        <w:t xml:space="preserve">), ajustando as alocações em tempo real para minimizar o CVaR futuro. Essa abordagem, denominada "Otimização Robusta Dinâmica", supera as limitações da MPT e da PMPT clássica, oferecendo resultados superiores em </w:t>
      </w:r>
      <w:r>
        <w:rPr>
          <w:i/>
          <w:iCs/>
          <w:sz w:val="24"/>
          <w:szCs w:val="24"/>
          <w:lang w:val="pt-BR" w:eastAsia="pt-BR"/>
        </w:rPr>
        <w:t>backtests</w:t>
      </w:r>
      <w:r>
        <w:rPr>
          <w:sz w:val="24"/>
          <w:szCs w:val="24"/>
          <w:lang w:val="pt-BR" w:eastAsia="pt-BR"/>
        </w:rPr>
        <w:t xml:space="preserve"> e aplicações reais, especialmente em mercados voláteis e durante transições de regime econômico.</w:t>
      </w:r>
    </w:p>
    <w:p w14:paraId="7A066018"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lastRenderedPageBreak/>
        <w:t>Além disso, a PMPT tem sido fundamental na integração de critérios ESG (</w:t>
      </w:r>
      <w:r>
        <w:rPr>
          <w:i/>
          <w:iCs/>
          <w:sz w:val="24"/>
          <w:szCs w:val="24"/>
          <w:lang w:val="pt-BR" w:eastAsia="pt-BR"/>
        </w:rPr>
        <w:t>Environmental, Social, and Governance</w:t>
      </w:r>
      <w:r>
        <w:rPr>
          <w:sz w:val="24"/>
          <w:szCs w:val="24"/>
          <w:lang w:val="pt-BR" w:eastAsia="pt-BR"/>
        </w:rPr>
        <w:t xml:space="preserve">) na gestão de portfólios. Estudos recentes sugerem que o uso de métricas de </w:t>
      </w:r>
      <w:r>
        <w:rPr>
          <w:i/>
          <w:iCs/>
          <w:sz w:val="24"/>
          <w:szCs w:val="24"/>
          <w:lang w:val="pt-BR" w:eastAsia="pt-BR"/>
        </w:rPr>
        <w:t>downside risk</w:t>
      </w:r>
      <w:r>
        <w:rPr>
          <w:sz w:val="24"/>
          <w:szCs w:val="24"/>
          <w:lang w:val="pt-BR" w:eastAsia="pt-BR"/>
        </w:rPr>
        <w:t xml:space="preserve"> como o Índice de Sortino revela melhor o perfil de risco ajustado de empresas com altas pontuações ESG, que tendem a ter menor risco de cauda (menor risco reputacional e regulatório) do que empresas convencionais, algo que o Índice de Sharpe muitas vezes falha em capturar.</w:t>
      </w:r>
    </w:p>
    <w:p w14:paraId="61A17E9D" w14:textId="77777777" w:rsidR="00CF7560" w:rsidRPr="00180F64" w:rsidRDefault="00CF7560" w:rsidP="00CF7560">
      <w:pPr>
        <w:rPr>
          <w:sz w:val="24"/>
          <w:szCs w:val="24"/>
          <w:lang w:val="pt-BR" w:eastAsia="pt-BR"/>
        </w:rPr>
      </w:pPr>
    </w:p>
    <w:p w14:paraId="0B833DA8" w14:textId="77777777" w:rsidR="00CF7560" w:rsidRPr="00344120" w:rsidRDefault="00CF7560" w:rsidP="003F1C11">
      <w:pPr>
        <w:pStyle w:val="PargrafodaLista"/>
        <w:widowControl/>
        <w:numPr>
          <w:ilvl w:val="1"/>
          <w:numId w:val="32"/>
        </w:numPr>
        <w:autoSpaceDE/>
        <w:autoSpaceDN/>
        <w:spacing w:line="360" w:lineRule="auto"/>
        <w:jc w:val="both"/>
        <w:outlineLvl w:val="1"/>
        <w:rPr>
          <w:sz w:val="24"/>
          <w:szCs w:val="24"/>
          <w:lang w:val="pt-BR" w:eastAsia="pt-BR"/>
        </w:rPr>
      </w:pPr>
      <w:bookmarkStart w:id="63" w:name="_Toc230857031"/>
      <w:r>
        <w:rPr>
          <w:b/>
          <w:bCs/>
          <w:sz w:val="24"/>
          <w:szCs w:val="24"/>
          <w:lang w:val="pt-BR" w:eastAsia="pt-BR"/>
        </w:rPr>
        <w:t>Conclusão</w:t>
      </w:r>
      <w:bookmarkEnd w:id="63"/>
      <w:r>
        <w:rPr>
          <w:b/>
          <w:bCs/>
          <w:sz w:val="24"/>
          <w:szCs w:val="24"/>
          <w:lang w:val="pt-BR" w:eastAsia="pt-BR"/>
        </w:rPr>
        <w:t xml:space="preserve"> </w:t>
      </w:r>
    </w:p>
    <w:p w14:paraId="44E109B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083F3184" w14:textId="77777777" w:rsidR="00443833" w:rsidRPr="00443833" w:rsidRDefault="00443833" w:rsidP="00443833">
      <w:pPr>
        <w:widowControl/>
        <w:autoSpaceDE/>
        <w:autoSpaceDN/>
        <w:spacing w:line="360" w:lineRule="auto"/>
        <w:ind w:firstLine="851"/>
        <w:jc w:val="both"/>
        <w:rPr>
          <w:sz w:val="24"/>
          <w:szCs w:val="24"/>
          <w:lang w:val="pt-BR" w:eastAsia="pt-BR"/>
        </w:rPr>
      </w:pPr>
      <w:r>
        <w:rPr>
          <w:sz w:val="24"/>
          <w:szCs w:val="24"/>
          <w:lang w:val="pt-BR" w:eastAsia="pt-BR"/>
        </w:rPr>
        <w:t>A Teoria Pós-Moderna do Portfólio representa a maturidade da gestão de investimentos quantitativa. Ao rejeitar a simplificação excessiva da normalidade e abraçar a complexidade assimétrica dos mercados e da psicologia humana, a PMPT oferece ferramentas — LPM, CVaR, Sortino, Omega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7B5B3B9D" w14:textId="77777777" w:rsidR="008C1690" w:rsidRDefault="008C1690">
      <w:pPr>
        <w:rPr>
          <w:sz w:val="24"/>
          <w:szCs w:val="24"/>
          <w:lang w:val="pt-BR" w:eastAsia="pt-BR"/>
        </w:rPr>
      </w:pPr>
      <w:r>
        <w:rPr>
          <w:sz w:val="24"/>
          <w:szCs w:val="24"/>
          <w:lang w:val="pt-BR" w:eastAsia="pt-BR"/>
        </w:rPr>
        <w:br w:type="page"/>
      </w:r>
    </w:p>
    <w:p w14:paraId="760AEBB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C02E604"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63EE306" w14:textId="73DE4A08" w:rsidR="008C1690" w:rsidRPr="008C1690" w:rsidRDefault="008C1690" w:rsidP="008C1690">
      <w:pPr>
        <w:pStyle w:val="Legenda"/>
        <w:keepNext/>
        <w:jc w:val="center"/>
        <w:rPr>
          <w:rFonts w:ascii="Times New Roman" w:hAnsi="Times New Roman" w:cs="Times New Roman"/>
          <w:i w:val="0"/>
          <w:color w:val="auto"/>
          <w:sz w:val="24"/>
        </w:rPr>
      </w:pPr>
      <w:bookmarkStart w:id="64" w:name="_Toc230853329"/>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3</w:t>
      </w:r>
      <w:r>
        <w:rPr>
          <w:rFonts w:ascii="Times New Roman" w:hAnsi="Times New Roman" w:cs="Times New Roman"/>
          <w:i w:val="0"/>
          <w:color w:val="auto"/>
          <w:sz w:val="24"/>
        </w:rPr>
        <w:fldChar w:fldCharType="end"/>
        <w:t xml:space="preserve"> -  Resumo Analítico dos Indicadores de Desempenho (MPT vs. PMPT)</w:t>
      </w:r>
      <w:bookmarkEnd w:id="64"/>
    </w:p>
    <w:tbl>
      <w:tblPr>
        <w:tblW w:w="9311" w:type="dxa"/>
        <w:jc w:val="center"/>
        <w:tblCellMar>
          <w:top w:w="15" w:type="dxa"/>
          <w:left w:w="15" w:type="dxa"/>
          <w:bottom w:w="15" w:type="dxa"/>
          <w:right w:w="15" w:type="dxa"/>
        </w:tblCellMar>
        <w:tblLook w:val="04A0" w:firstRow="1" w:lastRow="0" w:firstColumn="1" w:lastColumn="0" w:noHBand="0" w:noVBand="1"/>
      </w:tblPr>
      <w:tblGrid>
        <w:gridCol w:w="1192"/>
        <w:gridCol w:w="1674"/>
        <w:gridCol w:w="2462"/>
        <w:gridCol w:w="1943"/>
        <w:gridCol w:w="2040"/>
      </w:tblGrid>
      <w:tr w:rsidR="00732FCA" w:rsidRPr="00443833" w14:paraId="5C41BA0A" w14:textId="77777777" w:rsidTr="008C1690">
        <w:trPr>
          <w:trHeight w:val="770"/>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98202B" w14:textId="77777777" w:rsidR="00443833" w:rsidRPr="003522ED" w:rsidRDefault="00443833" w:rsidP="003522ED">
            <w:pPr>
              <w:widowControl/>
              <w:autoSpaceDE/>
              <w:autoSpaceDN/>
              <w:spacing w:line="360" w:lineRule="auto"/>
              <w:jc w:val="both"/>
              <w:rPr>
                <w:lang w:val="pt-BR" w:eastAsia="pt-BR"/>
              </w:rPr>
            </w:pPr>
            <w:r>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6D3EE" w14:textId="77777777" w:rsidR="00443833" w:rsidRPr="003522ED" w:rsidRDefault="00443833" w:rsidP="003522ED">
            <w:pPr>
              <w:widowControl/>
              <w:autoSpaceDE/>
              <w:autoSpaceDN/>
              <w:spacing w:line="360" w:lineRule="auto"/>
              <w:jc w:val="both"/>
              <w:rPr>
                <w:lang w:val="pt-BR" w:eastAsia="pt-BR"/>
              </w:rPr>
            </w:pPr>
            <w:r>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CD4825" w14:textId="77777777" w:rsidR="00443833" w:rsidRPr="003522ED" w:rsidRDefault="00443833" w:rsidP="003522ED">
            <w:pPr>
              <w:widowControl/>
              <w:autoSpaceDE/>
              <w:autoSpaceDN/>
              <w:spacing w:line="360" w:lineRule="auto"/>
              <w:jc w:val="both"/>
              <w:rPr>
                <w:lang w:val="pt-BR" w:eastAsia="pt-BR"/>
              </w:rPr>
            </w:pPr>
            <w:r>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55A8DB" w14:textId="77777777" w:rsidR="00443833" w:rsidRPr="003522ED" w:rsidRDefault="00443833" w:rsidP="003522ED">
            <w:pPr>
              <w:widowControl/>
              <w:autoSpaceDE/>
              <w:autoSpaceDN/>
              <w:spacing w:line="360" w:lineRule="auto"/>
              <w:jc w:val="both"/>
              <w:rPr>
                <w:lang w:val="pt-BR" w:eastAsia="pt-BR"/>
              </w:rPr>
            </w:pPr>
            <w:r>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BA551" w14:textId="77777777" w:rsidR="00443833" w:rsidRPr="003522ED" w:rsidRDefault="00443833" w:rsidP="003522ED">
            <w:pPr>
              <w:widowControl/>
              <w:autoSpaceDE/>
              <w:autoSpaceDN/>
              <w:spacing w:line="360" w:lineRule="auto"/>
              <w:jc w:val="both"/>
              <w:rPr>
                <w:lang w:val="pt-BR" w:eastAsia="pt-BR"/>
              </w:rPr>
            </w:pPr>
            <w:r>
              <w:rPr>
                <w:b/>
                <w:bCs/>
                <w:lang w:val="pt-BR" w:eastAsia="pt-BR"/>
              </w:rPr>
              <w:t>Principal Aplicação</w:t>
            </w:r>
          </w:p>
        </w:tc>
      </w:tr>
      <w:tr w:rsidR="00732FCA" w:rsidRPr="00443833" w14:paraId="1DAF613B"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8AF283" w14:textId="77777777" w:rsidR="00443833" w:rsidRPr="00443833" w:rsidRDefault="00443833" w:rsidP="003522ED">
            <w:pPr>
              <w:widowControl/>
              <w:autoSpaceDE/>
              <w:autoSpaceDN/>
              <w:spacing w:line="360" w:lineRule="auto"/>
              <w:jc w:val="both"/>
              <w:rPr>
                <w:sz w:val="24"/>
                <w:szCs w:val="24"/>
                <w:lang w:val="pt-BR" w:eastAsia="pt-BR"/>
              </w:rPr>
            </w:pPr>
            <w:r>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68679"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1A59A" w14:textId="77777777"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9AD006"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2B502B" w14:textId="77777777" w:rsidR="00443833" w:rsidRPr="00443833" w:rsidRDefault="00443833" w:rsidP="003522ED">
            <w:pPr>
              <w:widowControl/>
              <w:autoSpaceDE/>
              <w:autoSpaceDN/>
              <w:spacing w:line="360" w:lineRule="auto"/>
              <w:jc w:val="both"/>
              <w:rPr>
                <w:sz w:val="24"/>
                <w:szCs w:val="24"/>
                <w:lang w:val="pt-BR" w:eastAsia="pt-BR"/>
              </w:rPr>
            </w:pPr>
            <w:r>
              <w:rPr>
                <w:sz w:val="24"/>
                <w:szCs w:val="24"/>
                <w:lang w:val="pt-BR" w:eastAsia="pt-BR"/>
              </w:rPr>
              <w:t>Ativos tradicionais, Benchmark relativo</w:t>
            </w:r>
          </w:p>
        </w:tc>
      </w:tr>
      <w:tr w:rsidR="00732FCA" w:rsidRPr="00443833" w14:paraId="24674312" w14:textId="77777777" w:rsidTr="008C1690">
        <w:trPr>
          <w:trHeight w:val="1254"/>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1E594" w14:textId="77777777" w:rsidR="00732FCA" w:rsidRPr="00443833" w:rsidRDefault="00732FCA" w:rsidP="00732FCA">
            <w:pPr>
              <w:widowControl/>
              <w:autoSpaceDE/>
              <w:autoSpaceDN/>
              <w:spacing w:line="360" w:lineRule="auto"/>
              <w:jc w:val="both"/>
              <w:rPr>
                <w:sz w:val="24"/>
                <w:szCs w:val="24"/>
                <w:lang w:val="pt-BR" w:eastAsia="pt-BR"/>
              </w:rPr>
            </w:pPr>
            <w:r>
              <w:rPr>
                <w:b/>
                <w:bCs/>
                <w:sz w:val="24"/>
                <w:szCs w:val="24"/>
                <w:lang w:val="pt-BR" w:eastAsia="pt-BR"/>
              </w:rPr>
              <w:t>Sortino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41541A"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4454AB" w14:textId="7777777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70FB31"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Média (Foca no Downside)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13CD2" w14:textId="77777777" w:rsidR="00732FCA" w:rsidRPr="00443833" w:rsidRDefault="00732FCA" w:rsidP="00732FCA">
            <w:pPr>
              <w:widowControl/>
              <w:autoSpaceDE/>
              <w:autoSpaceDN/>
              <w:spacing w:line="360" w:lineRule="auto"/>
              <w:jc w:val="both"/>
              <w:rPr>
                <w:sz w:val="24"/>
                <w:szCs w:val="24"/>
                <w:lang w:val="pt-BR" w:eastAsia="pt-BR"/>
              </w:rPr>
            </w:pPr>
            <w:r>
              <w:rPr>
                <w:sz w:val="24"/>
                <w:szCs w:val="24"/>
                <w:lang w:val="pt-BR" w:eastAsia="pt-BR"/>
              </w:rPr>
              <w:t>Fundos Assimétricos, Hedge Funds</w:t>
            </w:r>
          </w:p>
        </w:tc>
      </w:tr>
      <w:tr w:rsidR="005275CA" w:rsidRPr="00443833" w14:paraId="7C7AD59D" w14:textId="77777777" w:rsidTr="008C1690">
        <w:trPr>
          <w:trHeight w:val="1661"/>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84C9E7"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Omega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427DE2"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40E35"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01EF8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FEE6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Derivativos, Cripto, Private Equity</w:t>
            </w:r>
          </w:p>
        </w:tc>
      </w:tr>
      <w:tr w:rsidR="005275CA" w:rsidRPr="00443833" w14:paraId="592A8ABD" w14:textId="77777777" w:rsidTr="008C1690">
        <w:trPr>
          <w:trHeight w:val="1677"/>
          <w:jc w:val="center"/>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1D835" w14:textId="77777777" w:rsidR="005275CA" w:rsidRPr="00443833" w:rsidRDefault="005275CA" w:rsidP="005275CA">
            <w:pPr>
              <w:widowControl/>
              <w:autoSpaceDE/>
              <w:autoSpaceDN/>
              <w:spacing w:line="360" w:lineRule="auto"/>
              <w:jc w:val="both"/>
              <w:rPr>
                <w:sz w:val="24"/>
                <w:szCs w:val="24"/>
                <w:lang w:val="pt-BR" w:eastAsia="pt-BR"/>
              </w:rPr>
            </w:pPr>
            <w:r>
              <w:rPr>
                <w:b/>
                <w:bCs/>
                <w:sz w:val="24"/>
                <w:szCs w:val="24"/>
                <w:lang w:val="pt-BR" w:eastAsia="pt-BR"/>
              </w:rPr>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01995"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24909" w14:textId="77777777"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48CB4B"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ABBACF" w14:textId="77777777" w:rsidR="005275CA" w:rsidRPr="00443833" w:rsidRDefault="005275CA" w:rsidP="005275CA">
            <w:pPr>
              <w:widowControl/>
              <w:autoSpaceDE/>
              <w:autoSpaceDN/>
              <w:spacing w:line="360" w:lineRule="auto"/>
              <w:jc w:val="both"/>
              <w:rPr>
                <w:sz w:val="24"/>
                <w:szCs w:val="24"/>
                <w:lang w:val="pt-BR" w:eastAsia="pt-BR"/>
              </w:rPr>
            </w:pPr>
            <w:r>
              <w:rPr>
                <w:sz w:val="24"/>
                <w:szCs w:val="24"/>
                <w:lang w:val="pt-BR" w:eastAsia="pt-BR"/>
              </w:rPr>
              <w:t>Gestão de Risco de Cauda, Seguros</w:t>
            </w:r>
          </w:p>
        </w:tc>
      </w:tr>
    </w:tbl>
    <w:p w14:paraId="501951F2" w14:textId="77777777" w:rsidR="00443833" w:rsidRDefault="00443833" w:rsidP="000063A1">
      <w:pPr>
        <w:widowControl/>
        <w:autoSpaceDE/>
        <w:autoSpaceDN/>
        <w:spacing w:line="360" w:lineRule="auto"/>
        <w:ind w:firstLine="851"/>
        <w:jc w:val="both"/>
        <w:rPr>
          <w:sz w:val="24"/>
          <w:szCs w:val="24"/>
        </w:rPr>
      </w:pPr>
      <w:r>
        <w:rPr>
          <w:sz w:val="24"/>
          <w:szCs w:val="24"/>
          <w:lang w:val="pt-BR" w:eastAsia="pt-BR"/>
        </w:rPr>
        <w:t>Fonte: Elaboração propria.</w:t>
      </w:r>
    </w:p>
    <w:p w14:paraId="76699038" w14:textId="77777777" w:rsidR="00684B6C" w:rsidRDefault="00684B6C">
      <w:pPr>
        <w:rPr>
          <w:sz w:val="24"/>
          <w:szCs w:val="24"/>
        </w:rPr>
      </w:pPr>
      <w:r>
        <w:rPr>
          <w:sz w:val="24"/>
          <w:szCs w:val="24"/>
        </w:rPr>
        <w:br w:type="page"/>
      </w:r>
    </w:p>
    <w:p w14:paraId="4ACEB658" w14:textId="77777777" w:rsidR="00132279" w:rsidRPr="00180F64" w:rsidRDefault="00132279" w:rsidP="00132279">
      <w:pPr>
        <w:rPr>
          <w:sz w:val="24"/>
          <w:szCs w:val="24"/>
          <w:lang w:val="pt-BR" w:eastAsia="pt-BR"/>
        </w:rPr>
      </w:pPr>
    </w:p>
    <w:p w14:paraId="77362D80" w14:textId="77777777" w:rsidR="00132279" w:rsidRPr="00344120" w:rsidRDefault="00132279" w:rsidP="003F1C11">
      <w:pPr>
        <w:pStyle w:val="PargrafodaLista"/>
        <w:widowControl/>
        <w:numPr>
          <w:ilvl w:val="1"/>
          <w:numId w:val="32"/>
        </w:numPr>
        <w:autoSpaceDE/>
        <w:autoSpaceDN/>
        <w:spacing w:line="360" w:lineRule="auto"/>
        <w:jc w:val="both"/>
        <w:outlineLvl w:val="1"/>
        <w:rPr>
          <w:sz w:val="24"/>
          <w:szCs w:val="24"/>
          <w:lang w:val="pt-BR" w:eastAsia="pt-BR"/>
        </w:rPr>
      </w:pPr>
      <w:bookmarkStart w:id="65" w:name="_Toc230857032"/>
      <w:r>
        <w:rPr>
          <w:b/>
          <w:bCs/>
          <w:sz w:val="24"/>
          <w:szCs w:val="24"/>
          <w:lang w:val="pt-BR"/>
        </w:rPr>
        <w:t>O Modelo de Black-Litterman: Uma Reconstrução Bayesiana da Alocação de Ativos</w:t>
      </w:r>
      <w:bookmarkEnd w:id="65"/>
      <w:r>
        <w:rPr>
          <w:b/>
          <w:bCs/>
          <w:sz w:val="24"/>
          <w:szCs w:val="24"/>
          <w:lang w:val="pt-BR" w:eastAsia="pt-BR"/>
        </w:rPr>
        <w:t xml:space="preserve"> </w:t>
      </w:r>
    </w:p>
    <w:p w14:paraId="747C780A" w14:textId="77777777" w:rsidR="009909F5" w:rsidRPr="009909F5" w:rsidRDefault="009909F5" w:rsidP="009909F5">
      <w:pPr>
        <w:rPr>
          <w:b/>
          <w:bCs/>
          <w:sz w:val="24"/>
          <w:szCs w:val="24"/>
          <w:lang w:val="pt-BR"/>
        </w:rPr>
      </w:pPr>
    </w:p>
    <w:p w14:paraId="6616113D" w14:textId="77777777" w:rsidR="00675050" w:rsidRDefault="009909F5" w:rsidP="00DD14C8">
      <w:pPr>
        <w:pStyle w:val="PargrafodaLista"/>
        <w:numPr>
          <w:ilvl w:val="2"/>
          <w:numId w:val="32"/>
        </w:numPr>
        <w:spacing w:line="360" w:lineRule="auto"/>
        <w:jc w:val="both"/>
        <w:outlineLvl w:val="2"/>
        <w:rPr>
          <w:sz w:val="24"/>
          <w:szCs w:val="24"/>
          <w:lang w:val="pt-BR"/>
        </w:rPr>
      </w:pPr>
      <w:bookmarkStart w:id="66" w:name="_Toc230857033"/>
      <w:r>
        <w:rPr>
          <w:sz w:val="24"/>
          <w:szCs w:val="24"/>
          <w:lang w:val="pt-BR"/>
        </w:rPr>
        <w:t>Introdução: A Gênese Histórica e a Motivação Teórica</w:t>
      </w:r>
      <w:bookmarkEnd w:id="66"/>
    </w:p>
    <w:p w14:paraId="77A049DE" w14:textId="77777777" w:rsidR="00DD14C8" w:rsidRPr="00DD14C8" w:rsidRDefault="00DD14C8" w:rsidP="00DD14C8">
      <w:pPr>
        <w:rPr>
          <w:sz w:val="24"/>
          <w:szCs w:val="24"/>
          <w:lang w:val="pt-BR"/>
        </w:rPr>
      </w:pPr>
    </w:p>
    <w:p w14:paraId="5B3EBB63" w14:textId="77777777" w:rsidR="00420633" w:rsidRDefault="00420633" w:rsidP="00184902">
      <w:pPr>
        <w:rPr>
          <w:sz w:val="24"/>
          <w:szCs w:val="24"/>
          <w:lang w:val="pt-BR"/>
        </w:rPr>
      </w:pPr>
    </w:p>
    <w:p w14:paraId="10A7BAFB" w14:textId="77777777" w:rsidR="00420633" w:rsidRPr="009909F5" w:rsidRDefault="00420633" w:rsidP="00420633">
      <w:pPr>
        <w:spacing w:line="360" w:lineRule="auto"/>
        <w:ind w:firstLine="851"/>
        <w:jc w:val="both"/>
        <w:rPr>
          <w:sz w:val="24"/>
          <w:szCs w:val="24"/>
          <w:lang w:val="pt-BR"/>
        </w:rPr>
      </w:pPr>
      <w:r>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Litterman, atuando na divisão de Gestão de Ativos da Goldman Sachs (GSAM), desenvolveram o Modelo Black-Litterman (BL).   </w:t>
      </w:r>
    </w:p>
    <w:p w14:paraId="0DBCE5E2" w14:textId="77777777" w:rsidR="00420633" w:rsidRPr="00420633" w:rsidRDefault="00420633" w:rsidP="00184902">
      <w:pPr>
        <w:rPr>
          <w:sz w:val="24"/>
          <w:szCs w:val="24"/>
          <w:lang w:val="pt-BR"/>
        </w:rPr>
      </w:pPr>
    </w:p>
    <w:p w14:paraId="22CBD982" w14:textId="77777777" w:rsidR="00420633" w:rsidRDefault="00420633" w:rsidP="003F1C11">
      <w:pPr>
        <w:pStyle w:val="PargrafodaLista"/>
        <w:numPr>
          <w:ilvl w:val="2"/>
          <w:numId w:val="32"/>
        </w:numPr>
        <w:spacing w:line="360" w:lineRule="auto"/>
        <w:jc w:val="both"/>
        <w:outlineLvl w:val="2"/>
        <w:rPr>
          <w:sz w:val="24"/>
          <w:szCs w:val="24"/>
          <w:lang w:val="pt-BR"/>
        </w:rPr>
      </w:pPr>
      <w:bookmarkStart w:id="67" w:name="_Toc230857034"/>
      <w:r>
        <w:rPr>
          <w:sz w:val="24"/>
          <w:szCs w:val="24"/>
          <w:lang w:val="pt-BR"/>
        </w:rPr>
        <w:t>O Contexto da Goldman Sachs e a Colaboração Black-Litterman</w:t>
      </w:r>
      <w:bookmarkEnd w:id="67"/>
    </w:p>
    <w:p w14:paraId="016411DE" w14:textId="77777777" w:rsidR="002618DD" w:rsidRPr="002618DD" w:rsidRDefault="002618DD" w:rsidP="002618DD">
      <w:pPr>
        <w:rPr>
          <w:sz w:val="24"/>
          <w:szCs w:val="24"/>
          <w:lang w:val="pt-BR"/>
        </w:rPr>
      </w:pPr>
    </w:p>
    <w:p w14:paraId="770E299E" w14:textId="77777777" w:rsidR="00D373EC" w:rsidRPr="009909F5" w:rsidRDefault="00D373EC" w:rsidP="00D373EC">
      <w:pPr>
        <w:rPr>
          <w:sz w:val="24"/>
          <w:szCs w:val="24"/>
          <w:lang w:val="pt-BR"/>
        </w:rPr>
      </w:pPr>
    </w:p>
    <w:p w14:paraId="755F8689"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Litterman, um econometrista renomado e então vice-presidente da divisão de pesquisa de Renda Fixa.   </w:t>
      </w:r>
    </w:p>
    <w:p w14:paraId="6CB92FFA" w14:textId="77777777" w:rsidR="00482DB8" w:rsidRPr="00482DB8" w:rsidRDefault="00482DB8" w:rsidP="00482DB8">
      <w:pPr>
        <w:spacing w:line="360" w:lineRule="auto"/>
        <w:ind w:firstLine="851"/>
        <w:jc w:val="both"/>
        <w:rPr>
          <w:sz w:val="24"/>
          <w:szCs w:val="24"/>
          <w:lang w:val="pt-BR"/>
        </w:rPr>
      </w:pPr>
      <w:r>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bonds) e moedas. No entanto, Black e Litterman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w:t>
        <w:lastRenderedPageBreak/>
        <w:t xml:space="preserve">— que, na prática, anulavam a inteligência matemática do otimizador. </w:t>
      </w:r>
    </w:p>
    <w:p w14:paraId="17726D8D" w14:textId="77777777" w:rsidR="009909F5" w:rsidRPr="00482DB8" w:rsidRDefault="00482DB8" w:rsidP="00482DB8">
      <w:pPr>
        <w:spacing w:line="360" w:lineRule="auto"/>
        <w:ind w:firstLine="851"/>
        <w:jc w:val="both"/>
        <w:rPr>
          <w:sz w:val="24"/>
          <w:szCs w:val="24"/>
          <w:lang w:val="pt-BR"/>
        </w:rPr>
      </w:pPr>
      <w:r>
        <w:rPr>
          <w:sz w:val="24"/>
          <w:szCs w:val="24"/>
          <w:lang w:val="pt-BR"/>
        </w:rPr>
        <w:t xml:space="preserve">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"Asset Allocation: Combining Investor Views with Market Equilibrium" no The Journal of Fixed Income (1991) e "Global Portfolio Optimization" no Financial Analysts Journal (1992). Estes trabalhos estabeleceram o modelo Black-Litterman (BL) não apenas como uma ferramenta proprietária da GSAM, mas como o novo padrão da indústria para a alocação de ativos, resolvendo o dilema da sensibilidade aos inputs.   </w:t>
      </w:r>
    </w:p>
    <w:p w14:paraId="1BE18B13" w14:textId="77777777" w:rsidR="00D373EC" w:rsidRPr="00D373EC" w:rsidRDefault="00D373EC" w:rsidP="00D373EC">
      <w:pPr>
        <w:rPr>
          <w:b/>
          <w:bCs/>
          <w:sz w:val="24"/>
          <w:szCs w:val="24"/>
          <w:lang w:val="pt-BR"/>
        </w:rPr>
      </w:pPr>
    </w:p>
    <w:p w14:paraId="36A10B01" w14:textId="77777777" w:rsidR="00D373EC" w:rsidRDefault="00164893" w:rsidP="003F1C11">
      <w:pPr>
        <w:pStyle w:val="PargrafodaLista"/>
        <w:numPr>
          <w:ilvl w:val="2"/>
          <w:numId w:val="32"/>
        </w:numPr>
        <w:spacing w:line="360" w:lineRule="auto"/>
        <w:jc w:val="both"/>
        <w:outlineLvl w:val="2"/>
        <w:rPr>
          <w:sz w:val="24"/>
          <w:szCs w:val="24"/>
          <w:lang w:val="pt-BR"/>
        </w:rPr>
      </w:pPr>
      <w:bookmarkStart w:id="68" w:name="_Toc230857035"/>
      <w:r>
        <w:rPr>
          <w:sz w:val="24"/>
          <w:szCs w:val="24"/>
        </w:rPr>
        <w:t>As Limitações da Média-Variância e a Gênese do Black-Litterman</w:t>
      </w:r>
      <w:bookmarkEnd w:id="68"/>
      <w:r>
        <w:rPr>
          <w:sz w:val="24"/>
          <w:szCs w:val="24"/>
          <w:lang w:val="pt-BR"/>
        </w:rPr>
        <w:t xml:space="preserve"> </w:t>
      </w:r>
    </w:p>
    <w:p w14:paraId="5B2FFA8E" w14:textId="77777777" w:rsidR="002618DD" w:rsidRPr="002618DD" w:rsidRDefault="002618DD" w:rsidP="002618DD">
      <w:pPr>
        <w:rPr>
          <w:sz w:val="24"/>
          <w:szCs w:val="24"/>
          <w:lang w:val="pt-BR"/>
        </w:rPr>
      </w:pPr>
    </w:p>
    <w:p w14:paraId="5AAC0794" w14:textId="77777777" w:rsidR="00D373EC" w:rsidRDefault="00D373EC" w:rsidP="00D373EC">
      <w:pPr>
        <w:rPr>
          <w:b/>
          <w:bCs/>
          <w:sz w:val="24"/>
          <w:szCs w:val="24"/>
          <w:lang w:val="pt-BR"/>
        </w:rPr>
      </w:pPr>
    </w:p>
    <w:p w14:paraId="14ABAB7C" w14:textId="77777777" w:rsidR="00164893" w:rsidRPr="00164893" w:rsidRDefault="00164893" w:rsidP="00164893">
      <w:pPr>
        <w:spacing w:line="360" w:lineRule="auto"/>
        <w:ind w:firstLine="851"/>
        <w:jc w:val="both"/>
        <w:rPr>
          <w:sz w:val="24"/>
          <w:szCs w:val="24"/>
          <w:lang w:val="pt-BR"/>
        </w:rPr>
      </w:pPr>
      <w:r>
        <w:rPr>
          <w:sz w:val="24"/>
          <w:szCs w:val="24"/>
          <w:lang w:val="pt-BR"/>
        </w:rPr>
        <w:t>Embora a Teoria Moderna do Portfólio (MPT) tenha estabelecido os fundamentos da diversificação, sua implementação prática via otimização de Média-Variância (MV) enfrenta desafios críticos. Conforme apontam Michaud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14:paraId="18DE6B0C" w14:textId="77777777" w:rsidR="0019550A" w:rsidRDefault="00164893" w:rsidP="00164893">
      <w:pPr>
        <w:spacing w:line="360" w:lineRule="auto"/>
        <w:ind w:firstLine="851"/>
        <w:jc w:val="both"/>
        <w:rPr>
          <w:b/>
          <w:bCs/>
          <w:sz w:val="24"/>
          <w:szCs w:val="24"/>
          <w:lang w:val="pt-BR"/>
        </w:rPr>
      </w:pPr>
      <w:r>
        <w:rPr>
          <w:sz w:val="24"/>
          <w:szCs w:val="24"/>
          <w:lang w:val="pt-BR"/>
        </w:rPr>
        <w:t>Em resposta a essas limitações, Black e Litterman (1990, 1992) propuseram um modelo que mitiga a sensibilidade aos erros de estimação e produz alocações mais estáveis e robustas. O Modelo Black-Litterman (BL) não substitui a otimização MV, mas aprimora a estimativa dos retornos esperados — o input mais volátil do processo — utilizando uma abordagem Bayesiana para combinar informações de mercado com expectativas específicas do investidor.</w:t>
      </w:r>
    </w:p>
    <w:p w14:paraId="27BD6B46" w14:textId="77777777" w:rsidR="0019550A" w:rsidRDefault="0019550A" w:rsidP="00D373EC">
      <w:pPr>
        <w:rPr>
          <w:b/>
          <w:bCs/>
          <w:sz w:val="24"/>
          <w:szCs w:val="24"/>
          <w:lang w:val="pt-BR"/>
        </w:rPr>
      </w:pPr>
    </w:p>
    <w:p w14:paraId="28C933F3" w14:textId="77777777" w:rsidR="00684B6C" w:rsidRPr="00DD14C8" w:rsidRDefault="008A2B9C" w:rsidP="00DD14C8">
      <w:pPr>
        <w:pStyle w:val="PargrafodaLista"/>
        <w:numPr>
          <w:ilvl w:val="2"/>
          <w:numId w:val="32"/>
        </w:numPr>
        <w:spacing w:line="360" w:lineRule="auto"/>
        <w:ind w:left="0" w:firstLine="0"/>
        <w:jc w:val="both"/>
        <w:outlineLvl w:val="2"/>
        <w:rPr>
          <w:bCs/>
          <w:sz w:val="24"/>
          <w:szCs w:val="24"/>
          <w:lang w:val="pt-BR"/>
        </w:rPr>
      </w:pPr>
      <w:bookmarkStart w:id="69" w:name="_Toc230857036"/>
      <w:r>
        <w:rPr>
          <w:bCs/>
          <w:sz w:val="24"/>
          <w:szCs w:val="24"/>
        </w:rPr>
        <w:t>A Estrutura Bayesiana: Prior, Visões e Posterior</w:t>
      </w:r>
      <w:bookmarkEnd w:id="69"/>
    </w:p>
    <w:p w14:paraId="49DAAABF" w14:textId="77777777" w:rsidR="00CB3C08" w:rsidRDefault="00CB3C08" w:rsidP="00CB3C08">
      <w:pPr>
        <w:rPr>
          <w:b/>
          <w:bCs/>
          <w:sz w:val="24"/>
          <w:szCs w:val="24"/>
          <w:lang w:val="pt-BR"/>
        </w:rPr>
      </w:pPr>
    </w:p>
    <w:p w14:paraId="64D54770" w14:textId="77777777" w:rsidR="00CB3C08" w:rsidRDefault="008A084C" w:rsidP="00CB3C08">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inferência Bayesiana.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w:t>
        <w:lastRenderedPageBreak/>
        <w:t>incorporar explicitamente a incerteza sobre a estimativa e atualizar essa crença à medida que novas informações (visões) se tornam disponíveis. A estrutura conceitual do BL segue o silogismo Bayesiano clássico: sendo que a inovação central do modelo BL reside na combinação de duas fontes distintas de informação para gerar um novo vetor de retornos esperados (distribuição Posterior), o Prior (Equilibrio de Mercado), as Visões (Views - Q) e a Incerteza (Ω):</w:t>
      </w:r>
    </w:p>
    <w:p w14:paraId="65227CA9" w14:textId="77777777" w:rsidR="007A6E93" w:rsidRPr="009C351D" w:rsidRDefault="007A6E93" w:rsidP="00CB3C08">
      <w:pPr>
        <w:spacing w:line="360" w:lineRule="auto"/>
        <w:ind w:firstLine="851"/>
        <w:jc w:val="both"/>
        <w:rPr>
          <w:sz w:val="24"/>
          <w:szCs w:val="24"/>
          <w:lang w:val="pt-BR"/>
        </w:rPr>
      </w:pPr>
    </w:p>
    <w:p w14:paraId="77154B97" w14:textId="77777777" w:rsidR="00CB3C08" w:rsidRPr="00CB3C08" w:rsidRDefault="00CB3C08"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Pr>
          <w:b/>
          <w:bCs/>
          <w:sz w:val="24"/>
          <w:szCs w:val="24"/>
          <w:lang w:val="pt-BR"/>
        </w:rPr>
        <w:t>Retornos de Equilíbrio Implícitos (Π)</w:t>
      </w:r>
      <w:r>
        <w:rPr>
          <w:sz w:val="24"/>
          <w:szCs w:val="24"/>
          <w:lang w:val="pt-BR"/>
        </w:rPr>
        <w:t xml:space="preserve"> a partir das capitalizações de mercado atuais. Esse vetor atua como um "centro de gravidade", garantindo que, na ausência de novas informações, a alocação ótima seja a carteira de mercado, evitando posições extremas.</w:t>
      </w:r>
    </w:p>
    <w:p w14:paraId="0701C4CA" w14:textId="77777777" w:rsidR="00CB3C08" w:rsidRDefault="00F5626B"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Likelihood, as Visões (Views - Q) e a Incerteza (Ω):</w:t>
      </w:r>
      <w:r>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69E72045" w14:textId="77777777" w:rsidR="00E03971" w:rsidRPr="00CB3C08" w:rsidRDefault="00E03971" w:rsidP="003F1C11">
      <w:pPr>
        <w:pStyle w:val="PargrafodaLista"/>
        <w:numPr>
          <w:ilvl w:val="0"/>
          <w:numId w:val="33"/>
        </w:numPr>
        <w:tabs>
          <w:tab w:val="clear" w:pos="720"/>
          <w:tab w:val="num" w:pos="1134"/>
        </w:tabs>
        <w:spacing w:line="360" w:lineRule="auto"/>
        <w:ind w:left="1134" w:hanging="283"/>
        <w:jc w:val="both"/>
        <w:rPr>
          <w:sz w:val="24"/>
          <w:szCs w:val="24"/>
          <w:lang w:val="pt-BR"/>
        </w:rPr>
      </w:pPr>
      <w:r>
        <w:rPr>
          <w:b/>
          <w:bCs/>
          <w:sz w:val="24"/>
          <w:szCs w:val="24"/>
          <w:lang w:val="pt-BR"/>
        </w:rPr>
        <w:t>Posterior, a</w:t>
      </w:r>
      <w:r>
        <w:rPr>
          <w:sz w:val="24"/>
          <w:szCs w:val="24"/>
          <w:lang w:val="pt-BR"/>
        </w:rPr>
        <w:t xml:space="preserve"> </w:t>
      </w:r>
      <w:r>
        <w:rPr>
          <w:b/>
          <w:bCs/>
          <w:sz w:val="24"/>
          <w:szCs w:val="24"/>
          <w:lang w:val="pt-BR"/>
        </w:rPr>
        <w:t>Nova Estimativa Combinada:</w:t>
      </w:r>
      <w:r>
        <w:rPr>
          <w:sz w:val="24"/>
          <w:szCs w:val="24"/>
          <w:lang w:val="pt-BR"/>
        </w:rPr>
        <w:t xml:space="preserve"> O resultado final é a distribuição a posteriori,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(Visões).Se o gestor tem baixa confiança nas suas visões, o Posterior converge para o Prior (o portfólio tende ao índice de mercado).Se o gestor tem alta confiança, o Posterior afasta-se do equilíbrio na direção das visões, alterando os pesos do portfólio.Essa mecânica atua como um filtro de estabilidade (shrinkage estimator), mitigando a "maximização de erros" ao ancorar as estimativas em valores economicamente plausíveis.19</w:t>
      </w:r>
    </w:p>
    <w:p w14:paraId="62CDDB52" w14:textId="77777777" w:rsidR="00CB3C08" w:rsidRPr="00CB3C08" w:rsidRDefault="00CB3C08" w:rsidP="00CB3C08">
      <w:pPr>
        <w:rPr>
          <w:b/>
          <w:bCs/>
          <w:sz w:val="24"/>
          <w:szCs w:val="24"/>
          <w:lang w:val="pt-BR"/>
        </w:rPr>
      </w:pPr>
    </w:p>
    <w:p w14:paraId="0E63B3FB" w14:textId="77777777" w:rsidR="00CB3C08" w:rsidRPr="008A2B9C" w:rsidRDefault="0099085B" w:rsidP="00DD14C8">
      <w:pPr>
        <w:pStyle w:val="PargrafodaLista"/>
        <w:numPr>
          <w:ilvl w:val="2"/>
          <w:numId w:val="32"/>
        </w:numPr>
        <w:spacing w:line="360" w:lineRule="auto"/>
        <w:ind w:left="0" w:firstLine="0"/>
        <w:jc w:val="both"/>
        <w:outlineLvl w:val="2"/>
        <w:rPr>
          <w:b/>
          <w:bCs/>
          <w:sz w:val="24"/>
          <w:szCs w:val="24"/>
          <w:lang w:val="pt-BR"/>
        </w:rPr>
      </w:pPr>
      <w:bookmarkStart w:id="70" w:name="_Toc230857037"/>
      <w:r>
        <w:rPr>
          <w:sz w:val="24"/>
          <w:szCs w:val="24"/>
          <w:lang w:val="pt-BR"/>
        </w:rPr>
        <w:t>Derivação Matemática Detalhada: A "Fórmula Mestra"</w:t>
      </w:r>
      <w:bookmarkEnd w:id="70"/>
      <w:r>
        <w:rPr>
          <w:sz w:val="24"/>
          <w:szCs w:val="24"/>
          <w:lang w:val="pt-BR"/>
        </w:rPr>
        <w:t xml:space="preserve"> </w:t>
      </w:r>
    </w:p>
    <w:p w14:paraId="21FC59D6" w14:textId="77777777" w:rsidR="00CB3C08" w:rsidRDefault="00CB3C08" w:rsidP="009C351D">
      <w:pPr>
        <w:spacing w:line="360" w:lineRule="auto"/>
        <w:jc w:val="both"/>
        <w:rPr>
          <w:sz w:val="24"/>
          <w:szCs w:val="24"/>
          <w:lang w:val="pt-BR"/>
        </w:rPr>
      </w:pPr>
    </w:p>
    <w:p w14:paraId="690F1C50" w14:textId="77777777" w:rsidR="008A2B9C" w:rsidRDefault="009C351D" w:rsidP="00A052D3">
      <w:pPr>
        <w:spacing w:line="360" w:lineRule="auto"/>
        <w:ind w:firstLine="851"/>
        <w:jc w:val="both"/>
        <w:rPr>
          <w:sz w:val="24"/>
          <w:szCs w:val="24"/>
          <w:lang w:val="pt-BR"/>
        </w:rPr>
      </w:pPr>
      <w:r>
        <w:rPr>
          <w:sz w:val="24"/>
          <w:szCs w:val="24"/>
          <w:lang w:val="pt-BR"/>
        </w:rPr>
        <w:lastRenderedPageBreak/>
        <w:t xml:space="preserve">A combinação do equilíbrio de mercado </w:t>
      </w:r>
      <w:r>
        <w:rPr>
          <w:b/>
          <w:bCs/>
          <w:sz w:val="24"/>
          <w:szCs w:val="24"/>
          <w:lang w:val="pt-BR"/>
        </w:rPr>
        <w:t xml:space="preserve">(Π) </w:t>
      </w:r>
      <w:r>
        <w:rPr>
          <w:sz w:val="24"/>
          <w:szCs w:val="24"/>
          <w:lang w:val="pt-BR"/>
        </w:rPr>
        <w:t>com as previsões dos modelos (Q), ponderada pela incerteza (Ω) e pelo escalar de confiança no prior (τ), resulta no vetor de Retornos Esperados de Black-Litterman (E[R]), calculado pela equação canônica do modelo:</w:t>
      </w:r>
    </w:p>
    <w:p w14:paraId="03BE2466" w14:textId="77777777"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30870FC8" w14:textId="77777777" w:rsidR="009C351D" w:rsidRPr="009C351D" w:rsidRDefault="009C351D" w:rsidP="00A052D3">
      <w:pPr>
        <w:spacing w:line="360" w:lineRule="auto"/>
        <w:ind w:firstLine="851"/>
        <w:jc w:val="both"/>
        <w:rPr>
          <w:sz w:val="24"/>
          <w:szCs w:val="24"/>
          <w:lang w:val="pt-BR"/>
        </w:rPr>
      </w:pPr>
      <w:r>
        <w:rPr>
          <w:sz w:val="24"/>
          <w:szCs w:val="24"/>
          <w:lang w:val="pt-BR"/>
        </w:rPr>
        <w:t>Onde Σ representa a matriz de covariância dos retornos dos ativos.</w:t>
      </w:r>
    </w:p>
    <w:p w14:paraId="4875445F" w14:textId="77777777" w:rsidR="008A2B9C" w:rsidRPr="008A2B9C" w:rsidRDefault="009C351D" w:rsidP="00A052D3">
      <w:pPr>
        <w:spacing w:line="360" w:lineRule="auto"/>
        <w:ind w:firstLine="851"/>
        <w:jc w:val="both"/>
        <w:rPr>
          <w:sz w:val="24"/>
          <w:szCs w:val="24"/>
          <w:lang w:val="pt-BR"/>
        </w:rPr>
      </w:pPr>
      <w:r>
        <w:rPr>
          <w:sz w:val="24"/>
          <w:szCs w:val="24"/>
          <w:lang w:val="pt-BR"/>
        </w:rPr>
        <w:t>O vetor resultante E[R] é então utilizado como input no otimizador de média-variância. A vantagem desta abordagem para o presente estudo é dupla: (i) permite testar se o fator de momentum 12-1 agrega valor estatístico ao portfólio (via vetor Q); e (ii) utiliza a estrutura Bayesiana para "suavizar" os erros de previsão desses modelos, ancorando as decisões no equilíbrio de mercado quando as previsões são incertas. Dessa forma, espera-se que as carteiras geradas via Black-Litterman apresentem desempenho ajustado ao risco superior e menor turnover do que aquelas baseadas puramente em otimização histórica.</w:t>
      </w:r>
    </w:p>
    <w:p w14:paraId="55CCCCBF" w14:textId="77777777" w:rsidR="00D966C9" w:rsidRPr="00CB3C08" w:rsidRDefault="00D966C9" w:rsidP="00D966C9">
      <w:pPr>
        <w:rPr>
          <w:b/>
          <w:bCs/>
          <w:sz w:val="24"/>
          <w:szCs w:val="24"/>
          <w:lang w:val="pt-BR"/>
        </w:rPr>
      </w:pPr>
    </w:p>
    <w:p w14:paraId="2CD7AC3B" w14:textId="77777777" w:rsidR="00D966C9" w:rsidRPr="00D966C9" w:rsidRDefault="00D966C9" w:rsidP="00DD14C8">
      <w:pPr>
        <w:pStyle w:val="PargrafodaLista"/>
        <w:numPr>
          <w:ilvl w:val="2"/>
          <w:numId w:val="32"/>
        </w:numPr>
        <w:spacing w:line="360" w:lineRule="auto"/>
        <w:ind w:left="0" w:firstLine="0"/>
        <w:jc w:val="both"/>
        <w:outlineLvl w:val="2"/>
        <w:rPr>
          <w:sz w:val="24"/>
          <w:szCs w:val="24"/>
          <w:lang w:val="pt-BR"/>
        </w:rPr>
      </w:pPr>
      <w:bookmarkStart w:id="71" w:name="_Toc230857038"/>
      <w:r>
        <w:rPr>
          <w:sz w:val="24"/>
          <w:szCs w:val="24"/>
          <w:lang w:val="pt-BR"/>
        </w:rPr>
        <w:t>A Crítica à MPT: O Dilema da "Maximização de Erros" e as Soluções de Canto</w:t>
      </w:r>
      <w:bookmarkEnd w:id="71"/>
      <w:r>
        <w:rPr>
          <w:sz w:val="24"/>
          <w:szCs w:val="24"/>
          <w:lang w:val="pt-BR"/>
        </w:rPr>
        <w:t xml:space="preserve"> </w:t>
      </w:r>
    </w:p>
    <w:p w14:paraId="68F71C09" w14:textId="77777777" w:rsidR="00D966C9" w:rsidRDefault="00D966C9" w:rsidP="00D966C9">
      <w:pPr>
        <w:spacing w:line="360" w:lineRule="auto"/>
        <w:jc w:val="both"/>
        <w:rPr>
          <w:sz w:val="24"/>
          <w:szCs w:val="24"/>
          <w:lang w:val="pt-BR"/>
        </w:rPr>
      </w:pPr>
    </w:p>
    <w:p w14:paraId="6AFB85D8" w14:textId="77777777" w:rsidR="00D11735" w:rsidRPr="00684B6C" w:rsidRDefault="00684B6C" w:rsidP="00D11735">
      <w:pPr>
        <w:spacing w:line="360" w:lineRule="auto"/>
        <w:ind w:firstLine="851"/>
        <w:jc w:val="both"/>
        <w:rPr>
          <w:sz w:val="24"/>
          <w:szCs w:val="24"/>
          <w:lang w:val="pt-BR"/>
        </w:rPr>
      </w:pPr>
      <w:r>
        <w:rPr>
          <w:sz w:val="24"/>
          <w:szCs w:val="24"/>
          <w:lang w:val="pt-BR"/>
        </w:rPr>
        <w:t>A inovação de Black e Litterman foi uma resposta direta e técnica às falhas patológicas da otimização de Markowitz quando alimentada com estimativas ruidosas. A literatura acadêmica da época, com destaque para os trabalhos de Richard Michaud (1989), já havia diagnosticado que a MVO atua, na prática, como um "maximizador de erros" (</w:t>
      </w:r>
      <w:r>
        <w:rPr>
          <w:i/>
          <w:iCs/>
          <w:sz w:val="24"/>
          <w:szCs w:val="24"/>
          <w:lang w:val="pt-BR"/>
        </w:rPr>
        <w:t>error maximizer</w:t>
      </w:r>
      <w:r>
        <w:rPr>
          <w:sz w:val="24"/>
          <w:szCs w:val="24"/>
          <w:lang w:val="pt-BR"/>
        </w:rPr>
        <w:t xml:space="preserve">). </w:t>
      </w:r>
      <w:r>
        <w:rPr>
          <w:sz w:val="24"/>
          <w:szCs w:val="24"/>
        </w:rPr>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p>
    <w:p w14:paraId="4E4AA3FB" w14:textId="77777777" w:rsidR="00454A35" w:rsidRPr="00454A35" w:rsidRDefault="00454A35" w:rsidP="00454A35">
      <w:pPr>
        <w:spacing w:line="360" w:lineRule="auto"/>
        <w:ind w:firstLine="851"/>
        <w:jc w:val="both"/>
        <w:rPr>
          <w:sz w:val="24"/>
          <w:szCs w:val="24"/>
          <w:lang w:val="pt-BR"/>
        </w:rPr>
      </w:pPr>
      <w:r>
        <w:rPr>
          <w:sz w:val="24"/>
          <w:szCs w:val="24"/>
          <w:lang w:val="pt-BR"/>
        </w:rPr>
        <w:t xml:space="preserve">Black e Litterman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w:t>
        <w:lastRenderedPageBreak/>
        <w:t>portfólios extremos, instáveis e pouco diversificados, conhecidos como "soluções de canto" (corner solutions).</w:t>
      </w:r>
    </w:p>
    <w:p w14:paraId="2081BF69" w14:textId="77777777" w:rsidR="00684B6C" w:rsidRDefault="00BE1ACD" w:rsidP="00BE1ACD">
      <w:pPr>
        <w:spacing w:line="360" w:lineRule="auto"/>
        <w:ind w:firstLine="851"/>
        <w:jc w:val="both"/>
        <w:rPr>
          <w:sz w:val="24"/>
          <w:szCs w:val="24"/>
          <w:lang w:val="pt-BR"/>
        </w:rPr>
      </w:pPr>
      <w:r>
        <w:rPr>
          <w:sz w:val="24"/>
          <w:szCs w:val="24"/>
        </w:rPr>
        <w:t>A solução proposta pelo modelo BL foi inverter o processo de engenharia do portfólio. Em vez de exigir que o investidor construísse as estimativas de retorno "do zero" (from scratch),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Pr>
          <w:sz w:val="24"/>
          <w:szCs w:val="24"/>
          <w:lang w:val="pt-BR"/>
        </w:rPr>
        <w:t xml:space="preserve"> </w:t>
      </w:r>
    </w:p>
    <w:p w14:paraId="2C98CFD9" w14:textId="77777777" w:rsidR="00E278ED" w:rsidRPr="00CB3C08" w:rsidRDefault="00E278ED" w:rsidP="00E278ED">
      <w:pPr>
        <w:rPr>
          <w:b/>
          <w:bCs/>
          <w:sz w:val="24"/>
          <w:szCs w:val="24"/>
          <w:lang w:val="pt-BR"/>
        </w:rPr>
      </w:pPr>
    </w:p>
    <w:p w14:paraId="7D6A9437" w14:textId="77777777" w:rsidR="00E278ED" w:rsidRPr="003D36D9" w:rsidRDefault="003D36D9" w:rsidP="00405771">
      <w:pPr>
        <w:pStyle w:val="PargrafodaLista"/>
        <w:numPr>
          <w:ilvl w:val="1"/>
          <w:numId w:val="32"/>
        </w:numPr>
        <w:spacing w:line="360" w:lineRule="auto"/>
        <w:ind w:left="0" w:firstLine="0"/>
        <w:jc w:val="both"/>
        <w:outlineLvl w:val="1"/>
        <w:rPr>
          <w:b/>
          <w:bCs/>
          <w:sz w:val="24"/>
          <w:szCs w:val="24"/>
          <w:lang w:val="pt-BR"/>
        </w:rPr>
      </w:pPr>
      <w:bookmarkStart w:id="72" w:name="_Toc230857039"/>
      <w:r>
        <w:rPr>
          <w:b/>
          <w:bCs/>
          <w:sz w:val="24"/>
          <w:szCs w:val="24"/>
          <w:lang w:val="pt-BR"/>
        </w:rPr>
        <w:t>Fundamentos Matemáticos: A Arquitetura Bayesiana</w:t>
      </w:r>
      <w:bookmarkEnd w:id="72"/>
    </w:p>
    <w:p w14:paraId="7CC500C1" w14:textId="77777777" w:rsidR="00684B6C" w:rsidRPr="00684B6C" w:rsidRDefault="00684B6C" w:rsidP="00684B6C">
      <w:pPr>
        <w:spacing w:line="360" w:lineRule="auto"/>
        <w:jc w:val="both"/>
        <w:rPr>
          <w:b/>
          <w:bCs/>
          <w:sz w:val="24"/>
          <w:szCs w:val="24"/>
          <w:lang w:val="pt-BR"/>
        </w:rPr>
      </w:pPr>
    </w:p>
    <w:p w14:paraId="2CBAF934"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rigor matemático e a elegância prática do Modelo Black-Litterman residem na sua formulação como um problema de </w:t>
      </w:r>
      <w:r>
        <w:rPr>
          <w:b/>
          <w:bCs/>
          <w:sz w:val="24"/>
          <w:szCs w:val="24"/>
          <w:lang w:val="pt-BR"/>
        </w:rPr>
        <w:t>inferência Bayesiana</w:t>
      </w:r>
      <w:r>
        <w:rPr>
          <w:sz w:val="24"/>
          <w:szCs w:val="24"/>
          <w:lang w:val="pt-BR"/>
        </w:rPr>
        <w:t>. Ao contrário da estatística frequentista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Pr>
          <w:sz w:val="24"/>
          <w:szCs w:val="24"/>
          <w:vertAlign w:val="superscript"/>
          <w:lang w:val="pt-BR"/>
        </w:rPr>
        <w:t>2</w:t>
      </w:r>
    </w:p>
    <w:p w14:paraId="1BF71AEE" w14:textId="77777777" w:rsidR="00684B6C" w:rsidRPr="00684B6C" w:rsidRDefault="00684B6C" w:rsidP="00A62C33">
      <w:pPr>
        <w:spacing w:line="360" w:lineRule="auto"/>
        <w:ind w:firstLine="851"/>
        <w:jc w:val="both"/>
        <w:rPr>
          <w:sz w:val="24"/>
          <w:szCs w:val="24"/>
          <w:lang w:val="pt-BR"/>
        </w:rPr>
      </w:pPr>
      <w:r>
        <w:rPr>
          <w:sz w:val="24"/>
          <w:szCs w:val="24"/>
          <w:lang w:val="pt-BR"/>
        </w:rPr>
        <w:t>A estrutura conceitual do BL segue o silogismo Bayesiano clássico:</w:t>
      </w:r>
    </w:p>
    <w:p w14:paraId="71D0EA89"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Prior: O Equilíbrio de Mercado</w:t>
      </w:r>
    </w:p>
    <w:p w14:paraId="76C26DF2" w14:textId="77777777" w:rsidR="00684B6C" w:rsidRPr="00684B6C" w:rsidRDefault="00684B6C" w:rsidP="00A62C33">
      <w:pPr>
        <w:spacing w:line="360" w:lineRule="auto"/>
        <w:ind w:firstLine="851"/>
        <w:jc w:val="both"/>
        <w:rPr>
          <w:sz w:val="24"/>
          <w:szCs w:val="24"/>
          <w:lang w:val="pt-BR"/>
        </w:rPr>
      </w:pPr>
      <w:r>
        <w:rPr>
          <w:sz w:val="24"/>
          <w:szCs w:val="24"/>
          <w:lang w:val="pt-BR"/>
        </w:rPr>
        <w:t xml:space="preserve">O ponto de partida do modelo, ou distribuição </w:t>
      </w:r>
      <w:r>
        <w:rPr>
          <w:i/>
          <w:iCs/>
          <w:sz w:val="24"/>
          <w:szCs w:val="24"/>
          <w:lang w:val="pt-BR"/>
        </w:rPr>
        <w:t>a priori</w:t>
      </w:r>
      <w:r>
        <w:rPr>
          <w:sz w:val="24"/>
          <w:szCs w:val="24"/>
          <w:lang w:val="pt-BR"/>
        </w:rPr>
        <w:t>, é a premissa de neutralidade. Na ausência de qualquer informação específica ou visão profética por parte do gestor, qual é a melhor estimativa racional para os retornos futuros? A resposta de Black e Litterman baseia-se na Hipótese de Mercados Eficientes e no CAPM (</w:t>
      </w:r>
      <w:r>
        <w:rPr>
          <w:i/>
          <w:iCs/>
          <w:sz w:val="24"/>
          <w:szCs w:val="24"/>
          <w:lang w:val="pt-BR"/>
        </w:rPr>
        <w:t>Capital Asset Pricing Model</w:t>
      </w:r>
      <w:r>
        <w:rPr>
          <w:sz w:val="24"/>
          <w:szCs w:val="24"/>
          <w:lang w:val="pt-BR"/>
        </w:rPr>
        <w:t>).</w:t>
      </w:r>
    </w:p>
    <w:p w14:paraId="1C00D793" w14:textId="77777777" w:rsidR="00684B6C" w:rsidRDefault="00684B6C" w:rsidP="00A62C33">
      <w:pPr>
        <w:spacing w:line="360" w:lineRule="auto"/>
        <w:ind w:firstLine="851"/>
        <w:jc w:val="both"/>
        <w:rPr>
          <w:sz w:val="24"/>
          <w:szCs w:val="24"/>
          <w:vertAlign w:val="superscript"/>
          <w:lang w:val="pt-BR"/>
        </w:rPr>
      </w:pPr>
      <w:r>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Pr>
          <w:b/>
          <w:bCs/>
          <w:sz w:val="24"/>
          <w:szCs w:val="24"/>
          <w:lang w:val="pt-BR"/>
        </w:rPr>
        <w:t>Retornos de Equilíbrio Implícitos</w:t>
      </w:r>
      <w:r>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Pr>
          <w:sz w:val="24"/>
          <w:szCs w:val="24"/>
          <w:lang w:val="pt-BR"/>
        </w:rPr>
        <w:t xml:space="preserve">, serve como a âncora gravitacional do modelo. Ele garante que, se o gestor não tiver visões ("eu não sei nada"), o modelo recomendará manter o portfólio de mercado passivo, evitando as alocações </w:t>
        <w:lastRenderedPageBreak/>
        <w:t>extremas da MPT.</w:t>
      </w:r>
      <w:r>
        <w:rPr>
          <w:sz w:val="24"/>
          <w:szCs w:val="24"/>
          <w:vertAlign w:val="superscript"/>
          <w:lang w:val="pt-BR"/>
        </w:rPr>
        <w:t>13</w:t>
      </w:r>
    </w:p>
    <w:p w14:paraId="675AE337" w14:textId="77777777" w:rsidR="00A62C33" w:rsidRPr="00684B6C" w:rsidRDefault="00A62C33" w:rsidP="00A62C33">
      <w:pPr>
        <w:spacing w:line="360" w:lineRule="auto"/>
        <w:ind w:firstLine="851"/>
        <w:jc w:val="both"/>
        <w:rPr>
          <w:sz w:val="24"/>
          <w:szCs w:val="24"/>
          <w:lang w:val="pt-BR"/>
        </w:rPr>
      </w:pPr>
    </w:p>
    <w:p w14:paraId="24CB9364" w14:textId="77777777" w:rsidR="00684B6C" w:rsidRPr="00254006" w:rsidRDefault="00684B6C" w:rsidP="003F1C11">
      <w:pPr>
        <w:pStyle w:val="PargrafodaLista"/>
        <w:numPr>
          <w:ilvl w:val="0"/>
          <w:numId w:val="34"/>
        </w:numPr>
        <w:spacing w:line="360" w:lineRule="auto"/>
        <w:jc w:val="both"/>
        <w:rPr>
          <w:b/>
          <w:bCs/>
          <w:sz w:val="24"/>
          <w:szCs w:val="24"/>
          <w:lang w:val="pt-BR"/>
        </w:rPr>
      </w:pPr>
      <w:r>
        <w:rPr>
          <w:b/>
          <w:bCs/>
          <w:sz w:val="24"/>
          <w:szCs w:val="24"/>
          <w:lang w:val="pt-BR"/>
        </w:rPr>
        <w:t>Likelihood: As Visões do Investidor (</w:t>
      </w:r>
      <w:r>
        <w:rPr>
          <w:b/>
          <w:bCs/>
          <w:i/>
          <w:iCs/>
          <w:sz w:val="24"/>
          <w:szCs w:val="24"/>
          <w:lang w:val="pt-BR"/>
        </w:rPr>
        <w:t>Views</w:t>
      </w:r>
      <w:r>
        <w:rPr>
          <w:b/>
          <w:bCs/>
          <w:sz w:val="24"/>
          <w:szCs w:val="24"/>
          <w:lang w:val="pt-BR"/>
        </w:rPr>
        <w:t>)</w:t>
      </w:r>
    </w:p>
    <w:p w14:paraId="30E23813" w14:textId="77777777" w:rsidR="00C61AEC" w:rsidRDefault="00C61AEC" w:rsidP="00C61AEC">
      <w:pPr>
        <w:spacing w:line="360" w:lineRule="auto"/>
        <w:ind w:firstLine="851"/>
        <w:jc w:val="both"/>
        <w:rPr>
          <w:sz w:val="24"/>
          <w:szCs w:val="24"/>
          <w:lang w:val="pt-BR"/>
        </w:rPr>
      </w:pPr>
    </w:p>
    <w:p w14:paraId="718DF516" w14:textId="77777777" w:rsidR="00684B6C" w:rsidRDefault="00684B6C" w:rsidP="00C61AEC">
      <w:pPr>
        <w:spacing w:line="360" w:lineRule="auto"/>
        <w:ind w:firstLine="851"/>
        <w:jc w:val="both"/>
        <w:rPr>
          <w:sz w:val="24"/>
          <w:szCs w:val="24"/>
          <w:vertAlign w:val="superscript"/>
          <w:lang w:val="pt-BR"/>
        </w:rPr>
      </w:pPr>
      <w:r>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Pr>
          <w:sz w:val="24"/>
          <w:szCs w:val="24"/>
          <w:vertAlign w:val="superscript"/>
          <w:lang w:val="pt-BR"/>
        </w:rPr>
        <w:t>17</w:t>
      </w:r>
    </w:p>
    <w:p w14:paraId="6E003211" w14:textId="77777777" w:rsidR="00A62C33" w:rsidRPr="00684B6C" w:rsidRDefault="00A62C33" w:rsidP="00684B6C">
      <w:pPr>
        <w:spacing w:line="360" w:lineRule="auto"/>
        <w:jc w:val="both"/>
        <w:rPr>
          <w:sz w:val="24"/>
          <w:szCs w:val="24"/>
          <w:lang w:val="pt-BR"/>
        </w:rPr>
      </w:pPr>
    </w:p>
    <w:p w14:paraId="188DB7BB" w14:textId="77777777" w:rsidR="00684B6C" w:rsidRPr="00A62C33" w:rsidRDefault="00684B6C" w:rsidP="003F1C11">
      <w:pPr>
        <w:pStyle w:val="PargrafodaLista"/>
        <w:numPr>
          <w:ilvl w:val="0"/>
          <w:numId w:val="35"/>
        </w:numPr>
        <w:spacing w:line="360" w:lineRule="auto"/>
        <w:jc w:val="both"/>
        <w:rPr>
          <w:b/>
          <w:bCs/>
          <w:sz w:val="24"/>
          <w:szCs w:val="24"/>
          <w:lang w:val="pt-BR"/>
        </w:rPr>
      </w:pPr>
      <w:r>
        <w:rPr>
          <w:b/>
          <w:bCs/>
          <w:sz w:val="24"/>
          <w:szCs w:val="24"/>
          <w:lang w:val="pt-BR"/>
        </w:rPr>
        <w:t>Posterior: A Nova Estimativa Combinada</w:t>
      </w:r>
    </w:p>
    <w:p w14:paraId="0FCE36A9" w14:textId="77777777" w:rsidR="00684B6C" w:rsidRPr="00684B6C" w:rsidRDefault="00684B6C" w:rsidP="00C61AEC">
      <w:pPr>
        <w:spacing w:line="360" w:lineRule="auto"/>
        <w:ind w:firstLine="709"/>
        <w:jc w:val="both"/>
        <w:rPr>
          <w:sz w:val="24"/>
          <w:szCs w:val="24"/>
          <w:lang w:val="pt-BR"/>
        </w:rPr>
      </w:pPr>
      <w:r>
        <w:rPr>
          <w:sz w:val="24"/>
          <w:szCs w:val="24"/>
          <w:lang w:val="pt-BR"/>
        </w:rPr>
        <w:t xml:space="preserve">O resultado final é a distribuição </w:t>
      </w:r>
      <w:r>
        <w:rPr>
          <w:i/>
          <w:iCs/>
          <w:sz w:val="24"/>
          <w:szCs w:val="24"/>
          <w:lang w:val="pt-BR"/>
        </w:rPr>
        <w:t>a posteriori</w:t>
      </w:r>
      <w:r>
        <w:rPr>
          <w:sz w:val="24"/>
          <w:szCs w:val="24"/>
          <w:lang w:val="pt-BR"/>
        </w:rPr>
        <w:t xml:space="preserve">, calculada aplicando a Regra de Bayes.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é uma média ponderada complexa entre o Prior (Equilíbrio) e a Likelihood (Visões).</w:t>
      </w:r>
    </w:p>
    <w:p w14:paraId="7513ADEF"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baixa confiança nas suas visões, o Posterior converge para o Prior (o portfólio tende ao índice de mercado).</w:t>
      </w:r>
    </w:p>
    <w:p w14:paraId="0F04A10A" w14:textId="77777777" w:rsidR="00684B6C" w:rsidRPr="00684B6C" w:rsidRDefault="00684B6C" w:rsidP="003F1C11">
      <w:pPr>
        <w:numPr>
          <w:ilvl w:val="0"/>
          <w:numId w:val="28"/>
        </w:numPr>
        <w:spacing w:line="360" w:lineRule="auto"/>
        <w:jc w:val="both"/>
        <w:rPr>
          <w:sz w:val="24"/>
          <w:szCs w:val="24"/>
          <w:lang w:val="pt-BR"/>
        </w:rPr>
      </w:pPr>
      <w:r>
        <w:rPr>
          <w:sz w:val="24"/>
          <w:szCs w:val="24"/>
          <w:lang w:val="pt-BR"/>
        </w:rPr>
        <w:t>Se o gestor tem alta confiança, o Posterior afasta-se do equilíbrio na direção das visões, alterando os pesos do portfólio.</w:t>
      </w:r>
    </w:p>
    <w:p w14:paraId="3FA2AFCF" w14:textId="77777777" w:rsidR="00684B6C" w:rsidRPr="00684B6C" w:rsidRDefault="00684B6C" w:rsidP="00C61AEC">
      <w:pPr>
        <w:spacing w:line="360" w:lineRule="auto"/>
        <w:ind w:firstLine="851"/>
        <w:jc w:val="both"/>
        <w:rPr>
          <w:sz w:val="24"/>
          <w:szCs w:val="24"/>
          <w:lang w:val="pt-BR"/>
        </w:rPr>
      </w:pPr>
      <w:r>
        <w:rPr>
          <w:sz w:val="24"/>
          <w:szCs w:val="24"/>
          <w:lang w:val="pt-BR"/>
        </w:rPr>
        <w:t>Essa mecânica atua como um filtro de estabilidade (shrinkage estimator), mitigando a "maximização de erros" ao ancorar as estimativas em valores economicamente plausíveis.19</w:t>
      </w:r>
    </w:p>
    <w:p w14:paraId="5F3F745C" w14:textId="77777777" w:rsidR="002649F8" w:rsidRPr="00CB3C08" w:rsidRDefault="002649F8" w:rsidP="002649F8">
      <w:pPr>
        <w:rPr>
          <w:b/>
          <w:bCs/>
          <w:sz w:val="24"/>
          <w:szCs w:val="24"/>
          <w:lang w:val="pt-BR"/>
        </w:rPr>
      </w:pPr>
    </w:p>
    <w:p w14:paraId="205FD74C" w14:textId="77777777" w:rsidR="002649F8" w:rsidRPr="00405771" w:rsidRDefault="002649F8" w:rsidP="003F1C11">
      <w:pPr>
        <w:pStyle w:val="PargrafodaLista"/>
        <w:numPr>
          <w:ilvl w:val="2"/>
          <w:numId w:val="32"/>
        </w:numPr>
        <w:spacing w:line="360" w:lineRule="auto"/>
        <w:jc w:val="both"/>
        <w:outlineLvl w:val="2"/>
        <w:rPr>
          <w:bCs/>
          <w:sz w:val="24"/>
          <w:szCs w:val="24"/>
          <w:lang w:val="pt-BR"/>
        </w:rPr>
      </w:pPr>
      <w:bookmarkStart w:id="73" w:name="_Toc230857040"/>
      <w:r>
        <w:rPr>
          <w:bCs/>
          <w:sz w:val="24"/>
          <w:szCs w:val="24"/>
          <w:lang w:val="pt-BR"/>
        </w:rPr>
        <w:t>Derivação Matemática Detalhada: A "Fórmula Mestra"</w:t>
      </w:r>
      <w:bookmarkEnd w:id="73"/>
    </w:p>
    <w:p w14:paraId="17D34B57" w14:textId="77777777" w:rsidR="002649F8" w:rsidRPr="00684B6C" w:rsidRDefault="002649F8" w:rsidP="002649F8">
      <w:pPr>
        <w:spacing w:line="360" w:lineRule="auto"/>
        <w:jc w:val="both"/>
        <w:rPr>
          <w:b/>
          <w:bCs/>
          <w:sz w:val="24"/>
          <w:szCs w:val="24"/>
          <w:lang w:val="pt-BR"/>
        </w:rPr>
      </w:pPr>
    </w:p>
    <w:p w14:paraId="1FFDFC15" w14:textId="77777777" w:rsidR="00684B6C" w:rsidRDefault="00684B6C" w:rsidP="000833E8">
      <w:pPr>
        <w:spacing w:line="360" w:lineRule="auto"/>
        <w:ind w:firstLine="851"/>
        <w:jc w:val="both"/>
        <w:rPr>
          <w:sz w:val="24"/>
          <w:szCs w:val="24"/>
          <w:lang w:val="pt-BR"/>
        </w:rPr>
      </w:pPr>
      <w:r>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14:paraId="6DBC834C" w14:textId="77777777" w:rsidR="000833E8" w:rsidRPr="00684B6C" w:rsidRDefault="000833E8" w:rsidP="000833E8">
      <w:pPr>
        <w:spacing w:line="360" w:lineRule="auto"/>
        <w:ind w:firstLine="851"/>
        <w:jc w:val="both"/>
        <w:rPr>
          <w:sz w:val="24"/>
          <w:szCs w:val="24"/>
          <w:lang w:val="pt-BR"/>
        </w:rPr>
      </w:pPr>
    </w:p>
    <w:p w14:paraId="7405FA5C" w14:textId="77777777" w:rsidR="00893C59" w:rsidRPr="00CB3C08" w:rsidRDefault="00893C59" w:rsidP="00893C59">
      <w:pPr>
        <w:rPr>
          <w:b/>
          <w:bCs/>
          <w:sz w:val="24"/>
          <w:szCs w:val="24"/>
          <w:lang w:val="pt-BR"/>
        </w:rPr>
      </w:pPr>
    </w:p>
    <w:p w14:paraId="24629016"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4" w:name="_Toc230857041"/>
      <w:r>
        <w:rPr>
          <w:bCs/>
          <w:sz w:val="24"/>
          <w:szCs w:val="24"/>
          <w:lang w:val="pt-BR"/>
        </w:rPr>
        <w:t xml:space="preserve">O Vetor de Retornos Implícitos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bCs/>
          <w:sz w:val="24"/>
          <w:szCs w:val="24"/>
          <w:lang w:val="pt-BR"/>
        </w:rPr>
        <w:t xml:space="preserve"> e a Otimização Reversa</w:t>
      </w:r>
      <w:bookmarkEnd w:id="74"/>
    </w:p>
    <w:p w14:paraId="743E6EC9" w14:textId="77777777" w:rsidR="00893C59" w:rsidRPr="00684B6C" w:rsidRDefault="00893C59" w:rsidP="00893C59">
      <w:pPr>
        <w:spacing w:line="360" w:lineRule="auto"/>
        <w:jc w:val="both"/>
        <w:rPr>
          <w:b/>
          <w:bCs/>
          <w:sz w:val="24"/>
          <w:szCs w:val="24"/>
          <w:lang w:val="pt-BR"/>
        </w:rPr>
      </w:pPr>
    </w:p>
    <w:p w14:paraId="1A2D0A36" w14:textId="77777777" w:rsidR="00684B6C" w:rsidRDefault="00684B6C" w:rsidP="000833E8">
      <w:pPr>
        <w:spacing w:line="360" w:lineRule="auto"/>
        <w:ind w:firstLine="851"/>
        <w:jc w:val="both"/>
        <w:rPr>
          <w:sz w:val="24"/>
          <w:szCs w:val="24"/>
          <w:lang w:val="pt-BR"/>
        </w:rPr>
      </w:pPr>
      <w:r>
        <w:rPr>
          <w:sz w:val="24"/>
          <w:szCs w:val="24"/>
          <w:lang w:val="pt-BR"/>
        </w:rPr>
        <w:t xml:space="preserve">O cálculo do Prior baseia-se na inversão da equação de otimização de </w:t>
        <w:lastRenderedPageBreak/>
        <w:t>Markowitz. O problema de maximização da utilidade quadrática do investidor representativo é dado por:</w:t>
      </w:r>
    </w:p>
    <w:p w14:paraId="4CED7064" w14:textId="77777777" w:rsidR="000833E8" w:rsidRDefault="000833E8" w:rsidP="00684B6C">
      <w:pPr>
        <w:spacing w:line="360" w:lineRule="auto"/>
        <w:jc w:val="both"/>
        <w:rPr>
          <w:sz w:val="24"/>
          <w:szCs w:val="24"/>
          <w:lang w:val="pt-BR"/>
        </w:rPr>
      </w:pPr>
    </w:p>
    <w:p w14:paraId="4BFD7DB3" w14:textId="77777777"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Pr>
          <w:sz w:val="24"/>
          <w:szCs w:val="24"/>
          <w:lang w:val="pt-BR"/>
        </w:rPr>
        <w:t xml:space="preserve"> =</w:t>
      </w:r>
    </w:p>
    <w:p w14:paraId="56CC1FE8" w14:textId="77777777" w:rsidR="00684B6C" w:rsidRPr="00684B6C" w:rsidRDefault="00684B6C" w:rsidP="00684B6C">
      <w:pPr>
        <w:spacing w:line="360" w:lineRule="auto"/>
        <w:jc w:val="both"/>
        <w:rPr>
          <w:sz w:val="24"/>
          <w:szCs w:val="24"/>
          <w:lang w:val="pt-BR"/>
        </w:rPr>
      </w:pPr>
      <w:r>
        <w:rPr>
          <w:sz w:val="24"/>
          <w:szCs w:val="24"/>
          <w:lang w:val="pt-BR"/>
        </w:rPr>
        <w:t>Onde:</w:t>
      </w:r>
    </w:p>
    <w:p w14:paraId="6FF0E5FD" w14:textId="77777777" w:rsidR="00684B6C" w:rsidRPr="00684B6C" w:rsidRDefault="00743EBC" w:rsidP="003F1C11">
      <w:pPr>
        <w:numPr>
          <w:ilvl w:val="0"/>
          <w:numId w:val="29"/>
        </w:numPr>
        <w:spacing w:line="360" w:lineRule="auto"/>
        <w:jc w:val="both"/>
        <w:rPr>
          <w:sz w:val="24"/>
          <w:szCs w:val="24"/>
          <w:lang w:val="pt-BR"/>
        </w:rPr>
      </w:pPr>
      <m:oMath>
        <m:r>
          <w:rPr>
            <w:rFonts w:ascii="Cambria Math" w:hAnsi="Cambria Math"/>
            <w:sz w:val="24"/>
            <w:szCs w:val="24"/>
            <w:lang w:val="pt-BR"/>
          </w:rPr>
          <m:t>ω (Nx1)</m:t>
        </m:r>
      </m:oMath>
      <w:r>
        <w:rPr>
          <w:sz w:val="24"/>
          <w:szCs w:val="24"/>
          <w:lang w:val="pt-BR"/>
        </w:rPr>
        <w:t>: Vetor de pesos dos ativos no portfólio de mercado.</w:t>
      </w:r>
    </w:p>
    <w:p w14:paraId="07B40B88"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Pr>
          <w:sz w:val="24"/>
          <w:szCs w:val="24"/>
          <w:lang w:val="pt-BR"/>
        </w:rPr>
        <w:t>: Vetor desconhecido de retornos em excesso de equilíbrio.</w:t>
      </w:r>
    </w:p>
    <w:p w14:paraId="212B142F" w14:textId="77777777" w:rsidR="00684B6C" w:rsidRPr="00684B6C" w:rsidRDefault="00B24FDB" w:rsidP="003F1C11">
      <w:pPr>
        <w:numPr>
          <w:ilvl w:val="0"/>
          <w:numId w:val="29"/>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Pr>
          <w:sz w:val="24"/>
          <w:szCs w:val="24"/>
          <w:lang w:val="pt-BR"/>
        </w:rPr>
        <w:t xml:space="preserve"> Matriz de covariância dos retornos dos ativos (estimada historicamente ou via modelos GARCH).</w:t>
      </w:r>
    </w:p>
    <w:p w14:paraId="0CB21642" w14:textId="77777777" w:rsidR="00684B6C" w:rsidRPr="00684B6C" w:rsidRDefault="003A64E6" w:rsidP="003F1C11">
      <w:pPr>
        <w:numPr>
          <w:ilvl w:val="0"/>
          <w:numId w:val="29"/>
        </w:numPr>
        <w:spacing w:line="360" w:lineRule="auto"/>
        <w:jc w:val="both"/>
        <w:rPr>
          <w:sz w:val="24"/>
          <w:szCs w:val="24"/>
          <w:lang w:val="pt-BR"/>
        </w:rPr>
      </w:pPr>
      <m:oMath>
        <m:r>
          <w:rPr>
            <w:rFonts w:ascii="Cambria Math" w:hAnsi="Cambria Math"/>
            <w:sz w:val="24"/>
            <w:szCs w:val="24"/>
            <w:lang w:val="pt-BR"/>
          </w:rPr>
          <m:t>λ (escalar)</m:t>
        </m:r>
      </m:oMath>
      <w:r>
        <w:rPr>
          <w:sz w:val="24"/>
          <w:szCs w:val="24"/>
          <w:lang w:val="pt-BR"/>
        </w:rPr>
        <w:t>: Coeficiente de aversão ao risco do mercado.</w:t>
      </w:r>
    </w:p>
    <w:p w14:paraId="270CAAE2"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condição de primeira ordem para a otimização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Pr>
          <w:sz w:val="24"/>
          <w:szCs w:val="24"/>
          <w:lang w:val="pt-BR"/>
        </w:rPr>
        <w:t xml:space="preserve">. Reorganizando para isolar </w:t>
      </w:r>
      <m:oMath>
        <m:r>
          <m:rPr>
            <m:sty m:val="p"/>
          </m:rPr>
          <w:rPr>
            <w:rFonts w:ascii="Cambria Math" w:hAnsi="Cambria Math"/>
            <w:sz w:val="24"/>
            <w:szCs w:val="24"/>
            <w:lang w:val="pt-BR"/>
          </w:rPr>
          <m:t>Π</m:t>
        </m:r>
      </m:oMath>
      <w:r>
        <w:rPr>
          <w:sz w:val="24"/>
          <w:szCs w:val="24"/>
          <w:lang w:val="pt-BR"/>
        </w:rPr>
        <w:t xml:space="preserve"> , obtemos a fórmula da </w:t>
      </w:r>
      <w:r>
        <w:rPr>
          <w:b/>
          <w:bCs/>
          <w:sz w:val="24"/>
          <w:szCs w:val="24"/>
          <w:lang w:val="pt-BR"/>
        </w:rPr>
        <w:t>Otimização Reversa</w:t>
      </w:r>
      <w:r>
        <w:rPr>
          <w:sz w:val="24"/>
          <w:szCs w:val="24"/>
          <w:lang w:val="pt-BR"/>
        </w:rPr>
        <w:t>:</w:t>
      </w:r>
    </w:p>
    <w:p w14:paraId="2C046FD4" w14:textId="77777777"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4142D5AF"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Este vetor </w:t>
      </w:r>
      <m:oMath>
        <m:r>
          <m:rPr>
            <m:sty m:val="p"/>
          </m:rPr>
          <w:rPr>
            <w:rFonts w:ascii="Cambria Math" w:hAnsi="Cambria Math"/>
            <w:sz w:val="24"/>
            <w:szCs w:val="24"/>
            <w:lang w:val="pt-BR"/>
          </w:rPr>
          <m:t>Π</m:t>
        </m:r>
      </m:oMath>
      <w:r>
        <w:rPr>
          <w:sz w:val="24"/>
          <w:szCs w:val="24"/>
          <w:lang w:val="pt-BR"/>
        </w:rPr>
        <w:t xml:space="preserve"> representa os retornos que o mercado </w:t>
      </w:r>
      <w:r>
        <w:rPr>
          <w:i/>
          <w:iCs/>
          <w:sz w:val="24"/>
          <w:szCs w:val="24"/>
          <w:lang w:val="pt-BR"/>
        </w:rPr>
        <w:t>precisa</w:t>
      </w:r>
      <w:r>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Pr>
          <w:sz w:val="24"/>
          <w:szCs w:val="24"/>
          <w:lang w:val="pt-BR"/>
        </w:rPr>
        <w:t xml:space="preserve"> sejam ótimos. O parâmetro de aversão ao risco global </w:t>
      </w:r>
      <m:oMath>
        <m:r>
          <w:rPr>
            <w:rFonts w:ascii="Cambria Math" w:hAnsi="Cambria Math"/>
            <w:sz w:val="24"/>
            <w:szCs w:val="24"/>
            <w:lang w:val="pt-BR"/>
          </w:rPr>
          <m:t>λ</m:t>
        </m:r>
      </m:oMath>
      <w:r>
        <w:rPr>
          <w:sz w:val="24"/>
          <w:szCs w:val="24"/>
          <w:lang w:val="pt-BR"/>
        </w:rPr>
        <w:t xml:space="preserve"> é frequentemente calibrado como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Pr>
          <w:sz w:val="24"/>
          <w:szCs w:val="24"/>
          <w:lang w:val="pt-BR"/>
        </w:rPr>
        <w:t>, situando-se tipicamente entre 2 e 4 em estudos empíricos.</w:t>
      </w:r>
      <w:r>
        <w:rPr>
          <w:sz w:val="24"/>
          <w:szCs w:val="24"/>
          <w:vertAlign w:val="superscript"/>
          <w:lang w:val="pt-BR"/>
        </w:rPr>
        <w:t>16</w:t>
      </w:r>
    </w:p>
    <w:p w14:paraId="3C0C60DC" w14:textId="77777777" w:rsidR="00684B6C" w:rsidRPr="00684B6C" w:rsidRDefault="00684B6C" w:rsidP="00092A58">
      <w:pPr>
        <w:spacing w:line="360" w:lineRule="auto"/>
        <w:ind w:firstLine="851"/>
        <w:jc w:val="both"/>
        <w:rPr>
          <w:sz w:val="24"/>
          <w:szCs w:val="24"/>
          <w:lang w:val="pt-BR"/>
        </w:rPr>
      </w:pPr>
      <w:r>
        <w:rPr>
          <w:sz w:val="24"/>
          <w:szCs w:val="24"/>
          <w:lang w:val="pt-BR"/>
        </w:rPr>
        <w:t xml:space="preserve">A incerteza associada a esta estimativa do Prior é modelada como </w:t>
      </w:r>
      <m:oMath>
        <m:r>
          <w:rPr>
            <w:rFonts w:ascii="Cambria Math" w:hAnsi="Cambria Math"/>
            <w:sz w:val="24"/>
            <w:szCs w:val="24"/>
            <w:lang w:val="pt-BR"/>
          </w:rPr>
          <m:t>τ</m:t>
        </m:r>
        <m:r>
          <m:rPr>
            <m:sty m:val="p"/>
          </m:rPr>
          <w:rPr>
            <w:rFonts w:ascii="Cambria Math" w:hAnsi="Cambria Math"/>
            <w:sz w:val="24"/>
            <w:szCs w:val="24"/>
            <w:lang w:val="pt-BR"/>
          </w:rPr>
          <m:t>Σ</m:t>
        </m:r>
      </m:oMath>
      <w:r>
        <w:rPr>
          <w:sz w:val="24"/>
          <w:szCs w:val="24"/>
          <w:lang w:val="pt-BR"/>
        </w:rPr>
        <w:t xml:space="preserve">, onde </w:t>
      </w:r>
      <m:oMath>
        <m:r>
          <w:rPr>
            <w:rFonts w:ascii="Cambria Math" w:hAnsi="Cambria Math"/>
            <w:sz w:val="24"/>
            <w:szCs w:val="24"/>
            <w:lang w:val="pt-BR"/>
          </w:rPr>
          <m:t>τ</m:t>
        </m:r>
      </m:oMath>
      <w:r>
        <w:rPr>
          <w:sz w:val="24"/>
          <w:szCs w:val="24"/>
          <w:lang w:val="pt-BR"/>
        </w:rPr>
        <w:t xml:space="preserve"> é um escalar de proporcionalidade. Portanto, a distribuição do Prior é:</w:t>
      </w:r>
    </w:p>
    <w:p w14:paraId="41EC99EF" w14:textId="77777777"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2CDA40A4" w14:textId="77777777" w:rsidR="00893C59" w:rsidRPr="00CB3C08" w:rsidRDefault="00893C59" w:rsidP="00893C59">
      <w:pPr>
        <w:rPr>
          <w:b/>
          <w:bCs/>
          <w:sz w:val="24"/>
          <w:szCs w:val="24"/>
          <w:lang w:val="pt-BR"/>
        </w:rPr>
      </w:pPr>
    </w:p>
    <w:p w14:paraId="4BEE8CBF" w14:textId="77777777" w:rsidR="00893C59" w:rsidRPr="00893C59" w:rsidRDefault="00893C59" w:rsidP="003F1C11">
      <w:pPr>
        <w:pStyle w:val="PargrafodaLista"/>
        <w:numPr>
          <w:ilvl w:val="2"/>
          <w:numId w:val="32"/>
        </w:numPr>
        <w:spacing w:line="360" w:lineRule="auto"/>
        <w:jc w:val="both"/>
        <w:outlineLvl w:val="2"/>
        <w:rPr>
          <w:sz w:val="24"/>
          <w:szCs w:val="24"/>
          <w:lang w:val="pt-BR"/>
        </w:rPr>
      </w:pPr>
      <w:bookmarkStart w:id="75" w:name="_Toc230857042"/>
      <w:r>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5"/>
    </w:p>
    <w:p w14:paraId="199A6BEF" w14:textId="77777777" w:rsidR="00893C59" w:rsidRPr="00684B6C" w:rsidRDefault="00893C59" w:rsidP="00893C59">
      <w:pPr>
        <w:spacing w:line="360" w:lineRule="auto"/>
        <w:jc w:val="both"/>
        <w:rPr>
          <w:b/>
          <w:bCs/>
          <w:sz w:val="24"/>
          <w:szCs w:val="24"/>
          <w:lang w:val="pt-BR"/>
        </w:rPr>
      </w:pPr>
    </w:p>
    <w:p w14:paraId="542B5C8E" w14:textId="77777777" w:rsidR="00684B6C" w:rsidRPr="00684B6C" w:rsidRDefault="00684B6C" w:rsidP="003769E8">
      <w:pPr>
        <w:spacing w:line="360" w:lineRule="auto"/>
        <w:ind w:firstLine="851"/>
        <w:jc w:val="both"/>
        <w:rPr>
          <w:sz w:val="24"/>
          <w:szCs w:val="24"/>
          <w:lang w:val="pt-BR"/>
        </w:rPr>
      </w:pPr>
      <w:r>
        <w:rPr>
          <w:sz w:val="24"/>
          <w:szCs w:val="24"/>
          <w:lang w:val="pt-BR"/>
        </w:rPr>
        <w:t>As visões subjetivas são modeladas como um sistema linear estocástico:</w:t>
      </w:r>
    </w:p>
    <w:p w14:paraId="1E8A9E49" w14:textId="77777777"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46E7232C" w14:textId="77777777" w:rsidR="00E4048D" w:rsidRDefault="00E4048D" w:rsidP="00684B6C">
      <w:pPr>
        <w:spacing w:line="360" w:lineRule="auto"/>
        <w:jc w:val="both"/>
        <w:rPr>
          <w:sz w:val="24"/>
          <w:szCs w:val="24"/>
          <w:lang w:val="pt-BR"/>
        </w:rPr>
      </w:pPr>
    </w:p>
    <w:p w14:paraId="2C3D21DB" w14:textId="77777777" w:rsidR="00684B6C" w:rsidRDefault="00684B6C" w:rsidP="00E4048D">
      <w:pPr>
        <w:spacing w:line="360" w:lineRule="auto"/>
        <w:ind w:firstLine="851"/>
        <w:jc w:val="both"/>
        <w:rPr>
          <w:sz w:val="24"/>
          <w:szCs w:val="24"/>
          <w:lang w:val="pt-BR"/>
        </w:rPr>
      </w:pPr>
      <w:r>
        <w:rPr>
          <w:sz w:val="24"/>
          <w:szCs w:val="24"/>
          <w:lang w:val="pt-BR"/>
        </w:rPr>
        <w:t xml:space="preserve">Com termo de erro </w:t>
      </w:r>
      <m:oMath>
        <m:r>
          <m:rPr>
            <m:sty m:val="p"/>
          </m:rPr>
          <w:rPr>
            <w:rFonts w:ascii="Cambria Math" w:hAnsi="Cambria Math"/>
            <w:sz w:val="24"/>
            <w:szCs w:val="24"/>
            <w:lang w:val="en-US"/>
          </w:rPr>
          <m:t>Ε ~ N(0,Ω)</m:t>
        </m:r>
      </m:oMath>
      <w:r>
        <w:rPr>
          <w:sz w:val="24"/>
          <w:szCs w:val="24"/>
          <w:lang w:val="pt-BR"/>
        </w:rPr>
        <w:t xml:space="preserve"> .</w:t>
      </w:r>
    </w:p>
    <w:p w14:paraId="4048A45A" w14:textId="77777777" w:rsidR="00E4048D" w:rsidRPr="00684B6C" w:rsidRDefault="00E4048D" w:rsidP="00E4048D">
      <w:pPr>
        <w:spacing w:line="360" w:lineRule="auto"/>
        <w:ind w:firstLine="851"/>
        <w:jc w:val="both"/>
        <w:rPr>
          <w:sz w:val="24"/>
          <w:szCs w:val="24"/>
          <w:lang w:val="pt-BR"/>
        </w:rPr>
      </w:pPr>
    </w:p>
    <w:p w14:paraId="3DD5E9B6" w14:textId="77777777" w:rsidR="00684B6C" w:rsidRPr="00684B6C" w:rsidRDefault="00684B6C" w:rsidP="000446AD">
      <w:pPr>
        <w:spacing w:line="360" w:lineRule="auto"/>
        <w:jc w:val="center"/>
        <w:rPr>
          <w:b/>
          <w:bCs/>
          <w:sz w:val="24"/>
          <w:szCs w:val="24"/>
          <w:lang w:val="pt-BR"/>
        </w:rPr>
      </w:pPr>
      <w:r>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5273BCDD" w14:textId="77777777" w:rsidR="00084813" w:rsidRDefault="00084813" w:rsidP="00084813">
      <w:pPr>
        <w:spacing w:line="360" w:lineRule="auto"/>
        <w:ind w:firstLine="851"/>
        <w:jc w:val="both"/>
        <w:rPr>
          <w:sz w:val="24"/>
          <w:szCs w:val="24"/>
          <w:lang w:val="pt-BR"/>
        </w:rPr>
      </w:pPr>
    </w:p>
    <w:p w14:paraId="3D214AA5"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dimensão </w:t>
      </w:r>
      <m:oMath>
        <m:r>
          <w:rPr>
            <w:rFonts w:ascii="Cambria Math" w:hAnsi="Cambria Math"/>
            <w:sz w:val="24"/>
            <w:szCs w:val="24"/>
            <w:lang w:val="pt-BR"/>
          </w:rPr>
          <m:t>K × N</m:t>
        </m:r>
      </m:oMath>
      <w:r>
        <w:rPr>
          <w:sz w:val="24"/>
          <w:szCs w:val="24"/>
          <w:lang w:val="pt-BR"/>
        </w:rPr>
        <w:t xml:space="preserve">, onde </w:t>
      </w:r>
      <m:oMath>
        <m:r>
          <w:rPr>
            <w:rFonts w:ascii="Cambria Math" w:hAnsi="Cambria Math"/>
            <w:sz w:val="24"/>
            <w:szCs w:val="24"/>
            <w:lang w:val="pt-BR"/>
          </w:rPr>
          <m:t>K</m:t>
        </m:r>
      </m:oMath>
      <w:r>
        <w:rPr>
          <w:sz w:val="24"/>
          <w:szCs w:val="24"/>
          <w:lang w:val="pt-BR"/>
        </w:rPr>
        <w:t xml:space="preserve"> é o número de visões e </w:t>
      </w:r>
      <m:oMath>
        <m:r>
          <w:rPr>
            <w:rFonts w:ascii="Cambria Math" w:hAnsi="Cambria Math"/>
            <w:sz w:val="24"/>
            <w:szCs w:val="24"/>
            <w:lang w:val="pt-BR"/>
          </w:rPr>
          <m:t>N</m:t>
        </m:r>
      </m:oMath>
      <w:r>
        <w:rPr>
          <w:sz w:val="24"/>
          <w:szCs w:val="24"/>
          <w:lang w:val="pt-BR"/>
        </w:rPr>
        <w:t xml:space="preserve"> o número de ativos. Cada linha </w:t>
      </w:r>
      <m:oMath>
        <m:r>
          <w:rPr>
            <w:rFonts w:ascii="Cambria Math" w:hAnsi="Cambria Math"/>
            <w:sz w:val="24"/>
            <w:szCs w:val="24"/>
            <w:lang w:val="pt-BR"/>
          </w:rPr>
          <m:t>k</m:t>
        </m:r>
      </m:oMath>
      <w:r>
        <w:rPr>
          <w:sz w:val="24"/>
          <w:szCs w:val="24"/>
          <w:lang w:val="pt-BR"/>
        </w:rPr>
        <w:t xml:space="preserve"> mapeia uma visão sobre os ativos.</w:t>
      </w:r>
    </w:p>
    <w:p w14:paraId="4139660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lastRenderedPageBreak/>
        <w:t>Visão Absoluta:</w:t>
      </w:r>
      <w:r>
        <w:rPr>
          <w:sz w:val="24"/>
          <w:szCs w:val="24"/>
          <w:lang w:val="pt-BR"/>
        </w:rPr>
        <w:t xml:space="preserve"> Para uma visão sobre o Ativo A (índice </w:t>
      </w:r>
      <m:oMath>
        <m:r>
          <w:rPr>
            <w:rFonts w:ascii="Cambria Math" w:hAnsi="Cambria Math"/>
            <w:sz w:val="24"/>
            <w:szCs w:val="24"/>
            <w:lang w:val="pt-BR"/>
          </w:rPr>
          <m:t>i</m:t>
        </m:r>
      </m:oMath>
      <w:r>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Pr>
          <w:sz w:val="24"/>
          <w:szCs w:val="24"/>
          <w:lang w:val="pt-BR"/>
        </w:rPr>
        <w:t xml:space="preserve"> e os demais são </w:t>
      </w:r>
      <m:oMath>
        <m:r>
          <w:rPr>
            <w:rFonts w:ascii="Cambria Math" w:hAnsi="Cambria Math"/>
            <w:sz w:val="24"/>
            <w:szCs w:val="24"/>
            <w:lang w:val="pt-BR"/>
          </w:rPr>
          <m:t>0</m:t>
        </m:r>
      </m:oMath>
      <w:r>
        <w:rPr>
          <w:sz w:val="24"/>
          <w:szCs w:val="24"/>
          <w:lang w:val="pt-BR"/>
        </w:rPr>
        <w:t>.</w:t>
      </w:r>
    </w:p>
    <w:p w14:paraId="520CA67C" w14:textId="77777777" w:rsidR="00684B6C" w:rsidRPr="00684B6C" w:rsidRDefault="00684B6C" w:rsidP="003F1C11">
      <w:pPr>
        <w:numPr>
          <w:ilvl w:val="0"/>
          <w:numId w:val="30"/>
        </w:numPr>
        <w:spacing w:line="360" w:lineRule="auto"/>
        <w:jc w:val="both"/>
        <w:rPr>
          <w:sz w:val="24"/>
          <w:szCs w:val="24"/>
          <w:lang w:val="pt-BR"/>
        </w:rPr>
      </w:pPr>
      <w:r>
        <w:rPr>
          <w:b/>
          <w:bCs/>
          <w:sz w:val="24"/>
          <w:szCs w:val="24"/>
          <w:lang w:val="pt-BR"/>
        </w:rPr>
        <w:t>Visão Relativa:</w:t>
      </w:r>
      <w:r>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Pr>
          <w:sz w:val="24"/>
          <w:szCs w:val="24"/>
          <w:lang w:val="pt-BR"/>
        </w:rPr>
        <w:t xml:space="preserve"> e negativos para</w:t>
      </w:r>
      <m:oMath>
        <m:r>
          <w:rPr>
            <w:rFonts w:ascii="Cambria Math" w:hAnsi="Cambria Math"/>
            <w:sz w:val="24"/>
            <w:szCs w:val="24"/>
            <w:lang w:val="pt-BR"/>
          </w:rPr>
          <m:t xml:space="preserve"> B</m:t>
        </m:r>
      </m:oMath>
      <w:r>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Pr>
          <w:sz w:val="24"/>
          <w:szCs w:val="24"/>
          <w:lang w:val="pt-BR"/>
        </w:rPr>
        <w:t xml:space="preserve"> ou ponderada por capitalização (</w:t>
      </w:r>
      <w:r>
        <w:rPr>
          <w:i/>
          <w:iCs/>
          <w:sz w:val="24"/>
          <w:szCs w:val="24"/>
          <w:lang w:val="pt-BR"/>
        </w:rPr>
        <w:t>value-weighted</w:t>
      </w:r>
      <w:r>
        <w:rPr>
          <w:sz w:val="24"/>
          <w:szCs w:val="24"/>
          <w:lang w:val="pt-BR"/>
        </w:rPr>
        <w:t>), o que reduz o ruído em visões sobre setores inteiros.</w:t>
      </w:r>
      <w:r>
        <w:rPr>
          <w:sz w:val="24"/>
          <w:szCs w:val="24"/>
          <w:vertAlign w:val="superscript"/>
          <w:lang w:val="pt-BR"/>
        </w:rPr>
        <w:t>15</w:t>
      </w:r>
    </w:p>
    <w:p w14:paraId="4A5BD1DE" w14:textId="77777777" w:rsidR="0042337E" w:rsidRDefault="0042337E" w:rsidP="00684B6C">
      <w:pPr>
        <w:spacing w:line="360" w:lineRule="auto"/>
        <w:jc w:val="both"/>
        <w:rPr>
          <w:b/>
          <w:bCs/>
          <w:sz w:val="24"/>
          <w:szCs w:val="24"/>
          <w:lang w:val="pt-BR"/>
        </w:rPr>
      </w:pPr>
    </w:p>
    <w:p w14:paraId="3F8EFDED" w14:textId="77777777" w:rsidR="00684B6C" w:rsidRPr="00684B6C" w:rsidRDefault="00684B6C" w:rsidP="0042337E">
      <w:pPr>
        <w:spacing w:line="360" w:lineRule="auto"/>
        <w:jc w:val="center"/>
        <w:rPr>
          <w:b/>
          <w:bCs/>
          <w:sz w:val="24"/>
          <w:szCs w:val="24"/>
          <w:lang w:val="pt-BR"/>
        </w:rPr>
      </w:pPr>
      <w:r>
        <w:rPr>
          <w:b/>
          <w:bCs/>
          <w:sz w:val="24"/>
          <w:szCs w:val="24"/>
          <w:lang w:val="pt-BR"/>
        </w:rPr>
        <w:t xml:space="preserve">O Vetor de Expectativas das Visões </w:t>
      </w:r>
      <m:oMath>
        <m:r>
          <m:rPr>
            <m:sty m:val="bi"/>
          </m:rPr>
          <w:rPr>
            <w:rFonts w:ascii="Cambria Math" w:hAnsi="Cambria Math"/>
            <w:sz w:val="24"/>
            <w:szCs w:val="24"/>
            <w:lang w:val="pt-BR"/>
          </w:rPr>
          <m:t>(Q)</m:t>
        </m:r>
      </m:oMath>
    </w:p>
    <w:p w14:paraId="6BB0437D" w14:textId="77777777" w:rsidR="0042337E" w:rsidRDefault="0042337E" w:rsidP="00684B6C">
      <w:pPr>
        <w:spacing w:line="360" w:lineRule="auto"/>
        <w:jc w:val="both"/>
        <w:rPr>
          <w:sz w:val="24"/>
          <w:szCs w:val="24"/>
          <w:lang w:val="pt-BR"/>
        </w:rPr>
      </w:pPr>
    </w:p>
    <w:p w14:paraId="6419FCCE"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 vetor coluna </w:t>
      </w:r>
      <m:oMath>
        <m:r>
          <w:rPr>
            <w:rFonts w:ascii="Cambria Math" w:hAnsi="Cambria Math"/>
            <w:sz w:val="24"/>
            <w:szCs w:val="24"/>
            <w:lang w:val="pt-BR"/>
          </w:rPr>
          <m:t>K × 1</m:t>
        </m:r>
      </m:oMath>
      <w:r>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representa o retorno esperado da visão </w:t>
      </w:r>
      <m:oMath>
        <m:r>
          <w:rPr>
            <w:rFonts w:ascii="Cambria Math" w:hAnsi="Cambria Math"/>
            <w:sz w:val="24"/>
            <w:szCs w:val="24"/>
            <w:lang w:val="pt-BR"/>
          </w:rPr>
          <m:t>k</m:t>
        </m:r>
      </m:oMath>
      <w:r>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Pr>
          <w:sz w:val="24"/>
          <w:szCs w:val="24"/>
          <w:lang w:val="pt-BR"/>
        </w:rPr>
        <w:t xml:space="preserve"> é o </w:t>
      </w:r>
      <w:r>
        <w:rPr>
          <w:i/>
          <w:iCs/>
          <w:sz w:val="24"/>
          <w:szCs w:val="24"/>
          <w:lang w:val="pt-BR"/>
        </w:rPr>
        <w:t>spread</w:t>
      </w:r>
      <w:r>
        <w:rPr>
          <w:sz w:val="24"/>
          <w:szCs w:val="24"/>
          <w:lang w:val="pt-BR"/>
        </w:rPr>
        <w:t xml:space="preserve"> ou diferencial de retorno esperado, não o retorno total absoluto.</w:t>
      </w:r>
      <w:r>
        <w:rPr>
          <w:sz w:val="24"/>
          <w:szCs w:val="24"/>
          <w:vertAlign w:val="superscript"/>
          <w:lang w:val="pt-BR"/>
        </w:rPr>
        <w:t>22</w:t>
      </w:r>
    </w:p>
    <w:p w14:paraId="54046857" w14:textId="77777777" w:rsidR="00084813" w:rsidRDefault="00084813" w:rsidP="00684B6C">
      <w:pPr>
        <w:spacing w:line="360" w:lineRule="auto"/>
        <w:jc w:val="both"/>
        <w:rPr>
          <w:b/>
          <w:bCs/>
          <w:sz w:val="24"/>
          <w:szCs w:val="24"/>
          <w:lang w:val="pt-BR"/>
        </w:rPr>
      </w:pPr>
    </w:p>
    <w:p w14:paraId="4823B4F6" w14:textId="77777777" w:rsidR="00684B6C" w:rsidRPr="00684B6C" w:rsidRDefault="00684B6C" w:rsidP="00084813">
      <w:pPr>
        <w:spacing w:line="360" w:lineRule="auto"/>
        <w:jc w:val="center"/>
        <w:rPr>
          <w:b/>
          <w:bCs/>
          <w:sz w:val="24"/>
          <w:szCs w:val="24"/>
          <w:lang w:val="pt-BR"/>
        </w:rPr>
      </w:pPr>
      <w:r>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1CE215AA" w14:textId="77777777" w:rsidR="00084813" w:rsidRDefault="00084813" w:rsidP="00684B6C">
      <w:pPr>
        <w:spacing w:line="360" w:lineRule="auto"/>
        <w:jc w:val="both"/>
        <w:rPr>
          <w:sz w:val="24"/>
          <w:szCs w:val="24"/>
          <w:lang w:val="pt-BR"/>
        </w:rPr>
      </w:pPr>
    </w:p>
    <w:p w14:paraId="2865DB7F"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É uma matriz de covariância </w:t>
      </w:r>
      <m:oMath>
        <m:r>
          <w:rPr>
            <w:rFonts w:ascii="Cambria Math" w:hAnsi="Cambria Math"/>
            <w:sz w:val="24"/>
            <w:szCs w:val="24"/>
            <w:lang w:val="pt-BR"/>
          </w:rPr>
          <m:t>K × K</m:t>
        </m:r>
      </m:oMath>
      <w:r>
        <w:rPr>
          <w:sz w:val="24"/>
          <w:szCs w:val="24"/>
          <w:lang w:val="pt-BR"/>
        </w:rPr>
        <w:t xml:space="preserve"> dos termos de erro </w:t>
      </w:r>
      <m:oMath>
        <m:r>
          <m:rPr>
            <m:sty m:val="p"/>
          </m:rPr>
          <w:rPr>
            <w:rFonts w:ascii="Cambria Math" w:hAnsi="Cambria Math"/>
            <w:sz w:val="24"/>
            <w:szCs w:val="24"/>
            <w:lang w:val="pt-BR"/>
          </w:rPr>
          <m:t>ε</m:t>
        </m:r>
      </m:oMath>
      <w:r>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Pr>
          <w:sz w:val="24"/>
          <w:szCs w:val="24"/>
          <w:lang w:val="pt-BR"/>
        </w:rPr>
        <w:t xml:space="preserve"> uma matriz diagonal:</w:t>
      </w:r>
    </w:p>
    <w:p w14:paraId="66A26E93" w14:textId="77777777"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0078FCA3"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Pr>
          <w:sz w:val="24"/>
          <w:szCs w:val="24"/>
          <w:lang w:val="pt-BR"/>
        </w:rPr>
        <w:t xml:space="preserve"> representa a incerteza da visão </w:t>
      </w:r>
      <m:oMath>
        <m:r>
          <w:rPr>
            <w:rFonts w:ascii="Cambria Math" w:hAnsi="Cambria Math"/>
            <w:sz w:val="24"/>
            <w:szCs w:val="24"/>
            <w:lang w:val="pt-BR"/>
          </w:rPr>
          <m:t>k</m:t>
        </m:r>
      </m:oMath>
      <w:r>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xml:space="preserve">0,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Pr>
          <w:sz w:val="24"/>
          <w:szCs w:val="24"/>
          <w:lang w:val="pt-BR"/>
        </w:rPr>
        <w:t>, a visão é ignorada.17</w:t>
      </w:r>
    </w:p>
    <w:p w14:paraId="3C8096AA" w14:textId="77777777" w:rsidR="00893C59" w:rsidRPr="00CB3C08" w:rsidRDefault="00893C59" w:rsidP="00893C59">
      <w:pPr>
        <w:rPr>
          <w:b/>
          <w:bCs/>
          <w:sz w:val="24"/>
          <w:szCs w:val="24"/>
          <w:lang w:val="pt-BR"/>
        </w:rPr>
      </w:pPr>
    </w:p>
    <w:p w14:paraId="2C20B9FF" w14:textId="77777777" w:rsidR="00893C59" w:rsidRPr="002618DD" w:rsidRDefault="00893C59" w:rsidP="003F1C11">
      <w:pPr>
        <w:pStyle w:val="PargrafodaLista"/>
        <w:numPr>
          <w:ilvl w:val="2"/>
          <w:numId w:val="32"/>
        </w:numPr>
        <w:spacing w:line="360" w:lineRule="auto"/>
        <w:outlineLvl w:val="2"/>
        <w:rPr>
          <w:bCs/>
          <w:sz w:val="24"/>
          <w:szCs w:val="24"/>
          <w:lang w:val="pt-BR"/>
        </w:rPr>
      </w:pPr>
      <w:bookmarkStart w:id="76" w:name="_Toc230857043"/>
      <w:r>
        <w:rPr>
          <w:bCs/>
          <w:sz w:val="24"/>
          <w:szCs w:val="24"/>
          <w:lang w:val="pt-BR"/>
        </w:rPr>
        <w:t>A Fórmula Mestra de Black-Litterman</w:t>
      </w:r>
      <w:bookmarkEnd w:id="76"/>
    </w:p>
    <w:p w14:paraId="7E8C4074" w14:textId="77777777" w:rsidR="00893C59" w:rsidRPr="00684B6C" w:rsidRDefault="00893C59" w:rsidP="00893C59">
      <w:pPr>
        <w:spacing w:line="360" w:lineRule="auto"/>
        <w:jc w:val="both"/>
        <w:rPr>
          <w:b/>
          <w:bCs/>
          <w:sz w:val="24"/>
          <w:szCs w:val="24"/>
          <w:lang w:val="pt-BR"/>
        </w:rPr>
      </w:pPr>
    </w:p>
    <w:p w14:paraId="659193A8" w14:textId="77777777" w:rsidR="00684B6C" w:rsidRPr="00684B6C" w:rsidRDefault="00684B6C" w:rsidP="00084813">
      <w:pPr>
        <w:spacing w:line="360" w:lineRule="auto"/>
        <w:ind w:firstLine="851"/>
        <w:jc w:val="both"/>
        <w:rPr>
          <w:sz w:val="24"/>
          <w:szCs w:val="24"/>
          <w:lang w:val="pt-BR"/>
        </w:rPr>
      </w:pPr>
      <w:r>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O vetor de retornos esperados combinados é dado pela "Fórmula Mestra":</w:t>
      </w:r>
    </w:p>
    <w:p w14:paraId="1CDA7511" w14:textId="7777777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03C9C946" w14:textId="77777777" w:rsidR="00684B6C" w:rsidRPr="00684B6C" w:rsidRDefault="00684B6C" w:rsidP="007614D2">
      <w:pPr>
        <w:spacing w:line="360" w:lineRule="auto"/>
        <w:ind w:firstLine="851"/>
        <w:jc w:val="both"/>
        <w:rPr>
          <w:sz w:val="24"/>
          <w:szCs w:val="24"/>
          <w:lang w:val="pt-BR"/>
        </w:rPr>
      </w:pPr>
      <w:r>
        <w:rPr>
          <w:sz w:val="24"/>
          <w:szCs w:val="24"/>
          <w:lang w:val="pt-BR"/>
        </w:rPr>
        <w:t xml:space="preserve">Esta equação, embora intimidante, é intuitivamente uma </w:t>
      </w:r>
      <w:r>
        <w:rPr>
          <w:b/>
          <w:bCs/>
          <w:sz w:val="24"/>
          <w:szCs w:val="24"/>
          <w:lang w:val="pt-BR"/>
        </w:rPr>
        <w:t>média ponderada pela precisão</w:t>
      </w:r>
      <w:r>
        <w:rPr>
          <w:sz w:val="24"/>
          <w:szCs w:val="24"/>
          <w:lang w:val="pt-BR"/>
        </w:rPr>
        <w:t xml:space="preserve"> (inverso da variância).</w:t>
      </w:r>
    </w:p>
    <w:p w14:paraId="6F3B2977"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Pr>
          <w:sz w:val="24"/>
          <w:szCs w:val="24"/>
          <w:lang w:val="pt-BR"/>
        </w:rPr>
        <w:t xml:space="preserve"> é a precisão do Prior (Equilíbrio).</w:t>
      </w:r>
    </w:p>
    <w:p w14:paraId="4BB2AC6C"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Pr>
          <w:sz w:val="24"/>
          <w:szCs w:val="24"/>
          <w:lang w:val="pt-BR"/>
        </w:rPr>
        <w:t xml:space="preserve"> é a precisão das Visões projetada no espaço dos ativos.</w:t>
      </w:r>
    </w:p>
    <w:p w14:paraId="208D7E2F" w14:textId="77777777" w:rsidR="00684B6C" w:rsidRPr="00684B6C" w:rsidRDefault="00684B6C" w:rsidP="003F1C11">
      <w:pPr>
        <w:numPr>
          <w:ilvl w:val="0"/>
          <w:numId w:val="31"/>
        </w:numPr>
        <w:spacing w:line="360" w:lineRule="auto"/>
        <w:jc w:val="both"/>
        <w:rPr>
          <w:sz w:val="24"/>
          <w:szCs w:val="24"/>
          <w:lang w:val="pt-BR"/>
        </w:rPr>
      </w:pPr>
      <w:r>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Pr>
          <w:sz w:val="24"/>
          <w:szCs w:val="24"/>
          <w:lang w:val="pt-BR"/>
        </w:rPr>
        <w:t xml:space="preserve"> com base nessas precisões relativas.</w:t>
      </w:r>
    </w:p>
    <w:p w14:paraId="6F2E8778" w14:textId="77777777" w:rsidR="00684B6C" w:rsidRPr="00684B6C" w:rsidRDefault="00684B6C" w:rsidP="00ED0CB8">
      <w:pPr>
        <w:spacing w:line="360" w:lineRule="auto"/>
        <w:ind w:firstLine="851"/>
        <w:jc w:val="both"/>
        <w:rPr>
          <w:sz w:val="24"/>
          <w:szCs w:val="24"/>
          <w:lang w:val="pt-BR"/>
        </w:rPr>
      </w:pPr>
      <w:r>
        <w:rPr>
          <w:sz w:val="24"/>
          <w:szCs w:val="24"/>
          <w:lang w:val="pt-BR"/>
        </w:rPr>
        <w:lastRenderedPageBreak/>
        <w:t xml:space="preserve">Para fins computacionais, utiliza-se frequentemente a </w:t>
      </w:r>
      <w:r>
        <w:rPr>
          <w:b/>
          <w:bCs/>
          <w:sz w:val="24"/>
          <w:szCs w:val="24"/>
          <w:lang w:val="pt-BR"/>
        </w:rPr>
        <w:t>Identidade de Matrizes de Woodbury</w:t>
      </w:r>
      <w:r>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Pr>
          <w:sz w:val="24"/>
          <w:szCs w:val="24"/>
          <w:lang w:val="pt-BR"/>
        </w:rPr>
        <w:t xml:space="preserve"> (que pode ser singular ou mal condicionada em grandes dimensões), resultando na forma alternativa mais estável numericamente:</w:t>
      </w:r>
    </w:p>
    <w:p w14:paraId="671001D9"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6C23DA64"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mais um termo de ajuste (</w:t>
      </w:r>
      <w:r>
        <w:rPr>
          <w:i/>
          <w:iCs/>
          <w:sz w:val="24"/>
          <w:szCs w:val="24"/>
          <w:lang w:val="pt-BR"/>
        </w:rPr>
        <w:t>tilt</w:t>
      </w:r>
      <w:r>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Pr>
          <w:sz w:val="24"/>
          <w:szCs w:val="24"/>
          <w:lang w:val="pt-BR"/>
        </w:rPr>
        <w:t>, escalado pela razão entre incerteza do Prior e incerteza da Visão.</w:t>
      </w:r>
      <w:r>
        <w:rPr>
          <w:sz w:val="24"/>
          <w:szCs w:val="24"/>
          <w:vertAlign w:val="superscript"/>
          <w:lang w:val="pt-BR"/>
        </w:rPr>
        <w:t>23</w:t>
      </w:r>
    </w:p>
    <w:p w14:paraId="367E1222" w14:textId="77777777" w:rsidR="00684B6C" w:rsidRPr="00684B6C" w:rsidRDefault="00684B6C" w:rsidP="00281AD0">
      <w:pPr>
        <w:spacing w:line="360" w:lineRule="auto"/>
        <w:ind w:firstLine="851"/>
        <w:jc w:val="both"/>
        <w:rPr>
          <w:sz w:val="24"/>
          <w:szCs w:val="24"/>
          <w:lang w:val="pt-BR"/>
        </w:rPr>
      </w:pPr>
      <w:r>
        <w:rPr>
          <w:sz w:val="24"/>
          <w:szCs w:val="24"/>
          <w:lang w:val="pt-BR"/>
        </w:rPr>
        <w:t>A nova matriz de covariância a posteriori, que deve alimentar o otimizador, é:</w:t>
      </w:r>
    </w:p>
    <w:p w14:paraId="1D8A7A18"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647AB918" w14:textId="77777777" w:rsidR="00684B6C" w:rsidRPr="00684B6C" w:rsidRDefault="00684B6C" w:rsidP="00281AD0">
      <w:pPr>
        <w:spacing w:line="360" w:lineRule="auto"/>
        <w:ind w:firstLine="851"/>
        <w:jc w:val="both"/>
        <w:rPr>
          <w:sz w:val="24"/>
          <w:szCs w:val="24"/>
          <w:lang w:val="pt-BR"/>
        </w:rPr>
      </w:pPr>
      <w:r>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xml:space="preserve"> é maior que a covariância histórica  </w:t>
      </w:r>
      <m:oMath>
        <m:r>
          <m:rPr>
            <m:sty m:val="p"/>
          </m:rPr>
          <w:rPr>
            <w:rFonts w:ascii="Cambria Math" w:hAnsi="Cambria Math"/>
            <w:sz w:val="24"/>
            <w:szCs w:val="24"/>
            <w:lang w:val="pt-BR"/>
          </w:rPr>
          <m:t>Σ</m:t>
        </m:r>
      </m:oMath>
      <w:r>
        <w:rPr>
          <w:sz w:val="24"/>
          <w:szCs w:val="24"/>
          <w:lang w:val="pt-BR"/>
        </w:rPr>
        <w:t>. O modelo adiciona uma camada extra de risco, refletindo a incerteza epistêmica sobre a verdadeira média dos retornos.22</w:t>
      </w:r>
    </w:p>
    <w:p w14:paraId="531BA768" w14:textId="77777777" w:rsidR="00893C59" w:rsidRPr="00CB3C08" w:rsidRDefault="00893C59" w:rsidP="00893C59">
      <w:pPr>
        <w:rPr>
          <w:b/>
          <w:bCs/>
          <w:sz w:val="24"/>
          <w:szCs w:val="24"/>
          <w:lang w:val="pt-BR"/>
        </w:rPr>
      </w:pPr>
    </w:p>
    <w:p w14:paraId="66F22AE1" w14:textId="77777777" w:rsidR="00893C59" w:rsidRPr="002618DD" w:rsidRDefault="00893C59" w:rsidP="003F1C11">
      <w:pPr>
        <w:pStyle w:val="PargrafodaLista"/>
        <w:numPr>
          <w:ilvl w:val="1"/>
          <w:numId w:val="32"/>
        </w:numPr>
        <w:spacing w:line="360" w:lineRule="auto"/>
        <w:jc w:val="both"/>
        <w:outlineLvl w:val="1"/>
        <w:rPr>
          <w:b/>
          <w:bCs/>
          <w:sz w:val="24"/>
          <w:szCs w:val="24"/>
          <w:lang w:val="pt-BR"/>
        </w:rPr>
      </w:pPr>
      <w:bookmarkStart w:id="77" w:name="_Toc230857044"/>
      <w:r>
        <w:rPr>
          <w:b/>
          <w:bCs/>
          <w:sz w:val="24"/>
          <w:szCs w:val="24"/>
          <w:lang w:val="pt-BR"/>
        </w:rPr>
        <w:t xml:space="preserve">A Controvérsia Teórica sobre o Escalar Tau </w:t>
      </w:r>
      <m:oMath>
        <m:r>
          <m:rPr>
            <m:sty m:val="bi"/>
          </m:rPr>
          <w:rPr>
            <w:rFonts w:ascii="Cambria Math" w:hAnsi="Cambria Math"/>
            <w:sz w:val="24"/>
            <w:szCs w:val="24"/>
            <w:lang w:val="pt-BR"/>
          </w:rPr>
          <m:t>(τ)</m:t>
        </m:r>
      </m:oMath>
      <w:bookmarkEnd w:id="77"/>
    </w:p>
    <w:p w14:paraId="7363DB5E" w14:textId="77777777" w:rsidR="00893C59" w:rsidRPr="00684B6C" w:rsidRDefault="00893C59" w:rsidP="00893C59">
      <w:pPr>
        <w:spacing w:line="360" w:lineRule="auto"/>
        <w:jc w:val="both"/>
        <w:rPr>
          <w:b/>
          <w:bCs/>
          <w:sz w:val="24"/>
          <w:szCs w:val="24"/>
          <w:lang w:val="pt-BR"/>
        </w:rPr>
      </w:pPr>
    </w:p>
    <w:p w14:paraId="58E398FD" w14:textId="77777777" w:rsidR="00684B6C" w:rsidRPr="00684B6C" w:rsidRDefault="00684B6C" w:rsidP="00684B6C">
      <w:pPr>
        <w:spacing w:line="360" w:lineRule="auto"/>
        <w:jc w:val="both"/>
        <w:rPr>
          <w:sz w:val="24"/>
          <w:szCs w:val="24"/>
          <w:lang w:val="pt-BR"/>
        </w:rPr>
      </w:pPr>
      <w:r>
        <w:rPr>
          <w:sz w:val="24"/>
          <w:szCs w:val="24"/>
          <w:lang w:val="pt-BR"/>
        </w:rPr>
        <w:t xml:space="preserve">O parâmetro </w:t>
      </w:r>
      <m:oMath>
        <m:r>
          <w:rPr>
            <w:rFonts w:ascii="Cambria Math" w:hAnsi="Cambria Math"/>
            <w:sz w:val="24"/>
            <w:szCs w:val="24"/>
            <w:lang w:val="pt-BR"/>
          </w:rPr>
          <m:t>(τ)</m:t>
        </m:r>
      </m:oMath>
      <w:r>
        <w:rPr>
          <w:sz w:val="24"/>
          <w:szCs w:val="24"/>
          <w:lang w:val="pt-BR"/>
        </w:rPr>
        <w:t xml:space="preserve"> permanece como um dos componentes mais esotéricos e debatidos na literatura do BL, gerando interpretações conflitantes sobre sua calibração e impacto.</w:t>
      </w:r>
    </w:p>
    <w:p w14:paraId="2E70F4DB"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Visão Original (Black &amp; Litterman, 1992):</w:t>
      </w:r>
      <w:r>
        <w:rPr>
          <w:sz w:val="24"/>
          <w:szCs w:val="24"/>
          <w:lang w:val="pt-BR"/>
        </w:rPr>
        <w:t xml:space="preserve"> Os autores sugeriram que </w:t>
      </w:r>
      <m:oMath>
        <m:r>
          <w:rPr>
            <w:rFonts w:ascii="Cambria Math" w:hAnsi="Cambria Math"/>
            <w:sz w:val="24"/>
            <w:szCs w:val="24"/>
            <w:lang w:val="pt-BR"/>
          </w:rPr>
          <m:t>(τ)</m:t>
        </m:r>
      </m:oMath>
      <w:r>
        <w:rPr>
          <w:sz w:val="24"/>
          <w:szCs w:val="24"/>
          <w:lang w:val="pt-BR"/>
        </w:rPr>
        <w:t xml:space="preserve"> deveria ser um valor pequeno (próximo de zero), argumentando que a incerteza sobre a média de longo prazo é muito menor que a volatilidade dos retornos. Valores entre 0,025 e 0,05 são comuns nesta abordagem.</w:t>
      </w:r>
      <w:r>
        <w:rPr>
          <w:sz w:val="24"/>
          <w:szCs w:val="24"/>
          <w:vertAlign w:val="superscript"/>
          <w:lang w:val="pt-BR"/>
        </w:rPr>
        <w:t>24</w:t>
      </w:r>
    </w:p>
    <w:p w14:paraId="3E6E5252"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Estatística (Walters, 2014; Meucci, 2005):</w:t>
      </w:r>
      <w:r>
        <w:rPr>
          <w:sz w:val="24"/>
          <w:szCs w:val="24"/>
          <w:lang w:val="pt-BR"/>
        </w:rPr>
        <w:t xml:space="preserve"> Argumentam que, se o Prior é derivado de uma série histórica, </w:t>
      </w:r>
      <m:oMath>
        <m:r>
          <w:rPr>
            <w:rFonts w:ascii="Cambria Math" w:hAnsi="Cambria Math"/>
            <w:sz w:val="24"/>
            <w:szCs w:val="24"/>
            <w:lang w:val="pt-BR"/>
          </w:rPr>
          <m:t>(τ)</m:t>
        </m:r>
      </m:oMath>
      <w:r>
        <w:rPr>
          <w:sz w:val="24"/>
          <w:szCs w:val="24"/>
          <w:lang w:val="pt-BR"/>
        </w:rPr>
        <w:t xml:space="preserve"> 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Pr>
          <w:sz w:val="24"/>
          <w:szCs w:val="24"/>
          <w:lang w:val="pt-BR"/>
        </w:rPr>
        <w:t xml:space="preserve">, onde </w:t>
      </w:r>
      <m:oMath>
        <m:r>
          <w:rPr>
            <w:rFonts w:ascii="Cambria Math" w:hAnsi="Cambria Math"/>
            <w:sz w:val="24"/>
            <w:szCs w:val="24"/>
            <w:lang w:val="pt-BR"/>
          </w:rPr>
          <m:t>T</m:t>
        </m:r>
      </m:oMath>
      <w:r>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Pr>
          <w:sz w:val="24"/>
          <w:szCs w:val="24"/>
          <w:lang w:val="pt-BR"/>
        </w:rPr>
        <w:t>.  Esta visão fornece uma base empírica objetiva para o parâmetro.</w:t>
      </w:r>
      <w:r>
        <w:rPr>
          <w:sz w:val="24"/>
          <w:szCs w:val="24"/>
          <w:vertAlign w:val="superscript"/>
          <w:lang w:val="pt-BR"/>
        </w:rPr>
        <w:t>24</w:t>
      </w:r>
    </w:p>
    <w:p w14:paraId="2958E8AF" w14:textId="77777777" w:rsidR="00684B6C" w:rsidRPr="00684B6C" w:rsidRDefault="00684B6C" w:rsidP="003F1C11">
      <w:pPr>
        <w:numPr>
          <w:ilvl w:val="0"/>
          <w:numId w:val="54"/>
        </w:numPr>
        <w:tabs>
          <w:tab w:val="clear" w:pos="720"/>
          <w:tab w:val="num" w:pos="1134"/>
        </w:tabs>
        <w:spacing w:line="360" w:lineRule="auto"/>
        <w:ind w:left="1134" w:hanging="283"/>
        <w:jc w:val="both"/>
        <w:rPr>
          <w:sz w:val="24"/>
          <w:szCs w:val="24"/>
          <w:lang w:val="pt-BR"/>
        </w:rPr>
      </w:pPr>
      <w:r>
        <w:rPr>
          <w:b/>
          <w:bCs/>
          <w:sz w:val="24"/>
          <w:szCs w:val="24"/>
          <w:lang w:val="pt-BR"/>
        </w:rPr>
        <w:t>A Abordagem de Satchell e Scowcroft (2000):</w:t>
      </w:r>
      <w:r>
        <w:rPr>
          <w:sz w:val="24"/>
          <w:szCs w:val="24"/>
          <w:lang w:val="pt-BR"/>
        </w:rPr>
        <w:t xml:space="preserve"> Propuseram fixar </w:t>
      </w:r>
      <m:oMath>
        <m:r>
          <w:rPr>
            <w:rFonts w:ascii="Cambria Math" w:hAnsi="Cambria Math"/>
            <w:sz w:val="24"/>
            <w:szCs w:val="24"/>
            <w:lang w:val="pt-BR"/>
          </w:rPr>
          <m:t>τ = 1</m:t>
        </m:r>
      </m:oMath>
      <w:r>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Pr>
          <w:sz w:val="24"/>
          <w:szCs w:val="24"/>
          <w:lang w:val="pt-BR"/>
        </w:rPr>
        <w:t xml:space="preserve"> seja recalibrada proporcionalmente para evitar que as visões dominem completamente o portfólio. Eles tratam a incerteza do prior e das visões como magnitudes comparáveis </w:t>
      </w:r>
      <w:r>
        <w:rPr>
          <w:i/>
          <w:iCs/>
          <w:sz w:val="24"/>
          <w:szCs w:val="24"/>
          <w:lang w:val="pt-BR"/>
        </w:rPr>
        <w:t>a priori</w:t>
      </w:r>
      <w:r>
        <w:rPr>
          <w:sz w:val="24"/>
          <w:szCs w:val="24"/>
          <w:lang w:val="pt-BR"/>
        </w:rPr>
        <w:t>.</w:t>
      </w:r>
      <w:r>
        <w:rPr>
          <w:sz w:val="24"/>
          <w:szCs w:val="24"/>
          <w:vertAlign w:val="superscript"/>
          <w:lang w:val="pt-BR"/>
        </w:rPr>
        <w:t>24</w:t>
      </w:r>
    </w:p>
    <w:p w14:paraId="52E353B2" w14:textId="77777777" w:rsidR="00684B6C" w:rsidRPr="00684B6C" w:rsidRDefault="00684B6C" w:rsidP="00B307E1">
      <w:pPr>
        <w:spacing w:line="360" w:lineRule="auto"/>
        <w:ind w:firstLine="851"/>
        <w:jc w:val="both"/>
        <w:rPr>
          <w:sz w:val="24"/>
          <w:szCs w:val="24"/>
          <w:lang w:val="pt-BR"/>
        </w:rPr>
      </w:pPr>
      <w:r>
        <w:rPr>
          <w:sz w:val="24"/>
          <w:szCs w:val="24"/>
          <w:lang w:val="pt-BR"/>
        </w:rPr>
        <w:t xml:space="preserve">Em última análise, como demonstrado por </w:t>
      </w:r>
      <w:r>
        <w:rPr>
          <w:b/>
          <w:bCs/>
          <w:sz w:val="24"/>
          <w:szCs w:val="24"/>
          <w:lang w:val="pt-BR"/>
        </w:rPr>
        <w:t>Thomas Idzorek (2005)</w:t>
      </w:r>
      <w:r>
        <w:rPr>
          <w:sz w:val="24"/>
          <w:szCs w:val="24"/>
          <w:lang w:val="pt-BR"/>
        </w:rPr>
        <w:t xml:space="preserve">, a escolha </w:t>
        <w:lastRenderedPageBreak/>
        <w:t xml:space="preserve">do valor escalar de </w:t>
      </w:r>
      <m:oMath>
        <m:r>
          <w:rPr>
            <w:rFonts w:ascii="Cambria Math" w:hAnsi="Cambria Math"/>
            <w:sz w:val="24"/>
            <w:szCs w:val="24"/>
            <w:lang w:val="pt-BR"/>
          </w:rPr>
          <m:t>τ</m:t>
        </m:r>
      </m:oMath>
      <w:r>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se a matriz </w:t>
      </w:r>
      <m:oMath>
        <m:r>
          <m:rPr>
            <m:sty m:val="p"/>
          </m:rPr>
          <w:rPr>
            <w:rFonts w:ascii="Cambria Math" w:hAnsi="Cambria Math"/>
            <w:sz w:val="24"/>
            <w:szCs w:val="24"/>
            <w:lang w:val="pt-BR"/>
          </w:rPr>
          <m:t>Ω</m:t>
        </m:r>
      </m:oMath>
      <w:r>
        <w:rPr>
          <w:sz w:val="24"/>
          <w:szCs w:val="24"/>
          <w:lang w:val="pt-BR"/>
        </w:rPr>
        <w:t xml:space="preserve"> for calibrada endogenamente proporcional a </w:t>
      </w:r>
      <m:oMath>
        <m:r>
          <w:rPr>
            <w:rFonts w:ascii="Cambria Math" w:hAnsi="Cambria Math"/>
            <w:sz w:val="24"/>
            <w:szCs w:val="24"/>
            <w:lang w:val="pt-BR"/>
          </w:rPr>
          <m:t>τ</m:t>
        </m:r>
      </m:oMath>
      <w:r>
        <w:rPr>
          <w:sz w:val="24"/>
          <w:szCs w:val="24"/>
          <w:lang w:val="pt-BR"/>
        </w:rPr>
        <w:t xml:space="preserve">. Contudo, </w:t>
      </w:r>
      <m:oMath>
        <m:r>
          <w:rPr>
            <w:rFonts w:ascii="Cambria Math" w:hAnsi="Cambria Math"/>
            <w:sz w:val="24"/>
            <w:szCs w:val="24"/>
            <w:lang w:val="pt-BR"/>
          </w:rPr>
          <m:t>τ</m:t>
        </m:r>
      </m:oMath>
      <w:r>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Pr>
          <w:sz w:val="24"/>
          <w:szCs w:val="24"/>
          <w:lang w:val="pt-BR"/>
        </w:rPr>
        <w:t>, influenciando a magnitude absoluta do risco estimado.</w:t>
      </w:r>
      <w:r>
        <w:rPr>
          <w:sz w:val="24"/>
          <w:szCs w:val="24"/>
          <w:vertAlign w:val="superscript"/>
          <w:lang w:val="pt-BR"/>
        </w:rPr>
        <w:t>17</w:t>
      </w:r>
    </w:p>
    <w:p w14:paraId="760EB07F" w14:textId="77777777" w:rsidR="00893C59" w:rsidRPr="00CB3C08" w:rsidRDefault="00893C59" w:rsidP="00893C59">
      <w:pPr>
        <w:rPr>
          <w:b/>
          <w:bCs/>
          <w:sz w:val="24"/>
          <w:szCs w:val="24"/>
          <w:lang w:val="pt-BR"/>
        </w:rPr>
      </w:pPr>
    </w:p>
    <w:p w14:paraId="2C95FA5D"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78" w:name="_Toc230857045"/>
      <w:r>
        <w:rPr>
          <w:b/>
          <w:bCs/>
          <w:sz w:val="24"/>
          <w:szCs w:val="24"/>
          <w:lang w:val="pt-BR"/>
        </w:rPr>
        <w:t xml:space="preserve">Inovações Práticas: O Método de Idzorek e a Matriz </w:t>
      </w:r>
      <m:oMath>
        <m:r>
          <m:rPr>
            <m:sty m:val="b"/>
          </m:rPr>
          <w:rPr>
            <w:rFonts w:ascii="Cambria Math" w:hAnsi="Cambria Math"/>
            <w:sz w:val="24"/>
            <w:szCs w:val="24"/>
            <w:lang w:val="pt-BR"/>
          </w:rPr>
          <m:t>Ω</m:t>
        </m:r>
      </m:oMath>
      <w:bookmarkEnd w:id="78"/>
    </w:p>
    <w:p w14:paraId="10B28FF0" w14:textId="77777777" w:rsidR="00893C59" w:rsidRPr="00684B6C" w:rsidRDefault="00893C59" w:rsidP="00893C59">
      <w:pPr>
        <w:spacing w:line="360" w:lineRule="auto"/>
        <w:jc w:val="both"/>
        <w:rPr>
          <w:b/>
          <w:bCs/>
          <w:sz w:val="24"/>
          <w:szCs w:val="24"/>
          <w:lang w:val="pt-BR"/>
        </w:rPr>
      </w:pPr>
    </w:p>
    <w:p w14:paraId="2D48AEF9" w14:textId="77777777" w:rsidR="00684B6C" w:rsidRPr="0037742A" w:rsidRDefault="00684B6C" w:rsidP="0037742A">
      <w:pPr>
        <w:spacing w:line="360" w:lineRule="auto"/>
        <w:ind w:firstLine="851"/>
        <w:jc w:val="both"/>
        <w:rPr>
          <w:sz w:val="24"/>
          <w:szCs w:val="24"/>
          <w:lang w:val="pt-BR"/>
        </w:rPr>
      </w:pPr>
      <w:r>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Pr>
          <w:sz w:val="24"/>
          <w:szCs w:val="24"/>
          <w:lang w:val="pt-BR"/>
        </w:rPr>
        <w:t>. Solicitar a um gestor que quantifique a "variância do erro da sua previsão" (ex: "Minha visão tem variância de 0.0045") é contra-intuitivo e propenso a erros de calibragem.</w:t>
      </w:r>
    </w:p>
    <w:p w14:paraId="586D568E" w14:textId="77777777" w:rsidR="00893C59" w:rsidRPr="00CB3C08" w:rsidRDefault="00893C59" w:rsidP="00893C59">
      <w:pPr>
        <w:rPr>
          <w:b/>
          <w:bCs/>
          <w:sz w:val="24"/>
          <w:szCs w:val="24"/>
          <w:lang w:val="pt-BR"/>
        </w:rPr>
      </w:pPr>
    </w:p>
    <w:p w14:paraId="759E6617" w14:textId="77777777" w:rsidR="00893C59" w:rsidRPr="00405771" w:rsidRDefault="00893C59" w:rsidP="003F1C11">
      <w:pPr>
        <w:pStyle w:val="PargrafodaLista"/>
        <w:numPr>
          <w:ilvl w:val="2"/>
          <w:numId w:val="32"/>
        </w:numPr>
        <w:spacing w:line="360" w:lineRule="auto"/>
        <w:jc w:val="both"/>
        <w:outlineLvl w:val="2"/>
        <w:rPr>
          <w:bCs/>
          <w:sz w:val="24"/>
          <w:szCs w:val="24"/>
          <w:lang w:val="pt-BR"/>
        </w:rPr>
      </w:pPr>
      <w:bookmarkStart w:id="79" w:name="_Toc230857046"/>
      <w:r>
        <w:rPr>
          <w:bCs/>
          <w:sz w:val="24"/>
          <w:szCs w:val="24"/>
          <w:lang w:val="pt-BR"/>
        </w:rPr>
        <w:t>O Algoritmo de Confiança Percentual (Idzorek, 2005)</w:t>
      </w:r>
      <w:bookmarkEnd w:id="79"/>
    </w:p>
    <w:p w14:paraId="58BF7EC2" w14:textId="77777777" w:rsidR="00684B6C" w:rsidRPr="00893C59" w:rsidRDefault="00684B6C" w:rsidP="00893C59">
      <w:pPr>
        <w:spacing w:line="360" w:lineRule="auto"/>
        <w:jc w:val="both"/>
        <w:rPr>
          <w:b/>
          <w:bCs/>
          <w:sz w:val="24"/>
          <w:szCs w:val="24"/>
          <w:lang w:val="pt-BR"/>
        </w:rPr>
      </w:pPr>
    </w:p>
    <w:p w14:paraId="456EC2CD" w14:textId="77777777" w:rsidR="0037742A" w:rsidRDefault="0037742A" w:rsidP="0037742A">
      <w:pPr>
        <w:spacing w:line="360" w:lineRule="auto"/>
        <w:ind w:firstLine="851"/>
        <w:jc w:val="both"/>
        <w:rPr>
          <w:sz w:val="24"/>
          <w:szCs w:val="24"/>
          <w:lang w:val="pt-BR"/>
        </w:rPr>
      </w:pPr>
    </w:p>
    <w:p w14:paraId="453402A5" w14:textId="77777777" w:rsidR="00684B6C" w:rsidRPr="00684B6C" w:rsidRDefault="00684B6C" w:rsidP="0037742A">
      <w:pPr>
        <w:spacing w:line="360" w:lineRule="auto"/>
        <w:ind w:firstLine="851"/>
        <w:jc w:val="both"/>
        <w:rPr>
          <w:sz w:val="24"/>
          <w:szCs w:val="24"/>
          <w:lang w:val="pt-BR"/>
        </w:rPr>
      </w:pPr>
      <w:r>
        <w:rPr>
          <w:sz w:val="24"/>
          <w:szCs w:val="24"/>
          <w:lang w:val="pt-BR"/>
        </w:rPr>
        <w:t xml:space="preserve">Thomas Idzorek propôs uma solução pragmática que traduz a intuição humana para a álgebra matricial. Seu método permite que o usuário especifique apenas um </w:t>
      </w:r>
      <w:r>
        <w:rPr>
          <w:b/>
          <w:bCs/>
          <w:sz w:val="24"/>
          <w:szCs w:val="24"/>
          <w:lang w:val="pt-BR"/>
        </w:rPr>
        <w:t>nível de confiança percentual</w:t>
      </w:r>
      <w:r>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Pr>
          <w:sz w:val="24"/>
          <w:szCs w:val="24"/>
          <w:lang w:val="pt-BR"/>
        </w:rPr>
        <w:t xml:space="preserve"> necessário.</w:t>
      </w:r>
      <w:r>
        <w:rPr>
          <w:sz w:val="24"/>
          <w:szCs w:val="24"/>
          <w:vertAlign w:val="superscript"/>
          <w:lang w:val="pt-BR"/>
        </w:rPr>
        <w:t>21</w:t>
      </w:r>
    </w:p>
    <w:p w14:paraId="77565B6A" w14:textId="77777777" w:rsidR="00684B6C" w:rsidRPr="00684B6C" w:rsidRDefault="00684B6C" w:rsidP="0037742A">
      <w:pPr>
        <w:spacing w:line="360" w:lineRule="auto"/>
        <w:ind w:firstLine="851"/>
        <w:jc w:val="both"/>
        <w:rPr>
          <w:sz w:val="24"/>
          <w:szCs w:val="24"/>
          <w:lang w:val="pt-BR"/>
        </w:rPr>
      </w:pPr>
      <w:r>
        <w:rPr>
          <w:sz w:val="24"/>
          <w:szCs w:val="24"/>
          <w:lang w:val="pt-BR"/>
        </w:rPr>
        <w:t>O processo, detalhado no trabalho seminal "A Step-by-Step Guide to the Black-Litterman Model" (2005), segue os seguintes passos lógicos:</w:t>
      </w:r>
    </w:p>
    <w:p w14:paraId="46FDEBCA"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Cálculo do Portfólio de Certeza Total:</w:t>
      </w:r>
      <w:r>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Pr>
          <w:sz w:val="24"/>
          <w:szCs w:val="24"/>
          <w:lang w:val="pt-BR"/>
        </w:rPr>
        <w:t>. Isso gera um vetor de pesos de alocação de "certeza total".</w:t>
      </w:r>
    </w:p>
    <w:p w14:paraId="164B8F02"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Determinação do Desvio Máximo:</w:t>
      </w:r>
      <w:r>
        <w:rPr>
          <w:sz w:val="24"/>
          <w:szCs w:val="24"/>
          <w:lang w:val="pt-BR"/>
        </w:rPr>
        <w:t xml:space="preserve"> Calcula-se a diferença de alocação (vetor de </w:t>
      </w:r>
      <w:r>
        <w:rPr>
          <w:i/>
          <w:iCs/>
          <w:sz w:val="24"/>
          <w:szCs w:val="24"/>
          <w:lang w:val="pt-BR"/>
        </w:rPr>
        <w:t>tilts</w:t>
      </w:r>
      <w:r>
        <w:rPr>
          <w:sz w:val="24"/>
          <w:szCs w:val="24"/>
          <w:lang w:val="pt-BR"/>
        </w:rPr>
        <w:t>) entre o portfólio de equilíbrio (sem visões) e o portfólio de certeza total.</w:t>
      </w:r>
    </w:p>
    <w:p w14:paraId="6BBA0568"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Interpolação Linear pela Confiança:</w:t>
      </w:r>
      <w:r>
        <w:rPr>
          <w:sz w:val="24"/>
          <w:szCs w:val="24"/>
          <w:lang w:val="pt-BR"/>
        </w:rPr>
        <w:t xml:space="preserve"> Se o investidor declara 50% de confiança, o algoritmo define que o </w:t>
      </w:r>
      <w:r>
        <w:rPr>
          <w:i/>
          <w:iCs/>
          <w:sz w:val="24"/>
          <w:szCs w:val="24"/>
          <w:lang w:val="pt-BR"/>
        </w:rPr>
        <w:t>tilt</w:t>
      </w:r>
      <w:r>
        <w:rPr>
          <w:sz w:val="24"/>
          <w:szCs w:val="24"/>
          <w:lang w:val="pt-BR"/>
        </w:rPr>
        <w:t xml:space="preserve"> alvo deve ser 50% do desvio máximo calculado no passo anterior.</w:t>
      </w:r>
    </w:p>
    <w:p w14:paraId="5A6E6423" w14:textId="77777777" w:rsidR="00684B6C" w:rsidRPr="00684B6C" w:rsidRDefault="00684B6C" w:rsidP="003F1C11">
      <w:pPr>
        <w:numPr>
          <w:ilvl w:val="0"/>
          <w:numId w:val="36"/>
        </w:numPr>
        <w:tabs>
          <w:tab w:val="clear" w:pos="720"/>
          <w:tab w:val="num" w:pos="1134"/>
        </w:tabs>
        <w:spacing w:line="360" w:lineRule="auto"/>
        <w:ind w:left="1134" w:hanging="283"/>
        <w:jc w:val="both"/>
        <w:rPr>
          <w:sz w:val="24"/>
          <w:szCs w:val="24"/>
          <w:lang w:val="pt-BR"/>
        </w:rPr>
      </w:pPr>
      <w:r>
        <w:rPr>
          <w:b/>
          <w:bCs/>
          <w:sz w:val="24"/>
          <w:szCs w:val="24"/>
          <w:lang w:val="pt-BR"/>
        </w:rPr>
        <w:t xml:space="preserve">Engenharia Reversa de </w:t>
      </w:r>
      <m:oMath>
        <m:r>
          <m:rPr>
            <m:sty m:val="b"/>
          </m:rPr>
          <w:rPr>
            <w:rFonts w:ascii="Cambria Math" w:hAnsi="Cambria Math"/>
            <w:sz w:val="24"/>
            <w:szCs w:val="24"/>
            <w:lang w:val="pt-BR"/>
          </w:rPr>
          <m:t>Ω</m:t>
        </m:r>
      </m:oMath>
      <w:r>
        <w:rPr>
          <w:b/>
          <w:bCs/>
          <w:sz w:val="24"/>
          <w:szCs w:val="24"/>
          <w:lang w:val="pt-BR"/>
        </w:rPr>
        <w:t>:</w:t>
      </w:r>
      <w:r>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Pr>
          <w:sz w:val="24"/>
          <w:szCs w:val="24"/>
          <w:lang w:val="pt-BR"/>
        </w:rPr>
        <w:t xml:space="preserve"> que, quando inseridos na fórmula mestra do BL, resultam exatamente nesses pesos-alvo </w:t>
        <w:lastRenderedPageBreak/>
        <w:t>interpolados.</w:t>
      </w:r>
    </w:p>
    <w:p w14:paraId="58046835" w14:textId="77777777" w:rsidR="00684B6C" w:rsidRPr="00684B6C" w:rsidRDefault="00684B6C" w:rsidP="00E71AB3">
      <w:pPr>
        <w:spacing w:line="360" w:lineRule="auto"/>
        <w:ind w:firstLine="851"/>
        <w:jc w:val="both"/>
        <w:rPr>
          <w:sz w:val="24"/>
          <w:szCs w:val="24"/>
          <w:lang w:val="pt-BR"/>
        </w:rPr>
      </w:pPr>
      <w:r>
        <w:rPr>
          <w:sz w:val="24"/>
          <w:szCs w:val="24"/>
          <w:lang w:val="pt-BR"/>
        </w:rPr>
        <w:t xml:space="preserve">A fórmula implícita derivada por Idzorek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Pr>
          <w:sz w:val="24"/>
          <w:szCs w:val="24"/>
          <w:lang w:val="pt-BR"/>
        </w:rPr>
        <w:t xml:space="preserve"> ajustada por um fator de escala </w:t>
      </w:r>
      <m:oMath>
        <m:r>
          <w:rPr>
            <w:rFonts w:ascii="Cambria Math" w:hAnsi="Cambria Math"/>
            <w:sz w:val="24"/>
            <w:szCs w:val="24"/>
            <w:lang w:val="pt-BR"/>
          </w:rPr>
          <m:t>(α)</m:t>
        </m:r>
      </m:oMath>
      <w:r>
        <w:rPr>
          <w:sz w:val="24"/>
          <w:szCs w:val="24"/>
          <w:lang w:val="pt-BR"/>
        </w:rPr>
        <w:t xml:space="preserve"> derivado da confiança </w:t>
      </w:r>
      <m:oMath>
        <m:r>
          <w:rPr>
            <w:rFonts w:ascii="Cambria Math" w:hAnsi="Cambria Math"/>
            <w:sz w:val="24"/>
            <w:szCs w:val="24"/>
            <w:lang w:val="pt-BR"/>
          </w:rPr>
          <m:t>(C)</m:t>
        </m:r>
      </m:oMath>
      <w:r>
        <w:rPr>
          <w:sz w:val="24"/>
          <w:szCs w:val="24"/>
          <w:lang w:val="pt-BR"/>
        </w:rPr>
        <w:t>:</w:t>
      </w:r>
    </w:p>
    <w:p w14:paraId="3C1E9CC2" w14:textId="77777777"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7D70A0B4" w14:textId="77777777" w:rsidR="00684B6C" w:rsidRPr="00684B6C" w:rsidRDefault="00684B6C" w:rsidP="006F0266">
      <w:pPr>
        <w:spacing w:line="360" w:lineRule="auto"/>
        <w:ind w:firstLine="851"/>
        <w:jc w:val="both"/>
        <w:rPr>
          <w:sz w:val="24"/>
          <w:szCs w:val="24"/>
          <w:lang w:val="pt-BR"/>
        </w:rPr>
      </w:pPr>
      <w:r>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64D21E9C" w14:textId="77777777" w:rsidR="00893C59" w:rsidRPr="00CB3C08" w:rsidRDefault="00893C59" w:rsidP="00893C59">
      <w:pPr>
        <w:rPr>
          <w:b/>
          <w:bCs/>
          <w:sz w:val="24"/>
          <w:szCs w:val="24"/>
          <w:lang w:val="pt-BR"/>
        </w:rPr>
      </w:pPr>
    </w:p>
    <w:p w14:paraId="6BED4560" w14:textId="77777777" w:rsidR="00893C59" w:rsidRPr="003D36D9" w:rsidRDefault="00893C59" w:rsidP="003F1C11">
      <w:pPr>
        <w:pStyle w:val="PargrafodaLista"/>
        <w:numPr>
          <w:ilvl w:val="1"/>
          <w:numId w:val="32"/>
        </w:numPr>
        <w:spacing w:line="360" w:lineRule="auto"/>
        <w:jc w:val="both"/>
        <w:outlineLvl w:val="1"/>
        <w:rPr>
          <w:b/>
          <w:bCs/>
          <w:sz w:val="24"/>
          <w:szCs w:val="24"/>
          <w:lang w:val="pt-BR"/>
        </w:rPr>
      </w:pPr>
      <w:bookmarkStart w:id="80" w:name="_Toc230857047"/>
      <w:r>
        <w:rPr>
          <w:b/>
          <w:bCs/>
          <w:sz w:val="24"/>
          <w:szCs w:val="24"/>
          <w:lang w:val="pt-BR"/>
        </w:rPr>
        <w:t>Comparação Crítica: BL, MPT e PMPT</w:t>
      </w:r>
      <w:bookmarkEnd w:id="80"/>
    </w:p>
    <w:p w14:paraId="088B53A3" w14:textId="77777777" w:rsidR="006F0266" w:rsidRDefault="006F0266" w:rsidP="006F0266">
      <w:pPr>
        <w:spacing w:line="360" w:lineRule="auto"/>
        <w:ind w:firstLine="851"/>
        <w:jc w:val="both"/>
        <w:rPr>
          <w:sz w:val="24"/>
          <w:szCs w:val="24"/>
          <w:lang w:val="pt-BR"/>
        </w:rPr>
      </w:pPr>
    </w:p>
    <w:p w14:paraId="64144D15" w14:textId="77777777" w:rsidR="00684B6C" w:rsidRDefault="00684B6C" w:rsidP="006F0266">
      <w:pPr>
        <w:spacing w:line="360" w:lineRule="auto"/>
        <w:ind w:firstLine="851"/>
        <w:jc w:val="both"/>
        <w:rPr>
          <w:sz w:val="24"/>
          <w:szCs w:val="24"/>
          <w:lang w:val="pt-BR"/>
        </w:rPr>
      </w:pPr>
      <w:r>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79DE19A8" w14:textId="77777777" w:rsidR="009551F5" w:rsidRPr="00CB3C08" w:rsidRDefault="009551F5" w:rsidP="009551F5">
      <w:pPr>
        <w:rPr>
          <w:b/>
          <w:bCs/>
          <w:sz w:val="24"/>
          <w:szCs w:val="24"/>
          <w:lang w:val="pt-BR"/>
        </w:rPr>
      </w:pPr>
    </w:p>
    <w:p w14:paraId="588B4BF9"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1" w:name="_Toc230857048"/>
      <w:r>
        <w:rPr>
          <w:bCs/>
          <w:sz w:val="24"/>
          <w:szCs w:val="24"/>
          <w:lang w:val="pt-BR"/>
        </w:rPr>
        <w:t>MPT vs. BL: A Correção da Estabilidade</w:t>
      </w:r>
      <w:bookmarkEnd w:id="81"/>
      <w:r>
        <w:rPr>
          <w:bCs/>
          <w:sz w:val="24"/>
          <w:szCs w:val="24"/>
          <w:lang w:val="pt-BR"/>
        </w:rPr>
        <w:t xml:space="preserve"> </w:t>
      </w:r>
    </w:p>
    <w:p w14:paraId="72EE78BA" w14:textId="77777777" w:rsidR="006F0266" w:rsidRDefault="006F0266" w:rsidP="00684B6C">
      <w:pPr>
        <w:spacing w:line="360" w:lineRule="auto"/>
        <w:jc w:val="both"/>
        <w:rPr>
          <w:sz w:val="24"/>
          <w:szCs w:val="24"/>
          <w:lang w:val="pt-BR"/>
        </w:rPr>
      </w:pPr>
    </w:p>
    <w:p w14:paraId="419A7FA4" w14:textId="77777777" w:rsidR="00684B6C" w:rsidRPr="00684B6C" w:rsidRDefault="00684B6C" w:rsidP="006F0266">
      <w:pPr>
        <w:spacing w:line="360" w:lineRule="auto"/>
        <w:ind w:firstLine="851"/>
        <w:jc w:val="both"/>
        <w:rPr>
          <w:sz w:val="24"/>
          <w:szCs w:val="24"/>
          <w:lang w:val="pt-BR"/>
        </w:rPr>
      </w:pPr>
      <w:r>
        <w:rPr>
          <w:sz w:val="24"/>
          <w:szCs w:val="24"/>
          <w:lang w:val="pt-BR"/>
        </w:rPr>
        <w:t xml:space="preserve">A MPT (Markowitz) falha primariamente na </w:t>
      </w:r>
      <w:r>
        <w:rPr>
          <w:b/>
          <w:bCs/>
          <w:sz w:val="24"/>
          <w:szCs w:val="24"/>
          <w:lang w:val="pt-BR"/>
        </w:rPr>
        <w:t>sensibilidade aos inputs</w:t>
      </w:r>
      <w:r>
        <w:rPr>
          <w:sz w:val="24"/>
          <w:szCs w:val="24"/>
          <w:lang w:val="pt-BR"/>
        </w:rPr>
        <w:t xml:space="preserve">. Como discutido (Seção 3.1.2), a MPT maximiza erros de estimação, levando a soluções de canto. O BL corrige isso não alterando o otimizador, mas "limpando" os inputs. Ao ancorar o retorno esperado </w:t>
      </w:r>
      <m:oMath>
        <m:r>
          <w:rPr>
            <w:rFonts w:ascii="Cambria Math" w:hAnsi="Cambria Math"/>
            <w:sz w:val="24"/>
            <w:szCs w:val="24"/>
            <w:lang w:val="pt-BR"/>
          </w:rPr>
          <m:t>(μ)</m:t>
        </m:r>
      </m:oMath>
      <w:r>
        <w:rPr>
          <w:sz w:val="24"/>
          <w:szCs w:val="24"/>
          <w:lang w:val="pt-BR"/>
        </w:rPr>
        <w:t xml:space="preserve"> no equilíbrio, o BL atua como um filtro Bayesiano que remove o ruído estatístico. O resultado são portfólios que, mesmo sem restrições, tendem a ser diversificados e intuitivos, ao contrário das alocações binárias da MPT pura.</w:t>
      </w:r>
      <w:r>
        <w:rPr>
          <w:sz w:val="24"/>
          <w:szCs w:val="24"/>
          <w:vertAlign w:val="superscript"/>
          <w:lang w:val="pt-BR"/>
        </w:rPr>
        <w:t>4</w:t>
      </w:r>
    </w:p>
    <w:p w14:paraId="5F1F8B05" w14:textId="77777777" w:rsidR="009551F5" w:rsidRPr="00CB3C08" w:rsidRDefault="009551F5" w:rsidP="009551F5">
      <w:pPr>
        <w:rPr>
          <w:b/>
          <w:bCs/>
          <w:sz w:val="24"/>
          <w:szCs w:val="24"/>
          <w:lang w:val="pt-BR"/>
        </w:rPr>
      </w:pPr>
    </w:p>
    <w:p w14:paraId="582533DA" w14:textId="77777777" w:rsidR="009551F5" w:rsidRPr="00405771" w:rsidRDefault="009551F5" w:rsidP="003F1C11">
      <w:pPr>
        <w:pStyle w:val="PargrafodaLista"/>
        <w:numPr>
          <w:ilvl w:val="2"/>
          <w:numId w:val="32"/>
        </w:numPr>
        <w:spacing w:line="360" w:lineRule="auto"/>
        <w:jc w:val="both"/>
        <w:outlineLvl w:val="2"/>
        <w:rPr>
          <w:bCs/>
          <w:sz w:val="24"/>
          <w:szCs w:val="24"/>
          <w:lang w:val="pt-BR"/>
        </w:rPr>
      </w:pPr>
      <w:bookmarkStart w:id="82" w:name="_Toc230857049"/>
      <w:r>
        <w:rPr>
          <w:bCs/>
          <w:sz w:val="24"/>
          <w:szCs w:val="24"/>
          <w:lang w:val="pt-BR"/>
        </w:rPr>
        <w:t>BL vs. PMPT: Complementaridade Estrutural</w:t>
      </w:r>
      <w:bookmarkEnd w:id="82"/>
      <w:r>
        <w:rPr>
          <w:bCs/>
          <w:sz w:val="24"/>
          <w:szCs w:val="24"/>
          <w:lang w:val="pt-BR"/>
        </w:rPr>
        <w:t xml:space="preserve"> </w:t>
      </w:r>
    </w:p>
    <w:p w14:paraId="264327C2" w14:textId="77777777" w:rsidR="009551F5" w:rsidRDefault="009551F5" w:rsidP="009551F5">
      <w:pPr>
        <w:spacing w:line="360" w:lineRule="auto"/>
        <w:jc w:val="both"/>
        <w:rPr>
          <w:sz w:val="24"/>
          <w:szCs w:val="24"/>
          <w:lang w:val="pt-BR"/>
        </w:rPr>
      </w:pPr>
    </w:p>
    <w:p w14:paraId="79591716"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Teoria Pós-Moderna do Portfólio (PMPT) critica a MPT por um motivo diferente: a </w:t>
      </w:r>
      <w:r>
        <w:rPr>
          <w:b/>
          <w:bCs/>
          <w:sz w:val="24"/>
          <w:szCs w:val="24"/>
          <w:lang w:val="pt-BR"/>
        </w:rPr>
        <w:t>medida de risco</w:t>
      </w:r>
      <w:r>
        <w:rPr>
          <w:sz w:val="24"/>
          <w:szCs w:val="24"/>
          <w:lang w:val="pt-BR"/>
        </w:rPr>
        <w:t>. A PMPT argumenta que a variância (utilizada tanto na MPT quanto no BL clássico) é uma medida falha porque penaliza a volatilidade positiva (</w:t>
      </w:r>
      <w:r>
        <w:rPr>
          <w:i/>
          <w:iCs/>
          <w:sz w:val="24"/>
          <w:szCs w:val="24"/>
          <w:lang w:val="pt-BR"/>
        </w:rPr>
        <w:t>upside</w:t>
      </w:r>
      <w:r>
        <w:rPr>
          <w:sz w:val="24"/>
          <w:szCs w:val="24"/>
          <w:lang w:val="pt-BR"/>
        </w:rPr>
        <w:t xml:space="preserve">) tanto quanto a negativa. A PMPT propõe métricas assimétricas como Semivariância, </w:t>
      </w:r>
      <w:r>
        <w:rPr>
          <w:i/>
          <w:iCs/>
          <w:sz w:val="24"/>
          <w:szCs w:val="24"/>
          <w:lang w:val="pt-BR"/>
        </w:rPr>
        <w:t>Downside Deviation</w:t>
      </w:r>
      <w:r>
        <w:rPr>
          <w:sz w:val="24"/>
          <w:szCs w:val="24"/>
          <w:lang w:val="pt-BR"/>
        </w:rPr>
        <w:t xml:space="preserve"> e CVaR (</w:t>
      </w:r>
      <w:r>
        <w:rPr>
          <w:i/>
          <w:iCs/>
          <w:sz w:val="24"/>
          <w:szCs w:val="24"/>
          <w:lang w:val="pt-BR"/>
        </w:rPr>
        <w:t>Conditional Value at Risk</w:t>
      </w:r>
      <w:r>
        <w:rPr>
          <w:sz w:val="24"/>
          <w:szCs w:val="24"/>
          <w:lang w:val="pt-BR"/>
        </w:rPr>
        <w:t>).</w:t>
      </w:r>
      <w:r>
        <w:rPr>
          <w:sz w:val="24"/>
          <w:szCs w:val="24"/>
          <w:vertAlign w:val="superscript"/>
          <w:lang w:val="pt-BR"/>
        </w:rPr>
        <w:t>26</w:t>
      </w:r>
    </w:p>
    <w:p w14:paraId="69D7B07C"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A relação entre BL e PMPT é de </w:t>
      </w:r>
      <w:r>
        <w:rPr>
          <w:b/>
          <w:bCs/>
          <w:sz w:val="24"/>
          <w:szCs w:val="24"/>
          <w:lang w:val="pt-BR"/>
        </w:rPr>
        <w:t>complementaridade</w:t>
      </w:r>
      <w:r>
        <w:rPr>
          <w:sz w:val="24"/>
          <w:szCs w:val="24"/>
          <w:lang w:val="pt-BR"/>
        </w:rPr>
        <w:t>, não substituição:</w:t>
      </w:r>
    </w:p>
    <w:p w14:paraId="129A6AE1"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t>Black-Litterman</w:t>
      </w:r>
      <w:r>
        <w:rPr>
          <w:sz w:val="24"/>
          <w:szCs w:val="24"/>
          <w:lang w:val="pt-BR"/>
        </w:rPr>
        <w:t xml:space="preserve"> foca na melhoria da </w:t>
      </w:r>
      <w:r>
        <w:rPr>
          <w:b/>
          <w:bCs/>
          <w:sz w:val="24"/>
          <w:szCs w:val="24"/>
          <w:lang w:val="pt-BR"/>
        </w:rPr>
        <w:t>Estimativa de Retorno</w:t>
      </w:r>
      <w:r>
        <w:rPr>
          <w:sz w:val="24"/>
          <w:szCs w:val="24"/>
          <w:lang w:val="pt-BR"/>
        </w:rPr>
        <w:t xml:space="preserve"> (Primeiro Momento, </w:t>
      </w:r>
      <m:oMath>
        <m:r>
          <w:rPr>
            <w:rFonts w:ascii="Cambria Math" w:hAnsi="Cambria Math"/>
            <w:sz w:val="24"/>
            <w:szCs w:val="24"/>
            <w:lang w:val="pt-BR"/>
          </w:rPr>
          <m:t>μ</m:t>
        </m:r>
      </m:oMath>
      <w:r>
        <w:rPr>
          <w:sz w:val="24"/>
          <w:szCs w:val="24"/>
          <w:lang w:val="pt-BR"/>
        </w:rPr>
        <w:t>).</w:t>
      </w:r>
    </w:p>
    <w:p w14:paraId="4902E772" w14:textId="77777777" w:rsidR="00684B6C" w:rsidRPr="00684B6C" w:rsidRDefault="00684B6C" w:rsidP="003F1C11">
      <w:pPr>
        <w:numPr>
          <w:ilvl w:val="0"/>
          <w:numId w:val="37"/>
        </w:numPr>
        <w:tabs>
          <w:tab w:val="clear" w:pos="720"/>
          <w:tab w:val="num" w:pos="1134"/>
        </w:tabs>
        <w:spacing w:line="360" w:lineRule="auto"/>
        <w:ind w:left="1134" w:hanging="283"/>
        <w:jc w:val="both"/>
        <w:rPr>
          <w:sz w:val="24"/>
          <w:szCs w:val="24"/>
          <w:lang w:val="pt-BR"/>
        </w:rPr>
      </w:pPr>
      <w:r>
        <w:rPr>
          <w:b/>
          <w:bCs/>
          <w:sz w:val="24"/>
          <w:szCs w:val="24"/>
          <w:lang w:val="pt-BR"/>
        </w:rPr>
        <w:lastRenderedPageBreak/>
        <w:t>PMPT</w:t>
      </w:r>
      <w:r>
        <w:rPr>
          <w:sz w:val="24"/>
          <w:szCs w:val="24"/>
          <w:lang w:val="pt-BR"/>
        </w:rPr>
        <w:t xml:space="preserve"> foca na melhoria da </w:t>
      </w:r>
      <w:r>
        <w:rPr>
          <w:b/>
          <w:bCs/>
          <w:sz w:val="24"/>
          <w:szCs w:val="24"/>
          <w:lang w:val="pt-BR"/>
        </w:rPr>
        <w:t>Medição de Risco</w:t>
      </w:r>
      <w:r>
        <w:rPr>
          <w:sz w:val="24"/>
          <w:szCs w:val="24"/>
          <w:lang w:val="pt-BR"/>
        </w:rPr>
        <w:t xml:space="preserve"> (Segundos Momentos e Caudas).</w:t>
      </w:r>
    </w:p>
    <w:p w14:paraId="0F75D29D" w14:textId="77777777" w:rsidR="00684B6C" w:rsidRPr="00684B6C" w:rsidRDefault="00684B6C" w:rsidP="009D1BFC">
      <w:pPr>
        <w:spacing w:line="360" w:lineRule="auto"/>
        <w:ind w:firstLine="851"/>
        <w:jc w:val="both"/>
        <w:rPr>
          <w:sz w:val="24"/>
          <w:szCs w:val="24"/>
          <w:lang w:val="pt-BR"/>
        </w:rPr>
      </w:pPr>
      <w:r>
        <w:rPr>
          <w:sz w:val="24"/>
          <w:szCs w:val="24"/>
          <w:lang w:val="pt-BR"/>
        </w:rPr>
        <w:t xml:space="preserve">Consequentemente, a fronteira da pesquisa atual em finanças quantitativas propõe modelos híbridos </w:t>
      </w:r>
      <w:r>
        <w:rPr>
          <w:b/>
          <w:bCs/>
          <w:sz w:val="24"/>
          <w:szCs w:val="24"/>
          <w:lang w:val="pt-BR"/>
        </w:rPr>
        <w:t>"BL-Mean-CVaR"</w:t>
      </w:r>
      <w:r>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Pr>
          <w:sz w:val="24"/>
          <w:szCs w:val="24"/>
          <w:lang w:val="pt-BR"/>
        </w:rPr>
        <w:t xml:space="preserve"> e, subsequentemente, alimenta-se este vetor em um otimizador que minimiza o CVaR ou maximiza o Índice de Sortino (PMPT), em vez de minimizar a variância. Estudos empíricos indicam que essa combinação "Inputs BL + Otimizador PMPT" gera os portfólios mais robustos </w:t>
      </w:r>
      <w:r>
        <w:rPr>
          <w:i/>
          <w:iCs/>
          <w:sz w:val="24"/>
          <w:szCs w:val="24"/>
          <w:lang w:val="pt-BR"/>
        </w:rPr>
        <w:t>out-of-sample</w:t>
      </w:r>
      <w:r>
        <w:rPr>
          <w:sz w:val="24"/>
          <w:szCs w:val="24"/>
          <w:lang w:val="pt-BR"/>
        </w:rPr>
        <w:t>, protegendo contra riscos de cauda enquanto evita a instabilidade de alocação.</w:t>
      </w:r>
      <w:r>
        <w:rPr>
          <w:sz w:val="24"/>
          <w:szCs w:val="24"/>
          <w:vertAlign w:val="superscript"/>
          <w:lang w:val="pt-BR"/>
        </w:rPr>
        <w:t>28</w:t>
      </w:r>
    </w:p>
    <w:p w14:paraId="361D8E7A" w14:textId="77777777" w:rsidR="00684B6C" w:rsidRPr="00684B6C" w:rsidRDefault="00684B6C" w:rsidP="00684B6C">
      <w:pPr>
        <w:spacing w:line="360" w:lineRule="auto"/>
        <w:jc w:val="both"/>
        <w:rPr>
          <w:b/>
          <w:bCs/>
          <w:sz w:val="24"/>
          <w:szCs w:val="24"/>
          <w:lang w:val="pt-BR"/>
        </w:rPr>
      </w:pPr>
      <w:r>
        <w:rPr>
          <w:b/>
          <w:bCs/>
          <w:sz w:val="24"/>
          <w:szCs w:val="24"/>
          <w:lang w:val="pt-BR"/>
        </w:rPr>
        <w:t>Tabela 3.1: Síntese Comparativa dos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160"/>
        <w:gridCol w:w="2241"/>
        <w:gridCol w:w="2321"/>
      </w:tblGrid>
      <w:tr w:rsidR="00684B6C" w:rsidRPr="00684B6C" w14:paraId="152A98D7"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FB610" w14:textId="77777777" w:rsidR="00684B6C" w:rsidRPr="00684B6C" w:rsidRDefault="00684B6C" w:rsidP="00684B6C">
            <w:pPr>
              <w:spacing w:line="360" w:lineRule="auto"/>
              <w:jc w:val="both"/>
              <w:rPr>
                <w:sz w:val="24"/>
                <w:szCs w:val="24"/>
                <w:lang w:val="pt-BR"/>
              </w:rPr>
            </w:pPr>
            <w:r>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85230" w14:textId="77777777" w:rsidR="00684B6C" w:rsidRPr="00684B6C" w:rsidRDefault="00684B6C" w:rsidP="00684B6C">
            <w:pPr>
              <w:spacing w:line="360" w:lineRule="auto"/>
              <w:jc w:val="both"/>
              <w:rPr>
                <w:sz w:val="24"/>
                <w:szCs w:val="24"/>
                <w:lang w:val="pt-BR"/>
              </w:rPr>
            </w:pPr>
            <w:r>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5D521" w14:textId="77777777" w:rsidR="00684B6C" w:rsidRPr="00684B6C" w:rsidRDefault="00684B6C" w:rsidP="00684B6C">
            <w:pPr>
              <w:spacing w:line="360" w:lineRule="auto"/>
              <w:jc w:val="both"/>
              <w:rPr>
                <w:sz w:val="24"/>
                <w:szCs w:val="24"/>
                <w:lang w:val="pt-BR"/>
              </w:rPr>
            </w:pPr>
            <w:r>
              <w:rPr>
                <w:b/>
                <w:bCs/>
                <w:sz w:val="24"/>
                <w:szCs w:val="24"/>
                <w:lang w:val="pt-BR"/>
              </w:rPr>
              <w:t>Black-Litterman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E16B9" w14:textId="77777777" w:rsidR="00684B6C" w:rsidRPr="00684B6C" w:rsidRDefault="00684B6C" w:rsidP="00684B6C">
            <w:pPr>
              <w:spacing w:line="360" w:lineRule="auto"/>
              <w:jc w:val="both"/>
              <w:rPr>
                <w:sz w:val="24"/>
                <w:szCs w:val="24"/>
                <w:lang w:val="pt-BR"/>
              </w:rPr>
            </w:pPr>
            <w:r>
              <w:rPr>
                <w:b/>
                <w:bCs/>
                <w:sz w:val="24"/>
                <w:szCs w:val="24"/>
                <w:lang w:val="pt-BR"/>
              </w:rPr>
              <w:t>PMPT (Pós-Moderna)</w:t>
            </w:r>
          </w:p>
        </w:tc>
      </w:tr>
      <w:tr w:rsidR="00684B6C" w:rsidRPr="00684B6C" w14:paraId="43FC3B7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63D95" w14:textId="77777777" w:rsidR="00684B6C" w:rsidRPr="00684B6C" w:rsidRDefault="00684B6C" w:rsidP="00684B6C">
            <w:pPr>
              <w:spacing w:line="360" w:lineRule="auto"/>
              <w:jc w:val="both"/>
              <w:rPr>
                <w:sz w:val="24"/>
                <w:szCs w:val="24"/>
                <w:lang w:val="pt-BR"/>
              </w:rPr>
            </w:pPr>
            <w:r>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54FED" w14:textId="77777777" w:rsidR="00684B6C" w:rsidRPr="00684B6C" w:rsidRDefault="00684B6C" w:rsidP="00684B6C">
            <w:pPr>
              <w:spacing w:line="360" w:lineRule="auto"/>
              <w:jc w:val="both"/>
              <w:rPr>
                <w:sz w:val="24"/>
                <w:szCs w:val="24"/>
                <w:lang w:val="pt-BR"/>
              </w:rPr>
            </w:pPr>
            <w:r>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805EB" w14:textId="77777777" w:rsidR="00684B6C" w:rsidRPr="00684B6C" w:rsidRDefault="00684B6C" w:rsidP="00684B6C">
            <w:pPr>
              <w:spacing w:line="360" w:lineRule="auto"/>
              <w:jc w:val="both"/>
              <w:rPr>
                <w:sz w:val="24"/>
                <w:szCs w:val="24"/>
                <w:lang w:val="pt-BR"/>
              </w:rPr>
            </w:pPr>
            <w:r>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01480BE0" w14:textId="77777777" w:rsidR="00684B6C" w:rsidRPr="00684B6C" w:rsidRDefault="00684B6C" w:rsidP="00684B6C">
            <w:pPr>
              <w:spacing w:line="360" w:lineRule="auto"/>
              <w:jc w:val="both"/>
              <w:rPr>
                <w:sz w:val="24"/>
                <w:szCs w:val="24"/>
                <w:lang w:val="pt-BR"/>
              </w:rPr>
            </w:pPr>
            <w:r>
              <w:rPr>
                <w:sz w:val="24"/>
                <w:szCs w:val="24"/>
                <w:lang w:val="pt-BR"/>
              </w:rPr>
              <w:t>Assimetria do Risco (Downside)</w:t>
            </w:r>
          </w:p>
        </w:tc>
      </w:tr>
      <w:tr w:rsidR="00684B6C" w:rsidRPr="00684B6C" w14:paraId="53C58753"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1E25A" w14:textId="77777777" w:rsidR="00684B6C" w:rsidRPr="00684B6C" w:rsidRDefault="00684B6C" w:rsidP="00684B6C">
            <w:pPr>
              <w:spacing w:line="360" w:lineRule="auto"/>
              <w:jc w:val="both"/>
              <w:rPr>
                <w:sz w:val="24"/>
                <w:szCs w:val="24"/>
                <w:lang w:val="pt-BR"/>
              </w:rPr>
            </w:pPr>
            <w:r>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57CC0" w14:textId="77777777" w:rsidR="00684B6C" w:rsidRPr="00684B6C" w:rsidRDefault="00684B6C" w:rsidP="00684B6C">
            <w:pPr>
              <w:spacing w:line="360" w:lineRule="auto"/>
              <w:jc w:val="both"/>
              <w:rPr>
                <w:sz w:val="24"/>
                <w:szCs w:val="24"/>
                <w:lang w:val="pt-BR"/>
              </w:rPr>
            </w:pPr>
            <w:r>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F945C" w14:textId="77777777" w:rsidR="00684B6C" w:rsidRPr="00684B6C" w:rsidRDefault="00684B6C" w:rsidP="00684B6C">
            <w:pPr>
              <w:spacing w:line="360" w:lineRule="auto"/>
              <w:jc w:val="both"/>
              <w:rPr>
                <w:sz w:val="24"/>
                <w:szCs w:val="24"/>
                <w:lang w:val="pt-BR"/>
              </w:rPr>
            </w:pPr>
            <w:r>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B799D" w14:textId="77777777" w:rsidR="00684B6C" w:rsidRPr="00684B6C" w:rsidRDefault="00684B6C" w:rsidP="00684B6C">
            <w:pPr>
              <w:spacing w:line="360" w:lineRule="auto"/>
              <w:jc w:val="both"/>
              <w:rPr>
                <w:sz w:val="24"/>
                <w:szCs w:val="24"/>
                <w:lang w:val="pt-BR"/>
              </w:rPr>
            </w:pPr>
            <w:r>
              <w:rPr>
                <w:sz w:val="24"/>
                <w:szCs w:val="24"/>
                <w:lang w:val="pt-BR"/>
              </w:rPr>
              <w:t>Histórico ou Subjetivo</w:t>
            </w:r>
          </w:p>
        </w:tc>
      </w:tr>
      <w:tr w:rsidR="00684B6C" w:rsidRPr="00684B6C" w14:paraId="42A24B00"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56EC4" w14:textId="77777777" w:rsidR="00684B6C" w:rsidRPr="00684B6C" w:rsidRDefault="00684B6C" w:rsidP="00684B6C">
            <w:pPr>
              <w:spacing w:line="360" w:lineRule="auto"/>
              <w:jc w:val="both"/>
              <w:rPr>
                <w:sz w:val="24"/>
                <w:szCs w:val="24"/>
                <w:lang w:val="pt-BR"/>
              </w:rPr>
            </w:pPr>
            <w:r>
              <w:rPr>
                <w:b/>
                <w:bCs/>
                <w:sz w:val="24"/>
                <w:szCs w:val="24"/>
                <w:lang w:val="pt-BR"/>
              </w:rPr>
              <w:t>Tratamento de 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73976" w14:textId="77777777" w:rsidR="00684B6C" w:rsidRPr="00684B6C" w:rsidRDefault="00684B6C" w:rsidP="00684B6C">
            <w:pPr>
              <w:spacing w:line="360" w:lineRule="auto"/>
              <w:jc w:val="both"/>
              <w:rPr>
                <w:sz w:val="24"/>
                <w:szCs w:val="24"/>
                <w:lang w:val="pt-BR"/>
              </w:rPr>
            </w:pPr>
            <w:r>
              <w:rPr>
                <w:sz w:val="24"/>
                <w:szCs w:val="24"/>
                <w:lang w:val="pt-BR"/>
              </w:rPr>
              <w:t>Maximiza Erros (Michaud)</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418B1" w14:textId="77777777" w:rsidR="00684B6C" w:rsidRPr="00684B6C" w:rsidRDefault="00684B6C" w:rsidP="00684B6C">
            <w:pPr>
              <w:spacing w:line="360" w:lineRule="auto"/>
              <w:jc w:val="both"/>
              <w:rPr>
                <w:sz w:val="24"/>
                <w:szCs w:val="24"/>
                <w:lang w:val="pt-BR"/>
              </w:rPr>
            </w:pPr>
            <w:r>
              <w:rPr>
                <w:sz w:val="24"/>
                <w:szCs w:val="24"/>
                <w:lang w:val="pt-BR"/>
              </w:rPr>
              <w:t xml:space="preserve">Mitiga via </w:t>
            </w:r>
            <w:r>
              <w:rPr>
                <w:i/>
                <w:iCs/>
                <w:sz w:val="24"/>
                <w:szCs w:val="24"/>
                <w:lang w:val="pt-BR"/>
              </w:rPr>
              <w:t>Shrinkage</w:t>
            </w:r>
            <w:r>
              <w:rPr>
                <w:sz w:val="24"/>
                <w:szCs w:val="24"/>
                <w:lang w:val="pt-BR"/>
              </w:rPr>
              <w:t xml:space="preserve"> (Prior)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F41A50" w14:textId="77777777" w:rsidR="00684B6C" w:rsidRPr="00684B6C" w:rsidRDefault="00684B6C" w:rsidP="00684B6C">
            <w:pPr>
              <w:spacing w:line="360" w:lineRule="auto"/>
              <w:jc w:val="both"/>
              <w:rPr>
                <w:sz w:val="24"/>
                <w:szCs w:val="24"/>
                <w:lang w:val="pt-BR"/>
              </w:rPr>
            </w:pPr>
            <w:r>
              <w:rPr>
                <w:sz w:val="24"/>
                <w:szCs w:val="24"/>
                <w:lang w:val="pt-BR"/>
              </w:rPr>
              <w:t>Neutro (Depende do Input)</w:t>
            </w:r>
          </w:p>
        </w:tc>
      </w:tr>
      <w:tr w:rsidR="00684B6C" w:rsidRPr="00684B6C" w14:paraId="5A54683D"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2413F7" w14:textId="77777777" w:rsidR="00684B6C" w:rsidRPr="00684B6C" w:rsidRDefault="00684B6C" w:rsidP="00684B6C">
            <w:pPr>
              <w:spacing w:line="360" w:lineRule="auto"/>
              <w:jc w:val="both"/>
              <w:rPr>
                <w:sz w:val="24"/>
                <w:szCs w:val="24"/>
                <w:lang w:val="pt-BR"/>
              </w:rPr>
            </w:pPr>
            <w:r>
              <w:rPr>
                <w:b/>
                <w:bCs/>
                <w:sz w:val="24"/>
                <w:szCs w:val="24"/>
                <w:lang w:val="pt-BR"/>
              </w:rPr>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EEA2E" w14:textId="77777777" w:rsidR="00684B6C" w:rsidRPr="00684B6C" w:rsidRDefault="00684B6C" w:rsidP="00684B6C">
            <w:pPr>
              <w:spacing w:line="360" w:lineRule="auto"/>
              <w:jc w:val="both"/>
              <w:rPr>
                <w:sz w:val="24"/>
                <w:szCs w:val="24"/>
                <w:lang w:val="pt-BR"/>
              </w:rPr>
            </w:pPr>
            <w:r>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AE5CA" w14:textId="77777777" w:rsidR="00684B6C" w:rsidRPr="00684B6C" w:rsidRDefault="00684B6C" w:rsidP="00684B6C">
            <w:pPr>
              <w:spacing w:line="360" w:lineRule="auto"/>
              <w:jc w:val="both"/>
              <w:rPr>
                <w:sz w:val="24"/>
                <w:szCs w:val="24"/>
                <w:lang w:val="pt-BR"/>
              </w:rPr>
            </w:pPr>
            <w:r>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E529F" w14:textId="77777777" w:rsidR="00684B6C" w:rsidRPr="00684B6C" w:rsidRDefault="00684B6C" w:rsidP="00684B6C">
            <w:pPr>
              <w:spacing w:line="360" w:lineRule="auto"/>
              <w:jc w:val="both"/>
              <w:rPr>
                <w:sz w:val="24"/>
                <w:szCs w:val="24"/>
                <w:lang w:val="pt-BR"/>
              </w:rPr>
            </w:pPr>
            <w:r>
              <w:rPr>
                <w:sz w:val="24"/>
                <w:szCs w:val="24"/>
                <w:lang w:val="pt-BR"/>
              </w:rPr>
              <w:t>Semivariância, CVaR, LPM</w:t>
            </w:r>
          </w:p>
        </w:tc>
      </w:tr>
      <w:tr w:rsidR="00684B6C" w:rsidRPr="00684B6C" w14:paraId="702C32C1"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FDB20" w14:textId="77777777" w:rsidR="00684B6C" w:rsidRPr="00684B6C" w:rsidRDefault="00684B6C" w:rsidP="00684B6C">
            <w:pPr>
              <w:spacing w:line="360" w:lineRule="auto"/>
              <w:jc w:val="both"/>
              <w:rPr>
                <w:sz w:val="24"/>
                <w:szCs w:val="24"/>
                <w:lang w:val="pt-BR"/>
              </w:rPr>
            </w:pPr>
            <w:r>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65B35" w14:textId="77777777" w:rsidR="00684B6C" w:rsidRPr="00684B6C" w:rsidRDefault="00684B6C" w:rsidP="00684B6C">
            <w:pPr>
              <w:spacing w:line="360" w:lineRule="auto"/>
              <w:jc w:val="both"/>
              <w:rPr>
                <w:sz w:val="24"/>
                <w:szCs w:val="24"/>
                <w:lang w:val="pt-BR"/>
              </w:rPr>
            </w:pPr>
            <w:r>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A80B" w14:textId="77777777" w:rsidR="00684B6C" w:rsidRPr="00684B6C" w:rsidRDefault="00684B6C" w:rsidP="00684B6C">
            <w:pPr>
              <w:spacing w:line="360" w:lineRule="auto"/>
              <w:jc w:val="both"/>
              <w:rPr>
                <w:sz w:val="24"/>
                <w:szCs w:val="24"/>
                <w:lang w:val="pt-BR"/>
              </w:rPr>
            </w:pPr>
            <w:r>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C72C8" w14:textId="77777777" w:rsidR="00684B6C" w:rsidRPr="00684B6C" w:rsidRDefault="00684B6C" w:rsidP="00684B6C">
            <w:pPr>
              <w:spacing w:line="360" w:lineRule="auto"/>
              <w:jc w:val="both"/>
              <w:rPr>
                <w:sz w:val="24"/>
                <w:szCs w:val="24"/>
                <w:lang w:val="pt-BR"/>
              </w:rPr>
            </w:pPr>
            <w:r>
              <w:rPr>
                <w:sz w:val="24"/>
                <w:szCs w:val="24"/>
                <w:lang w:val="pt-BR"/>
              </w:rPr>
              <w:t>Proteção de Cauda e Assimetria</w:t>
            </w:r>
          </w:p>
        </w:tc>
      </w:tr>
    </w:tbl>
    <w:p w14:paraId="6AA3F69E" w14:textId="77777777" w:rsidR="009551F5" w:rsidRPr="00CB3C08" w:rsidRDefault="009551F5" w:rsidP="009551F5">
      <w:pPr>
        <w:rPr>
          <w:b/>
          <w:bCs/>
          <w:sz w:val="24"/>
          <w:szCs w:val="24"/>
          <w:lang w:val="pt-BR"/>
        </w:rPr>
      </w:pPr>
    </w:p>
    <w:p w14:paraId="2F3909CE" w14:textId="77777777" w:rsidR="009551F5" w:rsidRPr="001E51C0" w:rsidRDefault="009551F5" w:rsidP="003F1C11">
      <w:pPr>
        <w:pStyle w:val="PargrafodaLista"/>
        <w:numPr>
          <w:ilvl w:val="1"/>
          <w:numId w:val="32"/>
        </w:numPr>
        <w:spacing w:line="360" w:lineRule="auto"/>
        <w:jc w:val="both"/>
        <w:outlineLvl w:val="1"/>
        <w:rPr>
          <w:b/>
          <w:bCs/>
          <w:sz w:val="24"/>
          <w:szCs w:val="24"/>
          <w:lang w:val="pt-BR"/>
        </w:rPr>
      </w:pPr>
      <w:bookmarkStart w:id="83" w:name="_Toc230857050"/>
      <w:r>
        <w:rPr>
          <w:b/>
          <w:bCs/>
          <w:sz w:val="24"/>
          <w:szCs w:val="24"/>
          <w:lang w:val="pt-BR"/>
        </w:rPr>
        <w:t>Limitações e Extensões Modernas</w:t>
      </w:r>
      <w:bookmarkEnd w:id="83"/>
      <w:r>
        <w:rPr>
          <w:b/>
          <w:bCs/>
          <w:sz w:val="24"/>
          <w:szCs w:val="24"/>
          <w:lang w:val="pt-BR"/>
        </w:rPr>
        <w:t xml:space="preserve"> </w:t>
      </w:r>
    </w:p>
    <w:p w14:paraId="3A39E7B9" w14:textId="77777777" w:rsidR="009551F5" w:rsidRDefault="009551F5" w:rsidP="009551F5">
      <w:pPr>
        <w:spacing w:line="360" w:lineRule="auto"/>
        <w:jc w:val="both"/>
        <w:rPr>
          <w:sz w:val="24"/>
          <w:szCs w:val="24"/>
          <w:lang w:val="pt-BR"/>
        </w:rPr>
      </w:pPr>
    </w:p>
    <w:p w14:paraId="5A7B6D69" w14:textId="77777777" w:rsidR="00684B6C" w:rsidRDefault="00684B6C" w:rsidP="00B32249">
      <w:pPr>
        <w:spacing w:line="360" w:lineRule="auto"/>
        <w:ind w:firstLine="851"/>
        <w:jc w:val="both"/>
        <w:rPr>
          <w:sz w:val="24"/>
          <w:szCs w:val="24"/>
          <w:lang w:val="pt-BR"/>
        </w:rPr>
      </w:pPr>
      <w:r>
        <w:rPr>
          <w:sz w:val="24"/>
          <w:szCs w:val="24"/>
          <w:lang w:val="pt-BR"/>
        </w:rPr>
        <w:t>Apesar de sua elegância, o modelo BL clássico de 1992 não é isento de falhas, muitas das quais derivam de suas premissas simplificadoras herdadas da MPT.</w:t>
      </w:r>
    </w:p>
    <w:p w14:paraId="4C2140BE" w14:textId="77777777" w:rsidR="009551F5" w:rsidRPr="00CB3C08" w:rsidRDefault="009551F5" w:rsidP="009551F5">
      <w:pPr>
        <w:rPr>
          <w:b/>
          <w:bCs/>
          <w:sz w:val="24"/>
          <w:szCs w:val="24"/>
          <w:lang w:val="pt-BR"/>
        </w:rPr>
      </w:pPr>
    </w:p>
    <w:p w14:paraId="32BD8C92" w14:textId="77777777" w:rsidR="009551F5" w:rsidRPr="001E51C0" w:rsidRDefault="009551F5" w:rsidP="003F1C11">
      <w:pPr>
        <w:pStyle w:val="PargrafodaLista"/>
        <w:numPr>
          <w:ilvl w:val="2"/>
          <w:numId w:val="32"/>
        </w:numPr>
        <w:spacing w:line="360" w:lineRule="auto"/>
        <w:jc w:val="both"/>
        <w:outlineLvl w:val="2"/>
        <w:rPr>
          <w:bCs/>
          <w:sz w:val="24"/>
          <w:szCs w:val="24"/>
          <w:lang w:val="pt-BR"/>
        </w:rPr>
      </w:pPr>
      <w:bookmarkStart w:id="84" w:name="_Toc230857051"/>
      <w:r>
        <w:rPr>
          <w:bCs/>
          <w:sz w:val="24"/>
          <w:szCs w:val="24"/>
          <w:lang w:val="pt-BR"/>
        </w:rPr>
        <w:t>Dependência da Normalidade e do CAPM</w:t>
      </w:r>
      <w:bookmarkEnd w:id="84"/>
    </w:p>
    <w:p w14:paraId="2CC684D2" w14:textId="77777777" w:rsidR="00B32249" w:rsidRDefault="00B32249" w:rsidP="00684B6C">
      <w:pPr>
        <w:spacing w:line="360" w:lineRule="auto"/>
        <w:jc w:val="both"/>
        <w:rPr>
          <w:sz w:val="24"/>
          <w:szCs w:val="24"/>
          <w:lang w:val="pt-BR"/>
        </w:rPr>
      </w:pPr>
    </w:p>
    <w:p w14:paraId="56E24694" w14:textId="77777777" w:rsidR="00684B6C" w:rsidRPr="00684B6C" w:rsidRDefault="00684B6C" w:rsidP="00B32249">
      <w:pPr>
        <w:spacing w:line="360" w:lineRule="auto"/>
        <w:ind w:firstLine="851"/>
        <w:jc w:val="both"/>
        <w:rPr>
          <w:sz w:val="24"/>
          <w:szCs w:val="24"/>
          <w:lang w:val="pt-BR"/>
        </w:rPr>
      </w:pPr>
      <w:r>
        <w:rPr>
          <w:sz w:val="24"/>
          <w:szCs w:val="24"/>
          <w:lang w:val="pt-BR"/>
        </w:rPr>
        <w:t xml:space="preserve">O modelo assume que os retornos dos ativos seguem uma distribuição Normal </w:t>
        <w:lastRenderedPageBreak/>
        <w:t>Multivariada. Esta suposição é empiricamente rejeitada pela presença observada de "caudas gordas" (leptocurtose) e assimetria (</w:t>
      </w:r>
      <w:r>
        <w:rPr>
          <w:i/>
          <w:iCs/>
          <w:sz w:val="24"/>
          <w:szCs w:val="24"/>
          <w:lang w:val="pt-BR"/>
        </w:rPr>
        <w:t>skewness</w:t>
      </w:r>
      <w:r>
        <w:rPr>
          <w:sz w:val="24"/>
          <w:szCs w:val="24"/>
          <w:lang w:val="pt-BR"/>
        </w:rPr>
        <w:t>) nos mercados financeiros, especialmente em períodos de crise.</w:t>
      </w:r>
      <w:r>
        <w:rPr>
          <w:sz w:val="24"/>
          <w:szCs w:val="24"/>
          <w:vertAlign w:val="superscript"/>
          <w:lang w:val="pt-BR"/>
        </w:rPr>
        <w:t>30</w:t>
      </w:r>
      <w:r>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Pr>
          <w:i/>
          <w:iCs/>
          <w:sz w:val="24"/>
          <w:szCs w:val="24"/>
          <w:lang w:val="pt-BR"/>
        </w:rPr>
        <w:t>proxy</w:t>
      </w:r>
      <w:r>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Pr>
          <w:sz w:val="24"/>
          <w:szCs w:val="24"/>
          <w:lang w:val="pt-BR"/>
        </w:rPr>
        <w:t xml:space="preserve"> estará enviesado ("Garbage In"), contaminando toda a alocação subsequente.</w:t>
      </w:r>
      <w:r>
        <w:rPr>
          <w:sz w:val="24"/>
          <w:szCs w:val="24"/>
          <w:vertAlign w:val="superscript"/>
          <w:lang w:val="pt-BR"/>
        </w:rPr>
        <w:t>11</w:t>
      </w:r>
    </w:p>
    <w:p w14:paraId="41BA70E2" w14:textId="77777777" w:rsidR="009551F5" w:rsidRPr="00CB3C08" w:rsidRDefault="009551F5" w:rsidP="009551F5">
      <w:pPr>
        <w:rPr>
          <w:b/>
          <w:bCs/>
          <w:sz w:val="24"/>
          <w:szCs w:val="24"/>
          <w:lang w:val="pt-BR"/>
        </w:rPr>
      </w:pPr>
    </w:p>
    <w:p w14:paraId="28897521" w14:textId="77777777" w:rsidR="009551F5" w:rsidRPr="001E51C0" w:rsidRDefault="009551F5" w:rsidP="003F1C11">
      <w:pPr>
        <w:pStyle w:val="PargrafodaLista"/>
        <w:numPr>
          <w:ilvl w:val="2"/>
          <w:numId w:val="32"/>
        </w:numPr>
        <w:spacing w:line="360" w:lineRule="auto"/>
        <w:jc w:val="both"/>
        <w:outlineLvl w:val="2"/>
        <w:rPr>
          <w:bCs/>
          <w:sz w:val="24"/>
          <w:szCs w:val="24"/>
          <w:lang w:val="en-US"/>
        </w:rPr>
      </w:pPr>
      <w:bookmarkStart w:id="85" w:name="_Toc230857052"/>
      <w:r>
        <w:rPr>
          <w:bCs/>
          <w:sz w:val="24"/>
          <w:szCs w:val="24"/>
          <w:lang w:val="en-US"/>
        </w:rPr>
        <w:t>Entropy Pooling e Fully Flexible Views (Meucci)</w:t>
      </w:r>
      <w:bookmarkEnd w:id="85"/>
      <w:r>
        <w:rPr>
          <w:bCs/>
          <w:sz w:val="24"/>
          <w:szCs w:val="24"/>
          <w:lang w:val="en-US"/>
        </w:rPr>
        <w:t xml:space="preserve"> </w:t>
      </w:r>
    </w:p>
    <w:p w14:paraId="3C5F4376" w14:textId="77777777" w:rsidR="009551F5" w:rsidRPr="009551F5" w:rsidRDefault="009551F5" w:rsidP="009551F5">
      <w:pPr>
        <w:spacing w:line="360" w:lineRule="auto"/>
        <w:jc w:val="both"/>
        <w:rPr>
          <w:sz w:val="24"/>
          <w:szCs w:val="24"/>
          <w:lang w:val="en-US"/>
        </w:rPr>
      </w:pPr>
    </w:p>
    <w:p w14:paraId="2DABE2DB" w14:textId="77777777" w:rsidR="00684B6C" w:rsidRPr="00684B6C" w:rsidRDefault="00684B6C" w:rsidP="0097407C">
      <w:pPr>
        <w:spacing w:line="360" w:lineRule="auto"/>
        <w:ind w:firstLine="851"/>
        <w:jc w:val="both"/>
        <w:rPr>
          <w:sz w:val="24"/>
          <w:szCs w:val="24"/>
          <w:lang w:val="pt-BR"/>
        </w:rPr>
      </w:pPr>
      <w:r>
        <w:rPr>
          <w:sz w:val="24"/>
          <w:szCs w:val="24"/>
          <w:lang w:val="pt-BR"/>
        </w:rPr>
        <w:t xml:space="preserve">Para superar a restrição da normalidade, Attilio Meucci (2008, 2010) introduziu a generalização conhecida como </w:t>
      </w:r>
      <w:r>
        <w:rPr>
          <w:b/>
          <w:bCs/>
          <w:sz w:val="24"/>
          <w:szCs w:val="24"/>
          <w:lang w:val="pt-BR"/>
        </w:rPr>
        <w:t>Entropy Pooling</w:t>
      </w:r>
      <w:r>
        <w:rPr>
          <w:sz w:val="24"/>
          <w:szCs w:val="24"/>
          <w:lang w:val="pt-BR"/>
        </w:rPr>
        <w:t xml:space="preserve"> (Agrupamento de Entropia). Diferente do BL que usa fórmulas fechadas para conjugados gaussianos, o Entropy Pooling utiliza otimização numérica para minimizar a </w:t>
      </w:r>
      <w:r>
        <w:rPr>
          <w:b/>
          <w:bCs/>
          <w:sz w:val="24"/>
          <w:szCs w:val="24"/>
          <w:lang w:val="pt-BR"/>
        </w:rPr>
        <w:t>Divergência de Kullback-Leibler</w:t>
      </w:r>
      <w:r>
        <w:rPr>
          <w:sz w:val="24"/>
          <w:szCs w:val="24"/>
          <w:lang w:val="pt-BR"/>
        </w:rPr>
        <w:t xml:space="preserve"> (Entropia Relativa) entre a distribuição Prior e a Posterior.</w:t>
      </w:r>
      <w:r>
        <w:rPr>
          <w:sz w:val="24"/>
          <w:szCs w:val="24"/>
          <w:vertAlign w:val="superscript"/>
          <w:lang w:val="pt-BR"/>
        </w:rPr>
        <w:t>30</w:t>
      </w:r>
    </w:p>
    <w:p w14:paraId="362AAEFF" w14:textId="77777777" w:rsidR="00684B6C" w:rsidRPr="00684B6C" w:rsidRDefault="00684B6C" w:rsidP="0097407C">
      <w:pPr>
        <w:spacing w:line="360" w:lineRule="auto"/>
        <w:ind w:firstLine="851"/>
        <w:jc w:val="both"/>
        <w:rPr>
          <w:sz w:val="24"/>
          <w:szCs w:val="24"/>
          <w:lang w:val="pt-BR"/>
        </w:rPr>
      </w:pPr>
      <w:r>
        <w:rPr>
          <w:sz w:val="24"/>
          <w:szCs w:val="24"/>
          <w:lang w:val="pt-BR"/>
        </w:rPr>
        <w:t>As vantagens desta extensão são profundas:</w:t>
      </w:r>
    </w:p>
    <w:p w14:paraId="1E88326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Prior Genérico:</w:t>
      </w:r>
      <w:r>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6A022AA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Visões Flexíveis:</w:t>
      </w:r>
      <w:r>
        <w:rPr>
          <w:sz w:val="24"/>
          <w:szCs w:val="24"/>
          <w:lang w:val="pt-BR"/>
        </w:rPr>
        <w:t xml:space="preserve"> O gestor não se limita a visões sobre médias </w:t>
      </w:r>
      <m:oMath>
        <m:r>
          <w:rPr>
            <w:rFonts w:ascii="Cambria Math" w:hAnsi="Cambria Math"/>
            <w:sz w:val="24"/>
            <w:szCs w:val="24"/>
            <w:lang w:val="pt-BR"/>
          </w:rPr>
          <m:t>(Q)</m:t>
        </m:r>
      </m:oMath>
      <w:r>
        <w:rPr>
          <w:sz w:val="24"/>
          <w:szCs w:val="24"/>
          <w:lang w:val="pt-BR"/>
        </w:rPr>
        <w:t>. É possível inserir visões sobre volatilidade ("A vol vai aumentar"), correlação, ou medidas de cauda como o VaR ("O risco de perda máxima será de 15%").</w:t>
      </w:r>
    </w:p>
    <w:p w14:paraId="702B19F6" w14:textId="77777777" w:rsidR="00684B6C" w:rsidRPr="00684B6C" w:rsidRDefault="00684B6C" w:rsidP="003F1C11">
      <w:pPr>
        <w:numPr>
          <w:ilvl w:val="0"/>
          <w:numId w:val="38"/>
        </w:numPr>
        <w:tabs>
          <w:tab w:val="clear" w:pos="720"/>
          <w:tab w:val="num" w:pos="1134"/>
        </w:tabs>
        <w:spacing w:line="360" w:lineRule="auto"/>
        <w:ind w:left="1134" w:hanging="283"/>
        <w:jc w:val="both"/>
        <w:rPr>
          <w:sz w:val="24"/>
          <w:szCs w:val="24"/>
          <w:lang w:val="pt-BR"/>
        </w:rPr>
      </w:pPr>
      <w:r>
        <w:rPr>
          <w:b/>
          <w:bCs/>
          <w:sz w:val="24"/>
          <w:szCs w:val="24"/>
          <w:lang w:val="pt-BR"/>
        </w:rPr>
        <w:t>Consistência:</w:t>
      </w:r>
      <w:r>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408FF5A4" w14:textId="77777777" w:rsidR="00684B6C" w:rsidRPr="00684B6C" w:rsidRDefault="00684B6C" w:rsidP="00F83DDD">
      <w:pPr>
        <w:spacing w:line="360" w:lineRule="auto"/>
        <w:ind w:firstLine="851"/>
        <w:jc w:val="both"/>
        <w:rPr>
          <w:sz w:val="24"/>
          <w:szCs w:val="24"/>
          <w:lang w:val="pt-BR"/>
        </w:rPr>
      </w:pPr>
      <w:r>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Pr>
          <w:sz w:val="24"/>
          <w:szCs w:val="24"/>
          <w:vertAlign w:val="superscript"/>
          <w:lang w:val="pt-BR"/>
        </w:rPr>
        <w:t>33</w:t>
      </w:r>
    </w:p>
    <w:p w14:paraId="6DCF7768" w14:textId="77777777" w:rsidR="009551F5" w:rsidRPr="00CB3C08" w:rsidRDefault="009551F5" w:rsidP="009551F5">
      <w:pPr>
        <w:rPr>
          <w:b/>
          <w:bCs/>
          <w:sz w:val="24"/>
          <w:szCs w:val="24"/>
          <w:lang w:val="pt-BR"/>
        </w:rPr>
      </w:pPr>
    </w:p>
    <w:p w14:paraId="4B24C106" w14:textId="77777777" w:rsidR="009551F5" w:rsidRPr="003D36D9" w:rsidRDefault="009551F5" w:rsidP="003F1C11">
      <w:pPr>
        <w:pStyle w:val="PargrafodaLista"/>
        <w:numPr>
          <w:ilvl w:val="1"/>
          <w:numId w:val="32"/>
        </w:numPr>
        <w:spacing w:line="360" w:lineRule="auto"/>
        <w:jc w:val="both"/>
        <w:outlineLvl w:val="1"/>
        <w:rPr>
          <w:b/>
          <w:bCs/>
          <w:sz w:val="24"/>
          <w:szCs w:val="24"/>
          <w:lang w:val="pt-BR"/>
        </w:rPr>
      </w:pPr>
      <w:bookmarkStart w:id="86" w:name="_Toc230857053"/>
      <w:r>
        <w:rPr>
          <w:b/>
          <w:bCs/>
          <w:sz w:val="24"/>
          <w:szCs w:val="24"/>
          <w:lang w:val="pt-BR"/>
        </w:rPr>
        <w:t>Conclusão do Capítulo</w:t>
      </w:r>
      <w:bookmarkEnd w:id="86"/>
      <w:r>
        <w:rPr>
          <w:b/>
          <w:bCs/>
          <w:sz w:val="24"/>
          <w:szCs w:val="24"/>
          <w:lang w:val="pt-BR"/>
        </w:rPr>
        <w:t xml:space="preserve"> </w:t>
      </w:r>
    </w:p>
    <w:p w14:paraId="5C0DE0EA" w14:textId="77777777" w:rsidR="00F83DDD" w:rsidRDefault="00F83DDD" w:rsidP="00684B6C">
      <w:pPr>
        <w:spacing w:line="360" w:lineRule="auto"/>
        <w:jc w:val="both"/>
        <w:rPr>
          <w:sz w:val="24"/>
          <w:szCs w:val="24"/>
          <w:lang w:val="pt-BR"/>
        </w:rPr>
      </w:pPr>
    </w:p>
    <w:p w14:paraId="1B7A53C4" w14:textId="77777777" w:rsidR="00684B6C" w:rsidRPr="00684B6C" w:rsidRDefault="00684B6C" w:rsidP="00F83DDD">
      <w:pPr>
        <w:spacing w:line="360" w:lineRule="auto"/>
        <w:ind w:firstLine="851"/>
        <w:jc w:val="both"/>
        <w:rPr>
          <w:sz w:val="24"/>
          <w:szCs w:val="24"/>
          <w:lang w:val="pt-BR"/>
        </w:rPr>
      </w:pPr>
      <w:r>
        <w:rPr>
          <w:sz w:val="24"/>
          <w:szCs w:val="24"/>
          <w:lang w:val="pt-BR"/>
        </w:rPr>
        <w:t xml:space="preserve">O Modelo de Black-Litterman transcendeu sua origem como uma ferramenta proprietária da Goldman Sachs para se tornar um pilar fundamental das Finanças </w:t>
        <w:lastRenderedPageBreak/>
        <w:t xml:space="preserve">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Idzorek e a </w:t>
      </w:r>
      <w:r>
        <w:rPr>
          <w:i/>
          <w:iCs/>
          <w:sz w:val="24"/>
          <w:szCs w:val="24"/>
          <w:lang w:val="pt-BR"/>
        </w:rPr>
        <w:t>Entropy Pooling</w:t>
      </w:r>
      <w:r>
        <w:rPr>
          <w:sz w:val="24"/>
          <w:szCs w:val="24"/>
          <w:lang w:val="pt-BR"/>
        </w:rPr>
        <w:t xml:space="preserve"> de Meucci, asseguram que o modelo permaneça adaptável a um mundo financeiro cada vez mais complexo e não-normal, servindo como a ponte ideal entre a teoria de eficiência de mercado e a gestão ativa prática.</w:t>
      </w:r>
    </w:p>
    <w:p w14:paraId="3EEC491D" w14:textId="77777777" w:rsidR="00684B6C" w:rsidRPr="00684B6C" w:rsidRDefault="00684B6C" w:rsidP="00C52D1A">
      <w:pPr>
        <w:spacing w:line="360" w:lineRule="auto"/>
        <w:jc w:val="both"/>
        <w:rPr>
          <w:sz w:val="24"/>
          <w:szCs w:val="24"/>
          <w:lang w:val="pt-BR"/>
        </w:rPr>
      </w:pPr>
    </w:p>
    <w:p w14:paraId="09BDBF3F" w14:textId="77777777" w:rsidR="003460B2" w:rsidRPr="00C52D1A" w:rsidRDefault="003460B2" w:rsidP="00C52D1A">
      <w:pPr>
        <w:spacing w:line="360" w:lineRule="auto"/>
        <w:jc w:val="both"/>
        <w:rPr>
          <w:sz w:val="24"/>
          <w:szCs w:val="24"/>
        </w:rPr>
      </w:pPr>
      <w:r>
        <w:rPr>
          <w:sz w:val="24"/>
          <w:szCs w:val="24"/>
        </w:rPr>
        <w:br w:type="page"/>
      </w:r>
    </w:p>
    <w:p w14:paraId="4F5E81F8" w14:textId="77777777" w:rsidR="00657C8B" w:rsidRPr="00CA2B8F" w:rsidRDefault="00A53FEA" w:rsidP="00346652">
      <w:pPr>
        <w:pStyle w:val="Ttulo1"/>
        <w:numPr>
          <w:ilvl w:val="0"/>
          <w:numId w:val="1"/>
        </w:numPr>
        <w:tabs>
          <w:tab w:val="left" w:pos="480"/>
        </w:tabs>
        <w:spacing w:line="360" w:lineRule="auto"/>
        <w:jc w:val="both"/>
        <w:rPr>
          <w:b w:val="0"/>
          <w:sz w:val="24"/>
          <w:szCs w:val="24"/>
        </w:rPr>
      </w:pPr>
      <w:bookmarkStart w:id="87" w:name="_Toc230857054"/>
      <w:r>
        <w:lastRenderedPageBreak/>
        <w:t>CAPÍTULO 3 — METODOLOGIA DA PESQUISA</w:t>
      </w:r>
      <w:bookmarkEnd w:id="87"/>
      <w:r>
        <w:rPr>
          <w:sz w:val="24"/>
          <w:szCs w:val="24"/>
        </w:rPr>
        <w:t xml:space="preserve"> </w:t>
      </w:r>
    </w:p>
    <w:p w14:paraId="77ACD5C4" w14:textId="77777777" w:rsidR="00A53FEA" w:rsidRPr="00736E2A" w:rsidRDefault="00A53FEA" w:rsidP="00A53FEA">
      <w:pPr>
        <w:rPr>
          <w:bCs/>
          <w:sz w:val="24"/>
          <w:szCs w:val="24"/>
        </w:rPr>
      </w:pPr>
    </w:p>
    <w:p w14:paraId="3C91B5C4" w14:textId="77777777" w:rsidR="00A53FEA" w:rsidRPr="00A53FEA" w:rsidRDefault="00A53FEA" w:rsidP="00A53FEA">
      <w:pPr>
        <w:pStyle w:val="Ttulo2"/>
        <w:numPr>
          <w:ilvl w:val="1"/>
          <w:numId w:val="1"/>
        </w:numPr>
        <w:ind w:left="0" w:firstLine="0"/>
        <w:jc w:val="left"/>
        <w:rPr>
          <w:b w:val="0"/>
          <w:sz w:val="22"/>
          <w:szCs w:val="24"/>
        </w:rPr>
      </w:pPr>
      <w:bookmarkStart w:id="88" w:name="_Toc230857055"/>
      <w:r>
        <w:rPr>
          <w:sz w:val="24"/>
        </w:rPr>
        <w:t>Natureza e Classificação da Pesquisa</w:t>
      </w:r>
      <w:bookmarkEnd w:id="88"/>
    </w:p>
    <w:p w14:paraId="3CF6F9E5" w14:textId="77777777" w:rsidR="00A53FEA" w:rsidRPr="0061477B" w:rsidRDefault="00A53FEA" w:rsidP="00A53FEA">
      <w:pPr>
        <w:rPr>
          <w:b/>
          <w:sz w:val="24"/>
          <w:szCs w:val="24"/>
        </w:rPr>
      </w:pPr>
    </w:p>
    <w:p w14:paraId="69DD89ED" w14:textId="77777777" w:rsidR="00CA2B8F" w:rsidRDefault="00CA2B8F" w:rsidP="00736E2A">
      <w:pPr>
        <w:rPr>
          <w:spacing w:val="-2"/>
          <w:sz w:val="24"/>
          <w:szCs w:val="24"/>
        </w:rPr>
      </w:pPr>
    </w:p>
    <w:p w14:paraId="73012ABA" w14:textId="77777777" w:rsidR="00A53FEA" w:rsidRDefault="00A53FEA" w:rsidP="00A53FEA">
      <w:pPr>
        <w:pStyle w:val="font-claude-response-body"/>
        <w:spacing w:before="0" w:beforeAutospacing="0" w:after="0" w:afterAutospacing="0" w:line="360" w:lineRule="auto"/>
        <w:ind w:firstLine="851"/>
        <w:jc w:val="both"/>
      </w:pPr>
      <w:r>
        <w:t xml:space="preserve">A presente pesquisa classifica-se, quanto à sua natureza, como </w:t>
      </w:r>
      <w:r>
        <w:rPr>
          <w:rStyle w:val="Forte"/>
        </w:rPr>
        <w:t>aplicada</w:t>
      </w:r>
      <w:r>
        <w:t xml:space="preserve">, pois tem por finalidade gerar conhecimento prático sobre estratégias de alocação de ativos no mercado acionário brasileiro, com vistas à resolução de um problema concreto de gestão de portfólios. Quanto à abordagem, é </w:t>
      </w:r>
      <w:r>
        <w:rPr>
          <w:rStyle w:val="Forte"/>
        </w:rPr>
        <w:t>quantitativa</w:t>
      </w:r>
      <w:r>
        <w:t xml:space="preserve">, utilizando modelos matemáticos, otimização convexa e técnicas de aprendizado de máquina para o processamento e a análise dos dados. Quanto aos objetivos, é </w:t>
      </w:r>
      <w:r>
        <w:rPr>
          <w:rStyle w:val="Forte"/>
        </w:rPr>
        <w:t>descritiva e comparativa</w:t>
      </w:r>
      <w:r>
        <w:t>, na medida em que descreve o comportamento das séries financeiras e compara o desempenho de diferentes estratégias de alocação em um mesmo horizonte temporal.</w:t>
      </w:r>
    </w:p>
    <w:p w14:paraId="0ED1156A" w14:textId="77777777" w:rsidR="00A53FEA" w:rsidRDefault="00A53FEA" w:rsidP="00A53FEA">
      <w:pPr>
        <w:pStyle w:val="font-claude-response-body"/>
        <w:spacing w:before="0" w:beforeAutospacing="0" w:after="0" w:afterAutospacing="0" w:line="360" w:lineRule="auto"/>
        <w:ind w:firstLine="851"/>
        <w:jc w:val="both"/>
      </w:pPr>
      <w:r>
        <w:t xml:space="preserve">O método adotado é o </w:t>
      </w:r>
      <w:r>
        <w:rPr>
          <w:rStyle w:val="Forte"/>
        </w:rPr>
        <w:t>experimental por simulação histórica</w:t>
      </w:r>
      <w:r>
        <w:t xml:space="preserve"> (</w:t>
      </w:r>
      <w:r>
        <w:rPr>
          <w:rStyle w:val="nfase"/>
        </w:rPr>
        <w:t>backtesting</w:t>
      </w:r>
      <w:r>
        <w:t>), que consiste em aplicar, retroativamente sobre dados passados, as decisões de investimento que teriam sido tomadas por cada estratégia, respeitando rigorosamente a restrição de que apenas informações disponíveis até o momento da decisão são utilizadas, conforme o princípio de vedação ao viés de antecipação (</w:t>
      </w:r>
      <w:r>
        <w:rPr>
          <w:rStyle w:val="nfase"/>
        </w:rPr>
        <w:t>look-ahead bias</w:t>
      </w:r>
      <w:r>
        <w:t>).</w:t>
      </w:r>
    </w:p>
    <w:p w14:paraId="062F3018" w14:textId="77777777" w:rsidR="00CA2B8F" w:rsidRDefault="00CA2B8F" w:rsidP="00CA2B8F">
      <w:pPr>
        <w:rPr>
          <w:sz w:val="24"/>
          <w:szCs w:val="24"/>
        </w:rPr>
      </w:pPr>
    </w:p>
    <w:p w14:paraId="5B54BF1E" w14:textId="77777777" w:rsidR="00736E2A" w:rsidRPr="00736E2A" w:rsidRDefault="00736E2A" w:rsidP="00736E2A">
      <w:pPr>
        <w:rPr>
          <w:bCs/>
          <w:sz w:val="24"/>
          <w:szCs w:val="24"/>
        </w:rPr>
      </w:pPr>
    </w:p>
    <w:p w14:paraId="5D34B6CA" w14:textId="77777777" w:rsidR="00736E2A" w:rsidRPr="00A53FEA" w:rsidRDefault="00A53FEA" w:rsidP="00736E2A">
      <w:pPr>
        <w:pStyle w:val="Ttulo2"/>
        <w:numPr>
          <w:ilvl w:val="1"/>
          <w:numId w:val="1"/>
        </w:numPr>
        <w:ind w:left="0" w:firstLine="0"/>
        <w:jc w:val="left"/>
        <w:rPr>
          <w:b w:val="0"/>
          <w:sz w:val="22"/>
          <w:szCs w:val="24"/>
        </w:rPr>
      </w:pPr>
      <w:bookmarkStart w:id="89" w:name="_Toc230857056"/>
      <w:r>
        <w:rPr>
          <w:sz w:val="24"/>
        </w:rPr>
        <w:t>Universo, Amostra e Fonte dos Dados</w:t>
      </w:r>
      <w:bookmarkEnd w:id="89"/>
    </w:p>
    <w:p w14:paraId="4A555BDE" w14:textId="77777777" w:rsidR="00736E2A" w:rsidRPr="0061477B" w:rsidRDefault="00736E2A" w:rsidP="00736E2A">
      <w:pPr>
        <w:rPr>
          <w:b/>
          <w:sz w:val="24"/>
          <w:szCs w:val="24"/>
        </w:rPr>
      </w:pPr>
    </w:p>
    <w:p w14:paraId="47B2307C" w14:textId="77777777" w:rsidR="00A53FEA" w:rsidRDefault="00A53FEA" w:rsidP="00A53FEA">
      <w:pPr>
        <w:pStyle w:val="font-claude-response-body"/>
        <w:spacing w:before="0" w:beforeAutospacing="0" w:after="0" w:afterAutospacing="0" w:line="360" w:lineRule="auto"/>
        <w:ind w:firstLine="851"/>
        <w:jc w:val="both"/>
      </w:pPr>
      <w:r>
        <w:t xml:space="preserve">O universo da pesquisa compreende o conjunto de ações ordinárias e preferenciais negociadas na B3 (Brasil, Bolsa, Balcão) no período de </w:t>
      </w:r>
      <w:r>
        <w:rPr>
          <w:rStyle w:val="Forte"/>
        </w:rPr>
        <w:t>janeiro de 2010 a dezembro de 2025</w:t>
      </w:r>
      <w:r>
        <w:t>, totalizando 3.967 pregões válidos.</w:t>
      </w:r>
    </w:p>
    <w:p w14:paraId="19FAE0E9" w14:textId="77777777" w:rsidR="00A53FEA" w:rsidRDefault="00A53FEA" w:rsidP="00A53FEA">
      <w:pPr>
        <w:pStyle w:val="font-claude-response-body"/>
        <w:spacing w:before="0" w:beforeAutospacing="0" w:after="0" w:afterAutospacing="0" w:line="360" w:lineRule="auto"/>
        <w:ind w:firstLine="851"/>
        <w:jc w:val="both"/>
      </w:pPr>
      <w:r>
        <w:t xml:space="preserve">Os dados de preços de fechamento ajustados por proventos — incluindo dividendos, desdobramentos e bonificações — foram obtidos por meio da base de dados </w:t>
      </w:r>
      <w:r>
        <w:rPr>
          <w:rStyle w:val="Forte"/>
        </w:rPr>
        <w:t>Economática</w:t>
      </w:r>
      <w:r>
        <w:t>, que assegura a continuidade e a comparabilidade intertemporal das séries de preços ajustados.</w:t>
      </w:r>
    </w:p>
    <w:p w14:paraId="489318A5" w14:textId="77777777" w:rsidR="00A53FEA" w:rsidRPr="00021F7A" w:rsidRDefault="00A53FEA" w:rsidP="00021F7A">
      <w:pPr>
        <w:rPr>
          <w:b/>
          <w:bCs/>
          <w:sz w:val="24"/>
          <w:szCs w:val="24"/>
        </w:rPr>
      </w:pPr>
    </w:p>
    <w:p w14:paraId="4E254F27" w14:textId="77777777" w:rsidR="00A53FEA" w:rsidRPr="00021F7A" w:rsidRDefault="00A53FEA" w:rsidP="00021F7A">
      <w:pPr>
        <w:pStyle w:val="Ttulo3"/>
        <w:numPr>
          <w:ilvl w:val="2"/>
          <w:numId w:val="1"/>
        </w:numPr>
        <w:rPr>
          <w:b w:val="0"/>
          <w:sz w:val="22"/>
        </w:rPr>
      </w:pPr>
      <w:bookmarkStart w:id="90" w:name="_Toc230857057"/>
      <w:r>
        <w:rPr>
          <w:b w:val="0"/>
        </w:rPr>
        <w:t>Critério de Inclusão na Amostra</w:t>
      </w:r>
      <w:bookmarkEnd w:id="90"/>
    </w:p>
    <w:p w14:paraId="085A6383" w14:textId="77777777" w:rsidR="00A53FEA" w:rsidRPr="00A53FEA" w:rsidRDefault="00A53FEA" w:rsidP="00021F7A">
      <w:pPr>
        <w:rPr>
          <w:b/>
          <w:szCs w:val="24"/>
        </w:rPr>
      </w:pPr>
    </w:p>
    <w:p w14:paraId="0EA851FD" w14:textId="77777777" w:rsidR="00A53FEA" w:rsidRPr="0061477B" w:rsidRDefault="00A53FEA" w:rsidP="00A53FEA">
      <w:pPr>
        <w:rPr>
          <w:b/>
          <w:sz w:val="24"/>
          <w:szCs w:val="24"/>
        </w:rPr>
      </w:pPr>
    </w:p>
    <w:p w14:paraId="6A5E0FA1" w14:textId="77777777" w:rsidR="00A53FEA" w:rsidRDefault="00A53FEA" w:rsidP="00021F7A">
      <w:pPr>
        <w:pStyle w:val="font-claude-response-body"/>
        <w:spacing w:before="0" w:beforeAutospacing="0" w:after="0" w:afterAutospacing="0" w:line="360" w:lineRule="auto"/>
        <w:ind w:firstLine="851"/>
        <w:jc w:val="both"/>
      </w:pPr>
      <w:r>
        <w:t xml:space="preserve">Dada a heterogeneidade de liquidez do mercado acionário brasileiro, a amostra foi submetida a um critério restritivo de liquidez: foram retidos apenas os ativos presentes em </w:t>
      </w:r>
      <w:r>
        <w:rPr>
          <w:rStyle w:val="Forte"/>
        </w:rPr>
        <w:t>95% ou mais dos pregões</w:t>
      </w:r>
      <w:r>
        <w:t xml:space="preserve"> do período completo (2010–2025). Esse limiar garante séries com continuidade estatística suficiente para a estimação confiável de matrizes de covariância e retornos esperados.</w:t>
      </w:r>
    </w:p>
    <w:p w14:paraId="358A8096" w14:textId="1D00DD05" w:rsidR="00A53FEA" w:rsidRDefault="00A53FEA" w:rsidP="00021F7A">
      <w:pPr>
        <w:pStyle w:val="font-claude-response-body"/>
        <w:spacing w:before="0" w:beforeAutospacing="0" w:after="0" w:afterAutospacing="0" w:line="360" w:lineRule="auto"/>
        <w:ind w:firstLine="851"/>
        <w:jc w:val="both"/>
      </w:pPr>
      <w:r>
        <w:lastRenderedPageBreak/>
        <w:t xml:space="preserve">A aplicação desse crivo resultou em uma </w:t>
      </w:r>
      <w:r>
        <w:rPr>
          <w:rStyle w:val="Forte"/>
        </w:rPr>
        <w:t>amostra final de 118 ativos</w:t>
      </w:r>
      <w:r>
        <w:t>, distribuídos nos principais setores da B3: Financeiro, Utilidade Pública, Consumo Cíclico, Materiais Básicos, Consumo Não Cíclico, Petróleo e Gás, Bens Industriais, Saúde, Imobiliário, Comunicações e Tecnologia. A lista completa dos ativos consta do Apêndice A.</w:t>
      </w:r>
    </w:p>
    <w:p w14:paraId="1D73BFF4" w14:textId="77777777" w:rsidR="00A53FEA" w:rsidRDefault="00A53FEA" w:rsidP="00021F7A">
      <w:pPr>
        <w:pStyle w:val="font-claude-response-body"/>
        <w:spacing w:before="0" w:beforeAutospacing="0" w:after="0" w:afterAutospacing="0" w:line="360" w:lineRule="auto"/>
        <w:ind w:firstLine="851"/>
        <w:jc w:val="both"/>
      </w:pPr>
      <w:r>
        <w:t>Como variáveis macroeconômicas de referência, foram utilizados:</w:t>
      </w:r>
    </w:p>
    <w:p w14:paraId="7C97B5B9" w14:textId="77777777" w:rsidR="00197E79" w:rsidRDefault="00197E79" w:rsidP="00197E79">
      <w:pPr>
        <w:spacing w:line="360" w:lineRule="auto"/>
        <w:ind w:firstLine="851"/>
        <w:jc w:val="both"/>
        <w:rPr>
          <w:bCs/>
          <w:sz w:val="24"/>
          <w:szCs w:val="24"/>
        </w:rPr>
      </w:pPr>
    </w:p>
    <w:p w14:paraId="6323825A" w14:textId="77777777" w:rsidR="00021F7A" w:rsidRPr="00021F7A" w:rsidRDefault="00021F7A" w:rsidP="003F1C11">
      <w:pPr>
        <w:pStyle w:val="PargrafodaLista"/>
        <w:widowControl/>
        <w:numPr>
          <w:ilvl w:val="0"/>
          <w:numId w:val="31"/>
        </w:numPr>
        <w:autoSpaceDE/>
        <w:autoSpaceDN/>
        <w:rPr>
          <w:sz w:val="24"/>
          <w:szCs w:val="24"/>
          <w:lang w:val="pt-BR" w:eastAsia="pt-BR"/>
        </w:rPr>
      </w:pPr>
      <w:r>
        <w:rPr>
          <w:sz w:val="24"/>
          <w:szCs w:val="24"/>
          <w:lang w:val="pt-BR" w:eastAsia="pt-BR"/>
        </w:rPr>
        <w:t xml:space="preserve">**CDI** (*Certificado de Depósito Interbancário*): taxa de referência diária, utilizada como *proxy* da taxa livre de risco (RfR_f Rf​), obtida junto ao Banco Central do Brasil; </w:t>
      </w:r>
    </w:p>
    <w:p w14:paraId="644C922E" w14:textId="77777777" w:rsidR="00021F7A" w:rsidRPr="00021F7A" w:rsidRDefault="00021F7A" w:rsidP="003F1C11">
      <w:pPr>
        <w:pStyle w:val="PargrafodaLista"/>
        <w:widowControl/>
        <w:numPr>
          <w:ilvl w:val="0"/>
          <w:numId w:val="31"/>
        </w:numPr>
        <w:autoSpaceDE/>
        <w:autoSpaceDN/>
        <w:rPr>
          <w:sz w:val="24"/>
          <w:szCs w:val="24"/>
          <w:lang w:val="pt-BR" w:eastAsia="pt-BR"/>
        </w:rPr>
      </w:pPr>
      <w:r>
        <w:rPr>
          <w:b/>
          <w:bCs/>
          <w:sz w:val="24"/>
          <w:szCs w:val="24"/>
          <w:lang w:val="pt-BR" w:eastAsia="pt-BR"/>
        </w:rPr>
        <w:t>SELIC</w:t>
      </w:r>
      <w:r>
        <w:rPr>
          <w:sz w:val="24"/>
          <w:szCs w:val="24"/>
          <w:lang w:val="pt-BR" w:eastAsia="pt-BR"/>
        </w:rPr>
        <w:t xml:space="preserve">: taxa básica de juros, utilizada como referência adicional de comparação; </w:t>
      </w:r>
    </w:p>
    <w:p w14:paraId="6890E698" w14:textId="77777777" w:rsidR="00021F7A" w:rsidRPr="00021F7A" w:rsidRDefault="00021F7A" w:rsidP="003F1C11">
      <w:pPr>
        <w:pStyle w:val="PargrafodaLista"/>
        <w:numPr>
          <w:ilvl w:val="0"/>
          <w:numId w:val="31"/>
        </w:numPr>
        <w:spacing w:line="360" w:lineRule="auto"/>
        <w:jc w:val="both"/>
        <w:rPr>
          <w:bCs/>
          <w:sz w:val="24"/>
          <w:szCs w:val="24"/>
        </w:rPr>
      </w:pPr>
      <w:r>
        <w:rPr>
          <w:b/>
          <w:bCs/>
          <w:sz w:val="24"/>
          <w:szCs w:val="24"/>
          <w:lang w:val="pt-BR" w:eastAsia="pt-BR"/>
        </w:rPr>
        <w:t>IBOVESPA</w:t>
      </w:r>
      <w:r>
        <w:rPr>
          <w:sz w:val="24"/>
          <w:szCs w:val="24"/>
          <w:lang w:val="pt-BR" w:eastAsia="pt-BR"/>
        </w:rPr>
        <w:t xml:space="preserve">: índice de mercado, utilizado como </w:t>
      </w:r>
      <w:r>
        <w:rPr>
          <w:i/>
          <w:iCs/>
          <w:sz w:val="24"/>
          <w:szCs w:val="24"/>
          <w:lang w:val="pt-BR" w:eastAsia="pt-BR"/>
        </w:rPr>
        <w:t>benchmark</w:t>
      </w:r>
      <w:r>
        <w:rPr>
          <w:sz w:val="24"/>
          <w:szCs w:val="24"/>
          <w:lang w:val="pt-BR" w:eastAsia="pt-BR"/>
        </w:rPr>
        <w:t xml:space="preserve"> primário de desempenho e como </w:t>
      </w:r>
      <w:r>
        <w:rPr>
          <w:i/>
          <w:iCs/>
          <w:sz w:val="24"/>
          <w:szCs w:val="24"/>
          <w:lang w:val="pt-BR" w:eastAsia="pt-BR"/>
        </w:rPr>
        <w:t>proxy</w:t>
      </w:r>
      <w:r>
        <w:rPr>
          <w:sz w:val="24"/>
          <w:szCs w:val="24"/>
          <w:lang w:val="pt-BR" w:eastAsia="pt-BR"/>
        </w:rPr>
        <w:t xml:space="preserve"> do portfólio de mercado para o modelo Black-Litterman.</w:t>
      </w:r>
    </w:p>
    <w:p w14:paraId="19EB470A" w14:textId="77777777" w:rsidR="00021F7A" w:rsidRPr="00736E2A" w:rsidRDefault="00021F7A" w:rsidP="00021F7A">
      <w:pPr>
        <w:rPr>
          <w:bCs/>
          <w:sz w:val="24"/>
          <w:szCs w:val="24"/>
        </w:rPr>
      </w:pPr>
    </w:p>
    <w:p w14:paraId="7210FABC" w14:textId="77777777" w:rsidR="00021F7A" w:rsidRPr="00021F7A" w:rsidRDefault="00021F7A" w:rsidP="00021F7A">
      <w:pPr>
        <w:pStyle w:val="Ttulo2"/>
        <w:numPr>
          <w:ilvl w:val="1"/>
          <w:numId w:val="1"/>
        </w:numPr>
        <w:ind w:left="0" w:firstLine="0"/>
        <w:jc w:val="left"/>
        <w:rPr>
          <w:b w:val="0"/>
          <w:sz w:val="20"/>
          <w:szCs w:val="24"/>
        </w:rPr>
      </w:pPr>
      <w:bookmarkStart w:id="91" w:name="_Toc230857058"/>
      <w:r>
        <w:rPr>
          <w:sz w:val="24"/>
        </w:rPr>
        <w:t>Tratamento e Preparação dos Dados</w:t>
      </w:r>
      <w:bookmarkEnd w:id="91"/>
    </w:p>
    <w:p w14:paraId="106FEFAB" w14:textId="77777777" w:rsidR="00021F7A" w:rsidRPr="00021F7A" w:rsidRDefault="00021F7A" w:rsidP="00021F7A">
      <w:pPr>
        <w:rPr>
          <w:b/>
          <w:bCs/>
          <w:sz w:val="24"/>
          <w:szCs w:val="24"/>
        </w:rPr>
      </w:pPr>
    </w:p>
    <w:p w14:paraId="314A1FDB" w14:textId="77777777" w:rsidR="00021F7A" w:rsidRPr="00021F7A" w:rsidRDefault="00021F7A" w:rsidP="00021F7A">
      <w:pPr>
        <w:pStyle w:val="Ttulo3"/>
        <w:numPr>
          <w:ilvl w:val="2"/>
          <w:numId w:val="1"/>
        </w:numPr>
        <w:rPr>
          <w:b w:val="0"/>
          <w:sz w:val="22"/>
        </w:rPr>
      </w:pPr>
      <w:bookmarkStart w:id="92" w:name="_Toc230857059"/>
      <w:r>
        <w:rPr>
          <w:b w:val="0"/>
        </w:rPr>
        <w:t>Filtragem de Liquidez e Remoção de Anomalias</w:t>
      </w:r>
      <w:bookmarkEnd w:id="92"/>
    </w:p>
    <w:p w14:paraId="03B4D8E6" w14:textId="77777777" w:rsidR="00021F7A" w:rsidRPr="00021F7A" w:rsidRDefault="00021F7A" w:rsidP="00021F7A">
      <w:pPr>
        <w:rPr>
          <w:sz w:val="24"/>
          <w:szCs w:val="24"/>
        </w:rPr>
      </w:pPr>
    </w:p>
    <w:p w14:paraId="4BF195D8" w14:textId="77777777" w:rsidR="00021F7A" w:rsidRDefault="00021F7A" w:rsidP="00021F7A">
      <w:pPr>
        <w:pStyle w:val="font-claude-response-body"/>
        <w:spacing w:before="0" w:beforeAutospacing="0" w:after="0" w:afterAutospacing="0" w:line="360" w:lineRule="auto"/>
        <w:ind w:firstLine="851"/>
        <w:jc w:val="both"/>
      </w:pPr>
      <w:r>
        <w:t>A matriz bruta de cotações foi processada em quatro etapas sequenciais, todas implementadas em Python com reprodutibilidade algorítmica completa:</w:t>
      </w:r>
    </w:p>
    <w:p w14:paraId="0E0E5258"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1 — Estruturação Temporal:</w:t>
      </w:r>
      <w:r>
        <w:t xml:space="preserve"> as séries foram indexadas pelo eixo de datas de pregão em formato </w:t>
      </w:r>
      <w:r>
        <w:rPr>
          <w:rStyle w:val="nfase"/>
        </w:rPr>
        <w:t>datetime</w:t>
      </w:r>
      <w:r>
        <w:t>, com ordenação cronológica estrita e eliminação de eventuais duplicatas.</w:t>
      </w:r>
    </w:p>
    <w:p w14:paraId="5679A966"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2 — Crivo de Liquidez:</w:t>
      </w:r>
      <w:r>
        <w:t xml:space="preserve"> ativos com percentual de dados ausentes superior a 5% do total de pregões foram excluídos da amostra, conforme critério descrito na seção anterior.</w:t>
      </w:r>
    </w:p>
    <w:p w14:paraId="14648713" w14:textId="77777777" w:rsidR="00021F7A" w:rsidRDefault="00021F7A" w:rsidP="003F1C11">
      <w:pPr>
        <w:pStyle w:val="font-claude-response-body"/>
        <w:numPr>
          <w:ilvl w:val="0"/>
          <w:numId w:val="35"/>
        </w:numPr>
        <w:spacing w:before="0" w:beforeAutospacing="0" w:after="0" w:afterAutospacing="0" w:line="360" w:lineRule="auto"/>
        <w:jc w:val="both"/>
      </w:pPr>
      <w:r>
        <w:rPr>
          <w:b/>
        </w:rPr>
        <w:t>**Etapa 3 — Detecção de Anomalias via IQR:**</w:t>
      </w:r>
      <w:r>
        <w:t xml:space="preserve"> para identificar erros de dados ou eventos corporativos não ajustados (desdobramentos sem reflexo no preço), aplicou-se o método da Amplitude Interquartil com multiplicador conservador de 3,0 (*outliers* severos). Observações que extrapolaram os limites </w:t>
      </w:r>
      <m:oMath>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 xml:space="preserve">-3,0∙IQR; </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+3,0∙IQR]</m:t>
        </m:r>
      </m:oMath>
      <w:r>
        <w:t xml:space="preserve">  foram substituídas por valores ausentes para tratamento na etapa seguinte.</w:t>
      </w:r>
    </w:p>
    <w:p w14:paraId="6F9E8F49" w14:textId="77777777" w:rsidR="00021F7A" w:rsidRDefault="00021F7A" w:rsidP="003F1C11">
      <w:pPr>
        <w:pStyle w:val="font-claude-response-body"/>
        <w:numPr>
          <w:ilvl w:val="0"/>
          <w:numId w:val="35"/>
        </w:numPr>
        <w:spacing w:before="0" w:beforeAutospacing="0" w:after="0" w:afterAutospacing="0" w:line="360" w:lineRule="auto"/>
        <w:jc w:val="both"/>
      </w:pPr>
      <w:r>
        <w:rPr>
          <w:rStyle w:val="Forte"/>
        </w:rPr>
        <w:t>Etapa 4 — Imputação Controlada:</w:t>
      </w:r>
      <w:r>
        <w:t xml:space="preserve"> as lacunas remanescentes foram preenchidas por </w:t>
      </w:r>
      <w:r>
        <w:rPr>
          <w:rStyle w:val="Forte"/>
        </w:rPr>
        <w:t>interpolação linear temporal</w:t>
      </w:r>
      <w:r>
        <w:t xml:space="preserve"> entre os pontos válidos adjacentes. Lacunas nas bordas da série — quando o primeiro ou último pregão do ativo estava ausente </w:t>
        <w:lastRenderedPageBreak/>
        <w:t>— foram tratadas pelo método de propagação da última observação válida (</w:t>
      </w:r>
      <w:r>
        <w:rPr>
          <w:rStyle w:val="nfase"/>
        </w:rPr>
        <w:t>forward-fill</w:t>
      </w:r>
      <w:r>
        <w:t xml:space="preserve"> e </w:t>
      </w:r>
      <w:r>
        <w:rPr>
          <w:rStyle w:val="nfase"/>
        </w:rPr>
        <w:t>backward-fill</w:t>
      </w:r>
      <w:r>
        <w:t>). O resultado final foi uma matriz de preços sem valores ausentes.</w:t>
      </w:r>
    </w:p>
    <w:p w14:paraId="30EBC3E1" w14:textId="77777777" w:rsidR="00021F7A" w:rsidRPr="00021F7A" w:rsidRDefault="00021F7A" w:rsidP="00021F7A">
      <w:pPr>
        <w:rPr>
          <w:b/>
          <w:bCs/>
          <w:sz w:val="24"/>
          <w:szCs w:val="24"/>
        </w:rPr>
      </w:pPr>
    </w:p>
    <w:p w14:paraId="5FC658FE" w14:textId="77777777" w:rsidR="00021F7A" w:rsidRPr="00021F7A" w:rsidRDefault="00021F7A" w:rsidP="00021F7A">
      <w:pPr>
        <w:pStyle w:val="Ttulo3"/>
        <w:numPr>
          <w:ilvl w:val="2"/>
          <w:numId w:val="1"/>
        </w:numPr>
        <w:rPr>
          <w:b w:val="0"/>
          <w:sz w:val="22"/>
        </w:rPr>
      </w:pPr>
      <w:bookmarkStart w:id="93" w:name="_Toc230857060"/>
      <w:r>
        <w:rPr>
          <w:b w:val="0"/>
        </w:rPr>
        <w:t>Transformação dos Preços em Retornos</w:t>
      </w:r>
      <w:bookmarkEnd w:id="93"/>
    </w:p>
    <w:p w14:paraId="5750E256" w14:textId="77777777" w:rsidR="00021F7A" w:rsidRPr="00021F7A" w:rsidRDefault="00021F7A" w:rsidP="00021F7A">
      <w:pPr>
        <w:rPr>
          <w:sz w:val="24"/>
          <w:szCs w:val="24"/>
        </w:rPr>
      </w:pPr>
    </w:p>
    <w:p w14:paraId="5507E3D1" w14:textId="77777777" w:rsidR="00021F7A" w:rsidRDefault="00021F7A" w:rsidP="00021F7A">
      <w:pPr>
        <w:pStyle w:val="font-claude-response-body"/>
        <w:spacing w:before="0" w:beforeAutospacing="0" w:after="0" w:afterAutospacing="0" w:line="360" w:lineRule="auto"/>
        <w:ind w:firstLine="851"/>
        <w:jc w:val="both"/>
      </w:pPr>
      <w:r>
        <w:t>Os preços ajustados foram convertidos em duas modalidades de retornos diários, cada qual com finalidade metodológica distinta:</w:t>
      </w:r>
    </w:p>
    <w:p w14:paraId="2ABBBC51" w14:textId="77777777" w:rsidR="00021F7A" w:rsidRDefault="00021F7A" w:rsidP="00021F7A">
      <w:pPr>
        <w:pStyle w:val="font-claude-response-body"/>
        <w:spacing w:before="0" w:beforeAutospacing="0" w:after="0" w:afterAutospacing="0" w:line="360" w:lineRule="auto"/>
        <w:ind w:firstLine="851"/>
        <w:jc w:val="both"/>
      </w:pPr>
      <w:r>
        <w:rPr>
          <w:rStyle w:val="Forte"/>
        </w:rPr>
        <w:t>Retornos Simples (Discretos):</w:t>
      </w:r>
      <w:r>
        <w:t xml:space="preserve"> calculados como variação percentual diária:</w:t>
      </w:r>
    </w:p>
    <w:p w14:paraId="7F343EC5" w14:textId="77777777" w:rsidR="00021F7A" w:rsidRDefault="00021F7A" w:rsidP="00021F7A">
      <w:pPr>
        <w:spacing w:line="360" w:lineRule="auto"/>
        <w:jc w:val="both"/>
        <w:rPr>
          <w:bCs/>
          <w:sz w:val="24"/>
          <w:szCs w:val="24"/>
        </w:rPr>
      </w:pPr>
    </w:p>
    <w:p w14:paraId="1259197C" w14:textId="77777777" w:rsidR="00021F7A" w:rsidRDefault="00021F7A" w:rsidP="00021F7A">
      <w:pPr>
        <w:spacing w:line="360" w:lineRule="auto"/>
        <w:jc w:val="center"/>
        <w:rPr>
          <w:bCs/>
          <w:sz w:val="24"/>
          <w:szCs w:val="24"/>
        </w:rPr>
      </w:pPr>
      <w:r>
        <w:rPr>
          <w:bCs/>
          <w:noProof/>
          <w:sz w:val="24"/>
          <w:szCs w:val="24"/>
          <w:lang w:val="pt-BR" w:eastAsia="pt-BR"/>
        </w:rPr>
        <w:drawing>
          <wp:inline distT="0" distB="0" distL="0" distR="0" wp14:anchorId="12E301F1" wp14:editId="29CE4448">
            <wp:extent cx="1543265" cy="628738"/>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43265" cy="628738"/>
                    </a:xfrm>
                    <a:prstGeom prst="rect">
                      <a:avLst/>
                    </a:prstGeom>
                  </pic:spPr>
                </pic:pic>
              </a:graphicData>
            </a:graphic>
          </wp:inline>
        </w:drawing>
      </w:r>
    </w:p>
    <w:p w14:paraId="7F335EB8" w14:textId="77777777" w:rsidR="00021F7A" w:rsidRDefault="00021F7A" w:rsidP="00021F7A">
      <w:pPr>
        <w:spacing w:line="360" w:lineRule="auto"/>
        <w:jc w:val="both"/>
        <w:rPr>
          <w:bCs/>
          <w:sz w:val="24"/>
          <w:szCs w:val="24"/>
        </w:rPr>
      </w:pPr>
    </w:p>
    <w:p w14:paraId="70C5AD48" w14:textId="77777777" w:rsidR="00021F7A" w:rsidRPr="00021F7A" w:rsidRDefault="00021F7A" w:rsidP="00021F7A">
      <w:pPr>
        <w:spacing w:line="360" w:lineRule="auto"/>
        <w:ind w:firstLine="851"/>
        <w:jc w:val="both"/>
        <w:rPr>
          <w:bCs/>
          <w:sz w:val="28"/>
          <w:szCs w:val="24"/>
        </w:rPr>
      </w:pPr>
      <w:r>
        <w:rPr>
          <w:sz w:val="24"/>
        </w:rPr>
        <w:t xml:space="preserve">Os retornos simples foram utilizados como </w:t>
      </w:r>
      <w:r>
        <w:rPr>
          <w:rStyle w:val="Forte"/>
          <w:sz w:val="24"/>
        </w:rPr>
        <w:t>base da otimização de portfólio</w:t>
      </w:r>
      <w:r>
        <w:rPr>
          <w:sz w:val="24"/>
        </w:rPr>
        <w:t xml:space="preserve">, pois satisfazem a propriedade de aditividade transversal: o retorno de uma carteira é a soma ponderada dos retornos individuais de seus ativos </w:t>
      </w:r>
      <m:oMath>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sz w:val="24"/>
              </w:rPr>
              <m:t>p</m:t>
            </m:r>
          </m:sub>
        </m:sSub>
        <m:r>
          <w:rPr>
            <w:rFonts w:ascii="Cambria Math" w:hAnsi="Cambria Math"/>
            <w:sz w:val="24"/>
          </w:rPr>
          <m:t>=</m:t>
        </m:r>
        <m:nary>
          <m:naryPr>
            <m:chr m:val="∑"/>
            <m:limLoc m:val="undOvr"/>
            <m:subHide m:val="1"/>
            <m:supHide m:val="1"/>
            <m:ctrlPr>
              <w:rPr>
                <w:rFonts w:ascii="Cambria Math" w:hAnsi="Cambria Math"/>
                <w:i/>
                <w:sz w:val="24"/>
              </w:rPr>
            </m:ctrlPr>
          </m:naryPr>
          <m:sub/>
          <m:sup/>
          <m:e>
            <m:r>
              <w:rPr>
                <w:rFonts w:ascii="Cambria Math" w:hAnsi="Cambria Math"/>
                <w:sz w:val="24"/>
              </w:rPr>
              <m:t>i</m:t>
            </m:r>
          </m:e>
        </m:nary>
        <m:sSub>
          <m:sSubPr>
            <m:ctrlPr>
              <w:rPr>
                <w:rFonts w:ascii="Cambria Math" w:hAnsi="Cambria Math"/>
                <w:i/>
                <w:sz w:val="24"/>
              </w:rPr>
            </m:ctrlPr>
          </m:sSubPr>
          <m:e>
            <m:r>
              <w:rPr>
                <w:rFonts w:ascii="Cambria Math" w:hAnsi="Cambria Math"/>
                <w:sz w:val="24"/>
              </w:rPr>
              <m:t>ω</m:t>
            </m:r>
          </m:e>
          <m:sub>
            <m:r>
              <w:rPr>
                <w:rFonts w:ascii="Cambria Math" w:hAnsi="Cambria Math"/>
                <w:sz w:val="24"/>
              </w:rPr>
              <m:t>i</m:t>
            </m:r>
          </m:sub>
        </m:sSub>
        <m:sSub>
          <m:sSubPr>
            <m:ctrlPr>
              <w:rPr>
                <w:rFonts w:ascii="Cambria Math" w:hAnsi="Cambria Math"/>
                <w:i/>
                <w:sz w:val="24"/>
              </w:rPr>
            </m:ctrlPr>
          </m:sSubPr>
          <m:e>
            <m:r>
              <w:rPr>
                <w:rFonts w:ascii="Cambria Math" w:hAnsi="Cambria Math"/>
                <w:sz w:val="24"/>
              </w:rPr>
              <m:t>R</m:t>
            </m:r>
          </m:e>
          <m:sub>
            <m:r>
              <w:rPr>
                <w:rFonts w:ascii="Cambria Math" w:hAnsi="Cambria Math"/>
                <w:sz w:val="24"/>
              </w:rPr>
              <m:t>i</m:t>
            </m:r>
          </m:sub>
        </m:sSub>
        <m:r>
          <w:rPr>
            <w:rFonts w:ascii="Cambria Math" w:hAnsi="Cambria Math"/>
            <w:sz w:val="24"/>
          </w:rPr>
          <m:t>)</m:t>
        </m:r>
      </m:oMath>
      <w:r>
        <w:rPr>
          <w:sz w:val="24"/>
        </w:rPr>
        <w:t>, condição indispensável para a correta aplicação do modelo de Markowitz.</w:t>
      </w:r>
    </w:p>
    <w:p w14:paraId="6A95877C" w14:textId="77777777" w:rsidR="00021F7A" w:rsidRPr="00021F7A" w:rsidRDefault="000815A7" w:rsidP="000815A7">
      <w:pPr>
        <w:spacing w:line="360" w:lineRule="auto"/>
        <w:ind w:firstLine="851"/>
        <w:jc w:val="both"/>
        <w:rPr>
          <w:bCs/>
          <w:sz w:val="24"/>
          <w:szCs w:val="24"/>
        </w:rPr>
      </w:pPr>
      <w:r>
        <w:rPr>
          <w:rStyle w:val="Forte"/>
        </w:rPr>
        <w:t>Retornos Logarítmicos (Contínuos):</w:t>
      </w:r>
      <w:r>
        <w:t xml:space="preserve"> calculados como logaritmo natural da razão de preços:</w:t>
      </w:r>
    </w:p>
    <w:p w14:paraId="057B8248" w14:textId="77777777" w:rsidR="00021F7A" w:rsidRPr="000815A7" w:rsidRDefault="00021F7A" w:rsidP="00021F7A">
      <w:pPr>
        <w:rPr>
          <w:bCs/>
          <w:sz w:val="24"/>
          <w:szCs w:val="24"/>
        </w:rPr>
      </w:pPr>
    </w:p>
    <w:p w14:paraId="6E41BCA6" w14:textId="77777777" w:rsidR="000815A7" w:rsidRPr="000815A7" w:rsidRDefault="000815A7" w:rsidP="000815A7">
      <w:pPr>
        <w:jc w:val="center"/>
        <w:rPr>
          <w:bCs/>
          <w:sz w:val="24"/>
          <w:szCs w:val="24"/>
        </w:rPr>
      </w:pPr>
      <w:r>
        <w:rPr>
          <w:bCs/>
          <w:noProof/>
          <w:sz w:val="24"/>
          <w:szCs w:val="24"/>
          <w:lang w:val="pt-BR" w:eastAsia="pt-BR"/>
        </w:rPr>
        <w:drawing>
          <wp:inline distT="0" distB="0" distL="0" distR="0" wp14:anchorId="691E4DCE" wp14:editId="4A9BB4E6">
            <wp:extent cx="1524213" cy="72400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24213" cy="724001"/>
                    </a:xfrm>
                    <a:prstGeom prst="rect">
                      <a:avLst/>
                    </a:prstGeom>
                  </pic:spPr>
                </pic:pic>
              </a:graphicData>
            </a:graphic>
          </wp:inline>
        </w:drawing>
      </w:r>
    </w:p>
    <w:p w14:paraId="6AEF2ADB" w14:textId="77777777" w:rsidR="000815A7" w:rsidRDefault="000815A7" w:rsidP="00021F7A">
      <w:pPr>
        <w:rPr>
          <w:bCs/>
          <w:sz w:val="24"/>
          <w:szCs w:val="24"/>
        </w:rPr>
      </w:pPr>
    </w:p>
    <w:p w14:paraId="744C0BD1" w14:textId="77777777" w:rsidR="000815A7" w:rsidRPr="000815A7" w:rsidRDefault="000815A7" w:rsidP="000815A7">
      <w:pPr>
        <w:spacing w:line="360" w:lineRule="auto"/>
        <w:ind w:firstLine="851"/>
        <w:jc w:val="both"/>
        <w:rPr>
          <w:bCs/>
          <w:sz w:val="28"/>
          <w:szCs w:val="24"/>
        </w:rPr>
      </w:pPr>
      <w:r>
        <w:rPr>
          <w:sz w:val="24"/>
        </w:rPr>
        <w:t xml:space="preserve">Os log-retornos foram utilizados exclusivamente para os </w:t>
      </w:r>
      <w:r>
        <w:rPr>
          <w:rStyle w:val="Forte"/>
          <w:sz w:val="24"/>
        </w:rPr>
        <w:t>testes econométricos</w:t>
      </w:r>
      <w:r>
        <w:rPr>
          <w:sz w:val="24"/>
        </w:rPr>
        <w:t>, pois apresentam propriedades estatísticas superiores: aditividade temporal, maior proximidade com a distribuição normal e estacionariedade após a diferenciação.</w:t>
      </w:r>
    </w:p>
    <w:p w14:paraId="246E3F4C" w14:textId="77777777" w:rsidR="000815A7" w:rsidRPr="00021F7A" w:rsidRDefault="000815A7" w:rsidP="000815A7">
      <w:pPr>
        <w:rPr>
          <w:b/>
          <w:bCs/>
          <w:sz w:val="24"/>
          <w:szCs w:val="24"/>
        </w:rPr>
      </w:pPr>
    </w:p>
    <w:p w14:paraId="347F0F84" w14:textId="77777777" w:rsidR="000815A7" w:rsidRPr="000815A7" w:rsidRDefault="000815A7" w:rsidP="000815A7">
      <w:pPr>
        <w:pStyle w:val="Ttulo3"/>
        <w:numPr>
          <w:ilvl w:val="2"/>
          <w:numId w:val="1"/>
        </w:numPr>
        <w:rPr>
          <w:b w:val="0"/>
          <w:sz w:val="22"/>
        </w:rPr>
      </w:pPr>
      <w:bookmarkStart w:id="94" w:name="_Toc230857061"/>
      <w:r>
        <w:rPr>
          <w:b w:val="0"/>
        </w:rPr>
        <w:t>Diagnóstico Econométrico das Séries</w:t>
      </w:r>
      <w:bookmarkEnd w:id="94"/>
    </w:p>
    <w:p w14:paraId="09830AAE" w14:textId="77777777" w:rsidR="000815A7" w:rsidRPr="00021F7A" w:rsidRDefault="000815A7" w:rsidP="000815A7">
      <w:pPr>
        <w:rPr>
          <w:sz w:val="24"/>
          <w:szCs w:val="24"/>
        </w:rPr>
      </w:pPr>
    </w:p>
    <w:p w14:paraId="033D72E2" w14:textId="1F7031D3" w:rsidR="000815A7" w:rsidRDefault="000815A7" w:rsidP="000815A7">
      <w:pPr>
        <w:pStyle w:val="font-claude-response-body"/>
        <w:spacing w:before="0" w:beforeAutospacing="0" w:after="0" w:afterAutospacing="0" w:line="360" w:lineRule="auto"/>
        <w:ind w:firstLine="851"/>
        <w:jc w:val="both"/>
      </w:pPr>
      <w:r>
        <w:t>Antes da estimação dos modelos de otimização, as séries de log-retornos foram submetidas a uma bateria de testes econométricos sobre os 118 ativos da amostra, cujos resultados estão consolidados no Apêndice K:</w:t>
      </w:r>
    </w:p>
    <w:p w14:paraId="676CE805"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Estacionariedade:</w:t>
      </w:r>
      <w:r>
        <w:t xml:space="preserve"> a hipótese de raiz unitária (não-estacionariedade) foi avaliada por meio do Teste Dickey-Fuller Aumentado (ADF) via </w:t>
      </w:r>
      <w:r>
        <w:rPr>
          <w:rStyle w:val="nfase"/>
        </w:rPr>
        <w:t>Variance Ratio</w:t>
      </w:r>
      <w:r>
        <w:t xml:space="preserve"> e autocorrelação de lag-1. Os log-</w:t>
        <w:lastRenderedPageBreak/>
        <w:t>retornos mostraram-se estacionários em todos os 130 ativos, enquanto os preços brutos exibiram comportamento consistente com passeio aleatório — resultado esperado pela teoria e confirmado empiricamente.</w:t>
      </w:r>
    </w:p>
    <w:p w14:paraId="580DF031" w14:textId="77777777" w:rsidR="000815A7" w:rsidRDefault="000815A7" w:rsidP="003F1C11">
      <w:pPr>
        <w:pStyle w:val="font-claude-response-body"/>
        <w:numPr>
          <w:ilvl w:val="0"/>
          <w:numId w:val="58"/>
        </w:numPr>
        <w:spacing w:before="0" w:beforeAutospacing="0" w:after="0" w:afterAutospacing="0" w:line="360" w:lineRule="auto"/>
        <w:jc w:val="both"/>
      </w:pPr>
      <w:r>
        <w:t>**Teste de Autocorrelação (Ljung-Box):** o teste foi aplicado tanto aos log-retornos quanto aos retornos ao quadrado (</w:t>
      </w:r>
      <w:r>
        <w:rPr>
          <w:rStyle w:val="katex-mathml"/>
        </w:rPr>
        <w:t xml:space="preserve">ri,t2r_{i,t}^2 </w:t>
      </w:r>
      <w:r>
        <w:rPr>
          <w:rStyle w:val="mord"/>
        </w:rPr>
        <w:t>ri</w:t>
      </w:r>
      <w:r>
        <w:rPr>
          <w:rStyle w:val="mpunct"/>
        </w:rPr>
        <w:t>,</w:t>
      </w:r>
      <w:r>
        <w:rPr>
          <w:rStyle w:val="mord"/>
        </w:rPr>
        <w:t>t2</w:t>
      </w:r>
      <w:r>
        <w:rPr>
          <w:rStyle w:val="vlist-s"/>
        </w:rPr>
        <w:t>​</w:t>
      </w:r>
      <w:r>
        <w:t>), com defasagens de 5, 10 e 20 períodos. Os resultados revelaram autocorrelação linear significativa nos retornos em 115 de 130 ativos, e efeito ARCH — evidenciado pela autocorrelação nos quadrados — em **130 de 130 ativos**, indicando presença universal de agrupamento de volatilidade (*volatility clustering*).</w:t>
      </w:r>
    </w:p>
    <w:p w14:paraId="29C4799E" w14:textId="77777777" w:rsidR="000815A7" w:rsidRDefault="000815A7" w:rsidP="003F1C11">
      <w:pPr>
        <w:pStyle w:val="font-claude-response-body"/>
        <w:numPr>
          <w:ilvl w:val="0"/>
          <w:numId w:val="58"/>
        </w:numPr>
        <w:spacing w:before="0" w:beforeAutospacing="0" w:after="0" w:afterAutospacing="0" w:line="360" w:lineRule="auto"/>
        <w:jc w:val="both"/>
      </w:pPr>
      <w:r>
        <w:rPr>
          <w:b/>
        </w:rPr>
        <w:t>**Teste de Normalidade (Jarque-Bera):**</w:t>
      </w:r>
      <w:r>
        <w:t xml:space="preserve"> a hipótese nula de distribuição normal foi rejeitada em **130 de 130 ativos** (</w:t>
      </w:r>
      <w:r>
        <w:rPr>
          <w:rStyle w:val="katex-mathml"/>
        </w:rPr>
        <w:t xml:space="preserve">p≈0p \approx 0 </w:t>
      </w:r>
      <w:r>
        <w:rPr>
          <w:rStyle w:val="mord"/>
        </w:rPr>
        <w:t>p</w:t>
      </w:r>
      <w:r>
        <w:rPr>
          <w:rStyle w:val="mrel"/>
        </w:rPr>
        <w:t>≈</w:t>
      </w:r>
      <w:r>
        <w:rPr>
          <w:rStyle w:val="mord"/>
        </w:rPr>
        <w:t>0</w:t>
      </w:r>
      <w:r>
        <w:t xml:space="preserve"> em todos), com curtose excedente média de 19,0 e mediana de 8,69. Esse resultado fundamenta empiricamente a inadequação da variância simétrica como única medida de risco e justifica o uso de métricas de *downside risk* apresentadas no referencial teórico.</w:t>
      </w:r>
    </w:p>
    <w:p w14:paraId="717A78DD"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ARCH LM (Engle):</w:t>
      </w:r>
      <w:r>
        <w:t xml:space="preserve"> a estatística LM foi calculada com 10 defasagens para cada ativo, com valor médio de 504,0 frente ao crítico de 18,31 (</w:t>
      </w:r>
      <w:r>
        <w:rPr>
          <w:rStyle w:val="katex-mathml"/>
        </w:rPr>
        <w:t xml:space="preserve">χ2\chi^2 </w:t>
      </w:r>
      <w:r>
        <w:rPr>
          <w:rStyle w:val="mord"/>
        </w:rPr>
        <w:t>χ2</w:t>
      </w:r>
      <w:r>
        <w:t xml:space="preserve"> com 10 graus de liberdade, </w:t>
      </w:r>
      <w:r>
        <w:rPr>
          <w:rStyle w:val="katex-mathml"/>
        </w:rPr>
        <w:t xml:space="preserve">α=5%\alpha = 5\% </w:t>
      </w:r>
      <w:r>
        <w:rPr>
          <w:rStyle w:val="mord"/>
        </w:rPr>
        <w:t>α</w:t>
      </w:r>
      <w:r>
        <w:rPr>
          <w:rStyle w:val="mrel"/>
        </w:rPr>
        <w:t>=</w:t>
      </w:r>
      <w:r>
        <w:rPr>
          <w:rStyle w:val="mord"/>
        </w:rPr>
        <w:t>5%</w:t>
      </w:r>
      <w:r>
        <w:t>). O efeito ARCH foi confirmado em 130 de 130 ativos, o que implica que modelos de estimação de risco baseados em variância constante produzem inferências inválidas para a totalidade da amostra.</w:t>
      </w:r>
    </w:p>
    <w:p w14:paraId="027BA7A8" w14:textId="77777777" w:rsidR="000815A7" w:rsidRDefault="000815A7" w:rsidP="003F1C11">
      <w:pPr>
        <w:pStyle w:val="font-claude-response-body"/>
        <w:numPr>
          <w:ilvl w:val="0"/>
          <w:numId w:val="58"/>
        </w:numPr>
        <w:spacing w:before="0" w:beforeAutospacing="0" w:after="0" w:afterAutospacing="0" w:line="360" w:lineRule="auto"/>
        <w:jc w:val="both"/>
      </w:pPr>
      <w:r>
        <w:rPr>
          <w:rStyle w:val="Forte"/>
        </w:rPr>
        <w:t>Teste de Quebra Estrutural (Chow + CUSUM):</w:t>
      </w:r>
      <w:r>
        <w:t xml:space="preserve"> a estabilidade paramétrica foi avaliada em quatro datas candidatas: início da recessão brasileira (2015), período do impeachment (2016), </w:t>
      </w:r>
      <w:r>
        <w:rPr>
          <w:rStyle w:val="nfase"/>
        </w:rPr>
        <w:t>crash</w:t>
      </w:r>
      <w:r>
        <w:t xml:space="preserve"> da COVID-19 (2020) e ciclo de juros extremo (2022). O teste de Chow sobre a média dos retornos não detectou quebras expressivas (menos de 8% de rejeições em qualquer data), confirmando que a média é estável. Contudo, a análise de volatilidade por subperíodo revelou elevação de 25% na variância após 2015, e o CUSUM detectou quebra formal em PETR4 centrada em janeiro de 2016. Esses resultados indicam que a </w:t>
      </w:r>
      <w:r>
        <w:rPr>
          <w:rStyle w:val="Forte"/>
        </w:rPr>
        <w:t xml:space="preserve">quebra estrutural é na </w:t>
        <w:lastRenderedPageBreak/>
        <w:t>variância, não na média</w:t>
      </w:r>
      <w:r>
        <w:t>, fundamentando a necessidade de modelos de covariância dinâmica.</w:t>
      </w:r>
    </w:p>
    <w:p w14:paraId="5CDB84C3" w14:textId="77777777" w:rsidR="000815A7" w:rsidRDefault="000815A7" w:rsidP="00021F7A">
      <w:pPr>
        <w:rPr>
          <w:bCs/>
          <w:sz w:val="24"/>
          <w:szCs w:val="24"/>
        </w:rPr>
      </w:pPr>
    </w:p>
    <w:p w14:paraId="6C81178A" w14:textId="77777777" w:rsidR="000815A7" w:rsidRPr="00736E2A" w:rsidRDefault="000815A7" w:rsidP="000815A7">
      <w:pPr>
        <w:rPr>
          <w:bCs/>
          <w:sz w:val="24"/>
          <w:szCs w:val="24"/>
        </w:rPr>
      </w:pPr>
    </w:p>
    <w:p w14:paraId="2F70ECCA" w14:textId="77777777" w:rsidR="000815A7" w:rsidRPr="000815A7" w:rsidRDefault="000815A7" w:rsidP="000815A7">
      <w:pPr>
        <w:pStyle w:val="Ttulo2"/>
        <w:numPr>
          <w:ilvl w:val="1"/>
          <w:numId w:val="1"/>
        </w:numPr>
        <w:ind w:left="0" w:firstLine="0"/>
        <w:jc w:val="left"/>
        <w:rPr>
          <w:sz w:val="18"/>
          <w:szCs w:val="24"/>
        </w:rPr>
      </w:pPr>
      <w:bookmarkStart w:id="95" w:name="_Toc230857062"/>
      <w:r>
        <w:rPr>
          <w:sz w:val="24"/>
        </w:rPr>
        <w:t>Estimação dos Parâmetros de Otimização</w:t>
      </w:r>
      <w:bookmarkEnd w:id="95"/>
    </w:p>
    <w:p w14:paraId="1A38CB57" w14:textId="77777777" w:rsidR="000815A7" w:rsidRPr="000815A7" w:rsidRDefault="000815A7" w:rsidP="000815A7">
      <w:pPr>
        <w:rPr>
          <w:bCs/>
          <w:sz w:val="24"/>
          <w:szCs w:val="24"/>
        </w:rPr>
      </w:pPr>
    </w:p>
    <w:p w14:paraId="0FDD86CD" w14:textId="77777777" w:rsidR="000815A7" w:rsidRPr="000815A7" w:rsidRDefault="000815A7" w:rsidP="000815A7">
      <w:pPr>
        <w:pStyle w:val="Ttulo3"/>
        <w:numPr>
          <w:ilvl w:val="2"/>
          <w:numId w:val="1"/>
        </w:numPr>
        <w:rPr>
          <w:b w:val="0"/>
        </w:rPr>
      </w:pPr>
      <w:bookmarkStart w:id="96" w:name="_Toc230857063"/>
      <w:r>
        <w:rPr>
          <w:b w:val="0"/>
        </w:rPr>
        <w:t>Prêmio de Risco (Excesso de Retorno)</w:t>
      </w:r>
      <w:bookmarkEnd w:id="96"/>
    </w:p>
    <w:p w14:paraId="408910CF" w14:textId="77777777" w:rsidR="000815A7" w:rsidRPr="000815A7" w:rsidRDefault="000815A7" w:rsidP="000815A7">
      <w:pPr>
        <w:rPr>
          <w:sz w:val="24"/>
          <w:szCs w:val="24"/>
        </w:rPr>
      </w:pPr>
    </w:p>
    <w:p w14:paraId="6556A0BA" w14:textId="77777777" w:rsidR="000815A7" w:rsidRPr="000815A7" w:rsidRDefault="000815A7" w:rsidP="000815A7">
      <w:pPr>
        <w:spacing w:line="360" w:lineRule="auto"/>
        <w:ind w:firstLine="851"/>
        <w:jc w:val="both"/>
        <w:rPr>
          <w:bCs/>
          <w:sz w:val="24"/>
          <w:szCs w:val="24"/>
        </w:rPr>
      </w:pPr>
      <w:r>
        <w:rPr>
          <w:sz w:val="24"/>
          <w:szCs w:val="24"/>
        </w:rPr>
        <w:t xml:space="preserve">Para cada ativo </w:t>
      </w:r>
      <w:r>
        <w:rPr>
          <w:rStyle w:val="katex-mathml"/>
          <w:sz w:val="24"/>
          <w:szCs w:val="24"/>
        </w:rPr>
        <w:t xml:space="preserve">ii </w:t>
      </w:r>
      <w:r>
        <w:rPr>
          <w:rStyle w:val="mord"/>
          <w:sz w:val="24"/>
          <w:szCs w:val="24"/>
        </w:rPr>
        <w:t>i</w:t>
      </w:r>
      <w:r>
        <w:rPr>
          <w:sz w:val="24"/>
          <w:szCs w:val="24"/>
        </w:rPr>
        <w:t xml:space="preserve"> e instante </w:t>
      </w:r>
      <w:r>
        <w:rPr>
          <w:rStyle w:val="katex-mathml"/>
          <w:sz w:val="24"/>
          <w:szCs w:val="24"/>
        </w:rPr>
        <w:t xml:space="preserve">tt </w:t>
      </w:r>
      <w:r>
        <w:rPr>
          <w:rStyle w:val="mord"/>
          <w:sz w:val="24"/>
          <w:szCs w:val="24"/>
        </w:rPr>
        <w:t>t</w:t>
      </w:r>
      <w:r>
        <w:rPr>
          <w:sz w:val="24"/>
          <w:szCs w:val="24"/>
        </w:rPr>
        <w:t>, o prêmio de risco diário (excesso de retorno) foi calculado subtraindo-se a taxa livre de risco do retorno simples:</w:t>
      </w:r>
    </w:p>
    <w:p w14:paraId="4760DD01" w14:textId="77777777" w:rsidR="00021F7A" w:rsidRPr="000815A7" w:rsidRDefault="000815A7" w:rsidP="000815A7">
      <w:pPr>
        <w:spacing w:line="360" w:lineRule="auto"/>
        <w:jc w:val="center"/>
        <w:rPr>
          <w:bCs/>
        </w:rPr>
      </w:pPr>
      <w:r>
        <w:rPr>
          <w:bCs/>
          <w:noProof/>
          <w:lang w:val="pt-BR" w:eastAsia="pt-BR"/>
        </w:rPr>
        <w:drawing>
          <wp:inline distT="0" distB="0" distL="0" distR="0" wp14:anchorId="5277A5F5" wp14:editId="53269001">
            <wp:extent cx="1533739" cy="495369"/>
            <wp:effectExtent l="0" t="0" r="9525"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33739" cy="495369"/>
                    </a:xfrm>
                    <a:prstGeom prst="rect">
                      <a:avLst/>
                    </a:prstGeom>
                  </pic:spPr>
                </pic:pic>
              </a:graphicData>
            </a:graphic>
          </wp:inline>
        </w:drawing>
      </w:r>
    </w:p>
    <w:p w14:paraId="6A0B5C9B" w14:textId="77777777" w:rsidR="00021F7A" w:rsidRPr="000815A7" w:rsidRDefault="000815A7" w:rsidP="000815A7">
      <w:pPr>
        <w:spacing w:line="360" w:lineRule="auto"/>
        <w:ind w:firstLine="851"/>
        <w:jc w:val="both"/>
        <w:rPr>
          <w:bCs/>
          <w:sz w:val="24"/>
        </w:rPr>
      </w:pPr>
      <w:r>
        <w:rPr>
          <w:sz w:val="24"/>
        </w:rPr>
        <w:t xml:space="preserve">Onde </w:t>
      </w:r>
      <w:r>
        <w:rPr>
          <w:bCs/>
          <w:noProof/>
          <w:sz w:val="24"/>
          <w:lang w:val="pt-BR" w:eastAsia="pt-BR"/>
        </w:rPr>
        <w:drawing>
          <wp:inline distT="0" distB="0" distL="0" distR="0" wp14:anchorId="096F54B4" wp14:editId="0F1124CE">
            <wp:extent cx="371527" cy="285790"/>
            <wp:effectExtent l="0" t="0" r="952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7" cy="285790"/>
                    </a:xfrm>
                    <a:prstGeom prst="rect">
                      <a:avLst/>
                    </a:prstGeom>
                  </pic:spPr>
                </pic:pic>
              </a:graphicData>
            </a:graphic>
          </wp:inline>
        </w:drawing>
      </w:r>
      <w:r>
        <w:rPr>
          <w:sz w:val="24"/>
        </w:rPr>
        <w:t xml:space="preserve"> corresponde ao CDI diário no instante </w:t>
      </w:r>
      <w:r>
        <w:rPr>
          <w:rStyle w:val="katex-mathml"/>
          <w:sz w:val="24"/>
        </w:rPr>
        <w:t xml:space="preserve">tt </w:t>
      </w:r>
      <w:r>
        <w:rPr>
          <w:rStyle w:val="mord"/>
          <w:sz w:val="24"/>
        </w:rPr>
        <w:t>t</w:t>
      </w:r>
      <w:r>
        <w:rPr>
          <w:sz w:val="24"/>
        </w:rPr>
        <w:t xml:space="preserve">. Analogamente, o prêmio de risco do mercado foi calculado como </w:t>
      </w:r>
      <w:r>
        <w:rPr>
          <w:bCs/>
          <w:noProof/>
          <w:sz w:val="24"/>
          <w:lang w:val="pt-BR" w:eastAsia="pt-BR"/>
        </w:rPr>
        <w:drawing>
          <wp:inline distT="0" distB="0" distL="0" distR="0" wp14:anchorId="1FBDBB25" wp14:editId="4CC138C8">
            <wp:extent cx="1991003" cy="371527"/>
            <wp:effectExtent l="0" t="0" r="0" b="952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91003" cy="371527"/>
                    </a:xfrm>
                    <a:prstGeom prst="rect">
                      <a:avLst/>
                    </a:prstGeom>
                  </pic:spPr>
                </pic:pic>
              </a:graphicData>
            </a:graphic>
          </wp:inline>
        </w:drawing>
      </w:r>
      <w:r>
        <w:rPr>
          <w:sz w:val="24"/>
        </w:rPr>
        <w:t>.</w:t>
      </w:r>
    </w:p>
    <w:p w14:paraId="50ECA011" w14:textId="77777777" w:rsidR="00021F7A" w:rsidRPr="000815A7" w:rsidRDefault="000815A7" w:rsidP="000815A7">
      <w:pPr>
        <w:spacing w:line="360" w:lineRule="auto"/>
        <w:ind w:firstLine="851"/>
        <w:jc w:val="both"/>
        <w:rPr>
          <w:bCs/>
          <w:sz w:val="28"/>
          <w:szCs w:val="24"/>
        </w:rPr>
      </w:pPr>
      <w:r>
        <w:rPr>
          <w:sz w:val="24"/>
        </w:rPr>
        <w:t>O CDI médio diário no período foi de 0,0369% ao dia, equivalente a aproximadamente 9,3% ao ano — valor consistente com a trajetória histórica da taxa DI entre 2010 e 2025.</w:t>
      </w:r>
    </w:p>
    <w:p w14:paraId="20C58C63" w14:textId="77777777" w:rsidR="000815A7" w:rsidRPr="000815A7" w:rsidRDefault="000815A7" w:rsidP="000815A7">
      <w:pPr>
        <w:rPr>
          <w:bCs/>
          <w:sz w:val="24"/>
          <w:szCs w:val="24"/>
        </w:rPr>
      </w:pPr>
    </w:p>
    <w:p w14:paraId="55A76E22" w14:textId="77777777" w:rsidR="000815A7" w:rsidRPr="00564EAF" w:rsidRDefault="00564EAF" w:rsidP="000815A7">
      <w:pPr>
        <w:pStyle w:val="Ttulo3"/>
        <w:numPr>
          <w:ilvl w:val="2"/>
          <w:numId w:val="1"/>
        </w:numPr>
        <w:rPr>
          <w:b w:val="0"/>
          <w:sz w:val="22"/>
        </w:rPr>
      </w:pPr>
      <w:bookmarkStart w:id="97" w:name="_Toc230857064"/>
      <w:r>
        <w:rPr>
          <w:b w:val="0"/>
        </w:rPr>
        <w:t>Retornos Esperados e Matriz de Covariância</w:t>
      </w:r>
      <w:bookmarkEnd w:id="97"/>
    </w:p>
    <w:p w14:paraId="1338E2B9" w14:textId="77777777" w:rsidR="000815A7" w:rsidRPr="000815A7" w:rsidRDefault="000815A7" w:rsidP="000815A7"/>
    <w:p w14:paraId="085E9AEB" w14:textId="77777777" w:rsidR="000815A7" w:rsidRDefault="000815A7" w:rsidP="000815A7">
      <w:pPr>
        <w:pStyle w:val="font-claude-response-body"/>
        <w:spacing w:before="0" w:beforeAutospacing="0" w:after="0" w:afterAutospacing="0" w:line="360" w:lineRule="auto"/>
        <w:ind w:firstLine="851"/>
        <w:jc w:val="both"/>
      </w:pPr>
      <w:r>
        <w:t xml:space="preserve">Em cada ponto de rebalanceamento do </w:t>
      </w:r>
      <w:r>
        <w:rPr>
          <w:rStyle w:val="nfase"/>
        </w:rPr>
        <w:t>backtest</w:t>
      </w:r>
      <w:r>
        <w:t>, os parâmetros de otimização foram estimados exclusivamente com dados disponíveis até a data de corte (</w:t>
      </w:r>
      <w:r>
        <w:rPr>
          <w:rStyle w:val="nfase"/>
        </w:rPr>
        <w:t>expanding window</w:t>
      </w:r>
      <w:r>
        <w:t>), respeitando a vedação ao viés de antecipação:</w:t>
      </w:r>
    </w:p>
    <w:p w14:paraId="3069D654" w14:textId="77777777" w:rsidR="000815A7" w:rsidRDefault="000815A7" w:rsidP="003F1C11">
      <w:pPr>
        <w:pStyle w:val="font-claude-response-body"/>
        <w:numPr>
          <w:ilvl w:val="0"/>
          <w:numId w:val="59"/>
        </w:numPr>
        <w:spacing w:before="0" w:beforeAutospacing="0" w:after="0" w:afterAutospacing="0" w:line="360" w:lineRule="auto"/>
        <w:ind w:left="1570" w:hanging="357"/>
        <w:jc w:val="both"/>
      </w:pPr>
      <w:r>
        <w:rPr>
          <w:rStyle w:val="Forte"/>
        </w:rPr>
        <w:t xml:space="preserve">Vetor de Retornos Esperados </w:t>
      </w:r>
      <m:oMath>
        <m:r>
          <w:rPr>
            <w:rStyle w:val="Forte"/>
            <w:rFonts w:ascii="Cambria Math" w:hAnsi="Cambria Math"/>
          </w:rPr>
          <m:t>(</m:t>
        </m:r>
        <m:r>
          <m:rPr>
            <m:sty m:val="bi"/>
          </m:rPr>
          <w:rPr>
            <w:rStyle w:val="katex-mathml"/>
            <w:rFonts w:ascii="Cambria Math" w:hAnsi="Cambria Math"/>
          </w:rPr>
          <m:t>μ</m:t>
        </m:r>
        <m:r>
          <w:rPr>
            <w:rStyle w:val="Forte"/>
            <w:rFonts w:ascii="Cambria Math" w:hAnsi="Cambria Math"/>
          </w:rPr>
          <m:t>)</m:t>
        </m:r>
      </m:oMath>
      <w:r>
        <w:rPr>
          <w:rStyle w:val="Forte"/>
        </w:rPr>
        <w:t>:</w:t>
      </w:r>
      <w:r>
        <w:t xml:space="preserve"> calculado como a média histórica simples dos retornos em excesso diários acumulados desde o início da amostra até a data de corte, anualizada por um fator de 252 dias úteis:</w:t>
      </w:r>
    </w:p>
    <w:p w14:paraId="67502DC1" w14:textId="77777777" w:rsidR="00021F7A" w:rsidRDefault="000815A7" w:rsidP="000815A7">
      <w:pPr>
        <w:spacing w:line="360" w:lineRule="auto"/>
        <w:jc w:val="center"/>
        <w:rPr>
          <w:bCs/>
          <w:sz w:val="24"/>
          <w:szCs w:val="24"/>
        </w:rPr>
      </w:pPr>
      <w:r>
        <w:rPr>
          <w:bCs/>
          <w:noProof/>
          <w:sz w:val="24"/>
          <w:szCs w:val="24"/>
          <w:lang w:val="pt-BR" w:eastAsia="pt-BR"/>
        </w:rPr>
        <w:drawing>
          <wp:inline distT="0" distB="0" distL="0" distR="0" wp14:anchorId="2BAC2F4B" wp14:editId="079F1389">
            <wp:extent cx="1314633" cy="447737"/>
            <wp:effectExtent l="0" t="0" r="0" b="952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14633" cy="447737"/>
                    </a:xfrm>
                    <a:prstGeom prst="rect">
                      <a:avLst/>
                    </a:prstGeom>
                  </pic:spPr>
                </pic:pic>
              </a:graphicData>
            </a:graphic>
          </wp:inline>
        </w:drawing>
      </w:r>
    </w:p>
    <w:p w14:paraId="09F82BC5" w14:textId="77777777" w:rsidR="000815A7" w:rsidRPr="00564EAF" w:rsidRDefault="00564EAF" w:rsidP="003F1C11">
      <w:pPr>
        <w:pStyle w:val="PargrafodaLista"/>
        <w:numPr>
          <w:ilvl w:val="0"/>
          <w:numId w:val="59"/>
        </w:numPr>
        <w:spacing w:line="360" w:lineRule="auto"/>
        <w:ind w:left="1570" w:hanging="357"/>
        <w:jc w:val="both"/>
        <w:rPr>
          <w:bCs/>
          <w:sz w:val="24"/>
          <w:szCs w:val="24"/>
        </w:rPr>
      </w:pPr>
      <w:r>
        <w:rPr>
          <w:rStyle w:val="Forte"/>
        </w:rPr>
        <w:t>Matriz de Covariância</w:t>
      </w:r>
      <m:oMath>
        <m:r>
          <m:rPr>
            <m:sty m:val="p"/>
          </m:rPr>
          <w:rPr>
            <w:rStyle w:val="Forte"/>
            <w:rFonts w:ascii="Cambria Math" w:hAnsi="Cambria Math"/>
          </w:rPr>
          <m:t>(</m:t>
        </m:r>
        <m:r>
          <m:rPr>
            <m:sty m:val="b"/>
          </m:rPr>
          <w:rPr>
            <w:rStyle w:val="mord"/>
            <w:rFonts w:ascii="Cambria Math" w:hAnsi="Cambria Math"/>
          </w:rPr>
          <m:t>Σ</m:t>
        </m:r>
        <m:r>
          <m:rPr>
            <m:sty m:val="p"/>
          </m:rPr>
          <w:rPr>
            <w:rStyle w:val="Forte"/>
            <w:rFonts w:ascii="Cambria Math" w:hAnsi="Cambria Math"/>
          </w:rPr>
          <m:t>)</m:t>
        </m:r>
      </m:oMath>
      <w:r>
        <w:rPr>
          <w:rStyle w:val="Forte"/>
        </w:rPr>
        <w:t>:</w:t>
      </w:r>
      <w:r>
        <w:t xml:space="preserve"> estimada como a covariância amostral das séries de retornos em excesso, igualmente anualizada:</w:t>
      </w:r>
    </w:p>
    <w:p w14:paraId="10B3D233" w14:textId="77777777" w:rsidR="000815A7" w:rsidRDefault="000815A7" w:rsidP="00021F7A">
      <w:pPr>
        <w:spacing w:line="360" w:lineRule="auto"/>
        <w:jc w:val="both"/>
        <w:rPr>
          <w:bCs/>
          <w:sz w:val="24"/>
          <w:szCs w:val="24"/>
        </w:rPr>
      </w:pPr>
    </w:p>
    <w:p w14:paraId="5D93B9C1" w14:textId="77777777" w:rsidR="000815A7" w:rsidRDefault="00564EAF" w:rsidP="00564EAF">
      <w:pPr>
        <w:spacing w:line="360" w:lineRule="auto"/>
        <w:jc w:val="center"/>
        <w:rPr>
          <w:bCs/>
          <w:sz w:val="24"/>
          <w:szCs w:val="24"/>
        </w:rPr>
      </w:pPr>
      <w:r>
        <w:rPr>
          <w:bCs/>
          <w:noProof/>
          <w:sz w:val="24"/>
          <w:szCs w:val="24"/>
          <w:lang w:val="pt-BR" w:eastAsia="pt-BR"/>
        </w:rPr>
        <w:drawing>
          <wp:inline distT="0" distB="0" distL="0" distR="0" wp14:anchorId="7CBD2696" wp14:editId="7F7E550E">
            <wp:extent cx="1390844" cy="352474"/>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90844" cy="352474"/>
                    </a:xfrm>
                    <a:prstGeom prst="rect">
                      <a:avLst/>
                    </a:prstGeom>
                  </pic:spPr>
                </pic:pic>
              </a:graphicData>
            </a:graphic>
          </wp:inline>
        </w:drawing>
      </w:r>
    </w:p>
    <w:p w14:paraId="074A090B" w14:textId="77777777" w:rsidR="000815A7" w:rsidRDefault="00564EAF" w:rsidP="00564EAF">
      <w:pPr>
        <w:spacing w:line="360" w:lineRule="auto"/>
        <w:ind w:firstLine="851"/>
        <w:jc w:val="both"/>
        <w:rPr>
          <w:bCs/>
          <w:sz w:val="24"/>
          <w:szCs w:val="24"/>
        </w:rPr>
      </w:pPr>
      <w:r>
        <w:t xml:space="preserve">A dimensão da matriz no ponto de maturidade da amostra foi de </w:t>
      </w:r>
      <m:oMath>
        <m:r>
          <m:rPr>
            <m:sty m:val="p"/>
          </m:rPr>
          <w:rPr>
            <w:rStyle w:val="katex-mathml"/>
            <w:rFonts w:ascii="Cambria Math" w:hAnsi="Cambria Math"/>
          </w:rPr>
          <m:t>135×135</m:t>
        </m:r>
      </m:oMath>
      <w:r>
        <w:t>.</w:t>
      </w:r>
    </w:p>
    <w:p w14:paraId="3E499C00" w14:textId="77777777" w:rsidR="000815A7" w:rsidRDefault="000815A7" w:rsidP="00021F7A">
      <w:pPr>
        <w:spacing w:line="360" w:lineRule="auto"/>
        <w:jc w:val="both"/>
        <w:rPr>
          <w:bCs/>
          <w:sz w:val="24"/>
          <w:szCs w:val="24"/>
        </w:rPr>
      </w:pPr>
    </w:p>
    <w:p w14:paraId="28F27DE6" w14:textId="77777777" w:rsidR="00564EAF" w:rsidRPr="00736E2A" w:rsidRDefault="00564EAF" w:rsidP="00564EAF">
      <w:pPr>
        <w:rPr>
          <w:bCs/>
          <w:sz w:val="24"/>
          <w:szCs w:val="24"/>
        </w:rPr>
      </w:pPr>
    </w:p>
    <w:p w14:paraId="79D4A87C" w14:textId="77777777" w:rsidR="00564EAF" w:rsidRPr="00564EAF" w:rsidRDefault="00564EAF" w:rsidP="00564EAF">
      <w:pPr>
        <w:pStyle w:val="Ttulo2"/>
        <w:numPr>
          <w:ilvl w:val="1"/>
          <w:numId w:val="1"/>
        </w:numPr>
        <w:ind w:left="0" w:firstLine="0"/>
        <w:jc w:val="left"/>
        <w:rPr>
          <w:sz w:val="16"/>
          <w:szCs w:val="24"/>
        </w:rPr>
      </w:pPr>
      <w:bookmarkStart w:id="98" w:name="_Toc230857065"/>
      <w:r>
        <w:rPr>
          <w:sz w:val="24"/>
        </w:rPr>
        <w:t>Modelos de Otimização Implementados</w:t>
      </w:r>
      <w:bookmarkEnd w:id="98"/>
    </w:p>
    <w:p w14:paraId="6E508545" w14:textId="77777777" w:rsidR="00564EAF" w:rsidRDefault="00564EAF" w:rsidP="00564EAF">
      <w:pPr>
        <w:rPr>
          <w:bCs/>
          <w:sz w:val="24"/>
          <w:szCs w:val="24"/>
        </w:rPr>
      </w:pPr>
    </w:p>
    <w:p w14:paraId="3BA699AB" w14:textId="77777777" w:rsidR="00CA5867" w:rsidRPr="00C8154F" w:rsidRDefault="00CA5867" w:rsidP="00CA5867">
      <w:pPr>
        <w:spacing w:line="360" w:lineRule="auto"/>
        <w:ind w:firstLine="851"/>
        <w:jc w:val="both"/>
        <w:rPr>
          <w:sz w:val="24"/>
          <w:szCs w:val="24"/>
        </w:rPr>
      </w:pPr>
      <w:r>
        <w:rPr>
          <w:sz w:val="24"/>
          <w:szCs w:val="24"/>
        </w:rPr>
        <w:t>Esta seção formaliza os quinze modelos de alocação avaliados no estudo, organizados nas três famílias teóricas discutidas no Capítulo 2: (i) os modelos de média-variância da Teoria Moderna do Portfólio (MPT); (ii) os modelos de risco de queda (</w:t>
      </w:r>
      <w:r>
        <w:rPr>
          <w:i/>
          <w:iCs/>
          <w:sz w:val="24"/>
          <w:szCs w:val="24"/>
        </w:rPr>
        <w:t>downside risk</w:t>
      </w:r>
      <w:r>
        <w:rPr>
          <w:sz w:val="24"/>
          <w:szCs w:val="24"/>
        </w:rPr>
        <w:t>) da Teoria Pós-Moderna do Portfólio (PMPT); e (iii) as variantes do modelo Bayesiano de Black-Litterman (BL). Todos compartilham o mesmo arcabouço de restrições e a mesma penalidade de fricção transacional, descritos a seguir, sendo a função objetivo o elemento que os distingue.</w:t>
      </w:r>
    </w:p>
    <w:p w14:paraId="31F6C70F" w14:textId="77777777" w:rsidR="008A75BE" w:rsidRPr="000815A7" w:rsidRDefault="008A75BE" w:rsidP="00564EAF">
      <w:pPr>
        <w:rPr>
          <w:bCs/>
          <w:sz w:val="24"/>
          <w:szCs w:val="24"/>
        </w:rPr>
      </w:pPr>
    </w:p>
    <w:p w14:paraId="633F56B9" w14:textId="77777777" w:rsidR="00564EAF" w:rsidRPr="00564EAF" w:rsidRDefault="00564EAF" w:rsidP="00564EAF">
      <w:pPr>
        <w:pStyle w:val="Ttulo3"/>
        <w:numPr>
          <w:ilvl w:val="2"/>
          <w:numId w:val="1"/>
        </w:numPr>
        <w:rPr>
          <w:b w:val="0"/>
          <w:sz w:val="22"/>
        </w:rPr>
      </w:pPr>
      <w:bookmarkStart w:id="99" w:name="_Toc230857066"/>
      <w:r>
        <w:rPr>
          <w:b w:val="0"/>
        </w:rPr>
        <w:t>Otimização de Máximo Índice de Sharpe com Penalidade</w:t>
      </w:r>
      <w:bookmarkEnd w:id="99"/>
      <w:r>
        <w:rPr>
          <w:b w:val="0"/>
        </w:rPr>
        <w:t xml:space="preserve"> </w:t>
      </w:r>
    </w:p>
    <w:p w14:paraId="0FEEF3F7" w14:textId="77777777" w:rsidR="00A46D8D" w:rsidRDefault="00A46D8D" w:rsidP="00021F7A">
      <w:pPr>
        <w:spacing w:line="360" w:lineRule="auto"/>
        <w:jc w:val="both"/>
      </w:pPr>
    </w:p>
    <w:p w14:paraId="5D120EC4" w14:textId="1874F7F1"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Seja </w:t>
      </w:r>
      <m:oMath>
        <m:r>
          <w:rPr>
            <w:rFonts w:ascii="Cambria Math" w:hAnsi="Cambria Math" w:cs="Times New Roman"/>
          </w:rPr>
          <m:t>N</m:t>
        </m:r>
      </m:oMath>
      <w:r>
        <w:rPr>
          <w:rFonts w:ascii="Times New Roman" w:hAnsi="Times New Roman" w:cs="Times New Roman"/>
          <w:lang w:val="pt-BR"/>
        </w:rPr>
        <w:t xml:space="preserve"> o número de ativos investíveis em um dado ponto de rebalanceamento e </w:t>
      </w:r>
      <m:oMath>
        <m:r>
          <m:rPr>
            <m:sty m:val="b"/>
          </m:rPr>
          <w:rPr>
            <w:rFonts w:ascii="Cambria Math" w:hAnsi="Cambria Math" w:cs="Times New Roman"/>
          </w:rPr>
          <m:t>w</m:t>
        </m:r>
        <m:r>
          <m:rPr>
            <m:sty m:val="p"/>
          </m:rPr>
          <w:rPr>
            <w:rFonts w:ascii="Cambria Math" w:hAnsi="Cambria Math" w:cs="Times New Roman"/>
            <w:lang w:val="pt-BR"/>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1</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pt-BR"/>
                      </w:rPr>
                      <m:t>2</m:t>
                    </m:r>
                  </m:sub>
                </m:sSub>
                <m:r>
                  <m:rPr>
                    <m:sty m:val="p"/>
                  </m:rPr>
                  <w:rPr>
                    <w:rFonts w:ascii="Cambria Math" w:hAnsi="Cambria Math" w:cs="Times New Roman"/>
                    <w:lang w:val="pt-BR"/>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N</m:t>
                    </m:r>
                  </m:sub>
                </m:sSub>
              </m:e>
            </m:d>
          </m:e>
          <m:sup>
            <m:r>
              <m:rPr>
                <m:sty m:val="p"/>
              </m:rPr>
              <w:rPr>
                <w:rFonts w:ascii="Cambria Math" w:hAnsi="Cambria Math" w:cs="Times New Roman"/>
                <w:lang w:val="pt-BR"/>
              </w:rPr>
              <m:t>⊤</m:t>
            </m:r>
          </m:sup>
        </m:sSup>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o vetor de pesos a ser determinado. Em cada um dos </w:t>
      </w:r>
      <m:oMath>
        <m:r>
          <w:rPr>
            <w:rFonts w:ascii="Cambria Math" w:hAnsi="Cambria Math" w:cs="Times New Roman"/>
            <w:lang w:val="pt-BR"/>
          </w:rPr>
          <m:t>132</m:t>
        </m:r>
      </m:oMath>
      <w:r>
        <w:rPr>
          <w:rFonts w:ascii="Times New Roman" w:hAnsi="Times New Roman" w:cs="Times New Roman"/>
          <w:lang w:val="pt-BR"/>
        </w:rPr>
        <w:t xml:space="preserve"> pontos mensais do </w:t>
      </w:r>
      <w:r>
        <w:rPr>
          <w:rFonts w:ascii="Times New Roman" w:hAnsi="Times New Roman" w:cs="Times New Roman"/>
          <w:i/>
          <w:iCs/>
          <w:lang w:val="pt-BR"/>
        </w:rPr>
        <w:t>backtest</w:t>
      </w:r>
      <w:r>
        <w:rPr>
          <w:rFonts w:ascii="Times New Roman" w:hAnsi="Times New Roman" w:cs="Times New Roman"/>
          <w:lang w:val="pt-BR"/>
        </w:rPr>
        <w:t xml:space="preserve">, a janela expansiva de retornos </w:t>
      </w:r>
      <w:r>
        <w:rPr>
          <w:rFonts w:ascii="Times New Roman" w:hAnsi="Times New Roman" w:cs="Times New Roman"/>
        </w:rPr>
        <w:t>—</w:t>
      </w:r>
      <w:r>
        <w:rPr>
          <w:rFonts w:ascii="Times New Roman" w:hAnsi="Times New Roman" w:cs="Times New Roman"/>
          <w:lang w:val="pt-BR"/>
        </w:rPr>
        <w:t xml:space="preserve"> </w:t>
      </w:r>
      <w:r>
        <w:rPr>
          <w:rFonts w:ascii="Times New Roman" w:hAnsi="Times New Roman" w:cs="Times New Roman"/>
        </w:rPr>
        <w:t>composta por todas as observações disponíveis desde o início da amostra até a data de corte, após um período mínimo de formação (treinamento inicial) de 60 meses (cinco anos) —</w:t>
      </w:r>
      <w:r>
        <w:t xml:space="preserve"> </w:t>
      </w:r>
      <w:r>
        <w:rPr>
          <w:rFonts w:ascii="Times New Roman" w:hAnsi="Times New Roman" w:cs="Times New Roman"/>
          <w:lang w:val="pt-BR"/>
        </w:rPr>
        <w:t xml:space="preserve">é utilizada para estimar o vetor de retornos esperados em excesso anualizados </w:t>
      </w:r>
      <m:oMath>
        <m:r>
          <m:rPr>
            <m:sty m:val="b"/>
          </m:rPr>
          <w:rPr>
            <w:rFonts w:ascii="Cambria Math" w:hAnsi="Cambria Math" w:cs="Times New Roman"/>
          </w:rPr>
          <m:t>μ</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sup>
        </m:sSup>
      </m:oMath>
      <w:r>
        <w:rPr>
          <w:rFonts w:ascii="Times New Roman" w:hAnsi="Times New Roman" w:cs="Times New Roman"/>
          <w:lang w:val="pt-BR"/>
        </w:rPr>
        <w:t xml:space="preserve"> e a matriz de covariância anualizada </w:t>
      </w:r>
      <m:oMath>
        <m:r>
          <m:rPr>
            <m:sty m:val="b"/>
          </m:rPr>
          <w:rPr>
            <w:rFonts w:ascii="Cambria Math" w:hAnsi="Cambria Math" w:cs="Times New Roman"/>
          </w:rPr>
          <m:t>Σ</m:t>
        </m:r>
        <m:r>
          <m:rPr>
            <m:sty m:val="p"/>
          </m:rPr>
          <w:rPr>
            <w:rFonts w:ascii="Cambria Math" w:hAnsi="Cambria Math" w:cs="Times New Roman"/>
            <w:lang w:val="pt-BR"/>
          </w:rPr>
          <m:t>∈</m:t>
        </m:r>
        <m:sSup>
          <m:sSupPr>
            <m:ctrlPr>
              <w:rPr>
                <w:rFonts w:ascii="Cambria Math" w:hAnsi="Cambria Math" w:cs="Times New Roman"/>
              </w:rPr>
            </m:ctrlPr>
          </m:sSupPr>
          <m:e>
            <m:r>
              <m:rPr>
                <m:scr m:val="double-struck"/>
                <m:sty m:val="p"/>
              </m:rPr>
              <w:rPr>
                <w:rFonts w:ascii="Cambria Math" w:hAnsi="Cambria Math" w:cs="Times New Roman"/>
                <w:lang w:val="pt-BR"/>
              </w:rPr>
              <m:t>R</m:t>
            </m:r>
          </m:e>
          <m:sup>
            <m:r>
              <w:rPr>
                <w:rFonts w:ascii="Cambria Math" w:hAnsi="Cambria Math" w:cs="Times New Roman"/>
              </w:rPr>
              <m:t>N</m:t>
            </m:r>
            <m:r>
              <m:rPr>
                <m:sty m:val="p"/>
              </m:rPr>
              <w:rPr>
                <w:rFonts w:ascii="Cambria Math" w:hAnsi="Cambria Math" w:cs="Times New Roman"/>
                <w:lang w:val="pt-BR"/>
              </w:rPr>
              <m:t>×</m:t>
            </m:r>
            <m:r>
              <w:rPr>
                <w:rFonts w:ascii="Cambria Math" w:hAnsi="Cambria Math" w:cs="Times New Roman"/>
              </w:rPr>
              <m:t>N</m:t>
            </m:r>
          </m:sup>
        </m:sSup>
      </m:oMath>
      <w:r>
        <w:rPr>
          <w:rFonts w:ascii="Times New Roman" w:hAnsi="Times New Roman" w:cs="Times New Roman"/>
          <w:lang w:val="pt-BR"/>
        </w:rPr>
        <w:t>, esta última obtida pelo estimador de encolhimento de Ledoit-Wolf descrito na Seção 3.4.2.</w:t>
      </w:r>
    </w:p>
    <w:p w14:paraId="18CD4C59" w14:textId="77777777" w:rsidR="00303D02" w:rsidRPr="00303D02" w:rsidRDefault="00303D02" w:rsidP="00303D02">
      <w:pPr>
        <w:pStyle w:val="Corpodetexto"/>
        <w:spacing w:line="360" w:lineRule="auto"/>
        <w:ind w:firstLine="851"/>
        <w:jc w:val="both"/>
        <w:rPr>
          <w:lang w:val="pt-BR"/>
        </w:rPr>
      </w:pPr>
      <w:r>
        <w:rPr>
          <w:lang w:val="pt-BR"/>
        </w:rPr>
        <w:t>Todos os modelos estão sujeitos ao mesmo conjunto de restrições estruturais, que garantem a admissibilidade financeira das carteiras para um investidor institucional:</w:t>
      </w:r>
    </w:p>
    <w:p w14:paraId="16F6AF54" w14:textId="77777777" w:rsidR="00303D02" w:rsidRDefault="00000000" w:rsidP="00303D02">
      <w:pPr>
        <w:pStyle w:val="Corpodetexto"/>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oMath>
      </m:oMathPara>
    </w:p>
    <w:p w14:paraId="10B0D773" w14:textId="77777777" w:rsidR="00303D02" w:rsidRDefault="00303D02" w:rsidP="00303D02">
      <w:pPr>
        <w:pStyle w:val="FirstParagraph"/>
        <w:spacing w:before="0" w:after="0" w:line="360" w:lineRule="auto"/>
        <w:ind w:firstLine="851"/>
        <w:jc w:val="both"/>
        <w:rPr>
          <w:lang w:val="pt-BR"/>
        </w:rPr>
      </w:pPr>
    </w:p>
    <w:p w14:paraId="6B461783" w14:textId="77777777" w:rsidR="00303D02" w:rsidRPr="009C7B5F" w:rsidRDefault="00303D02" w:rsidP="00303D02">
      <w:pPr>
        <w:pStyle w:val="FirstParagraph"/>
        <w:spacing w:before="0" w:after="0" w:line="360" w:lineRule="auto"/>
        <w:ind w:firstLine="851"/>
        <w:jc w:val="both"/>
        <w:rPr>
          <w:lang w:val="pt-BR"/>
        </w:rPr>
      </w:pPr>
      <w:r>
        <w:rPr>
          <w:lang w:val="pt-BR"/>
        </w:rPr>
        <w:t>A primeira condição impõe o orçamento pleno (a totalidade do capital é alocada); a segunda impõe a vedação a vendas a descoberto (</w:t>
      </w:r>
      <w:r>
        <w:rPr>
          <w:i/>
          <w:iCs/>
          <w:lang w:val="pt-BR"/>
        </w:rPr>
        <w:t>long-only</w:t>
      </w:r>
      <w:r>
        <w:rPr>
          <w:lang w:val="pt-BR"/>
        </w:rPr>
        <w:t xml:space="preserve">), em conformidade com a regulação aplicável a fundos de investimento de varejo no Brasil; e a terceira é um teto de concentração por emissor, com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1</m:t>
        </m:r>
      </m:oMath>
      <w:r>
        <w:rPr>
          <w:lang w:val="pt-BR"/>
        </w:rPr>
        <w:t xml:space="preserve"> (sem teto) nas variantes irrestritas e </w:t>
      </w:r>
      <m:oMath>
        <m:acc>
          <m:accPr>
            <m:chr m:val="‾"/>
            <m:ctrlPr>
              <w:rPr>
                <w:rFonts w:ascii="Cambria Math" w:hAnsi="Cambria Math"/>
              </w:rPr>
            </m:ctrlPr>
          </m:accPr>
          <m:e>
            <m:r>
              <w:rPr>
                <w:rFonts w:ascii="Cambria Math" w:hAnsi="Cambria Math"/>
              </w:rPr>
              <m:t>w</m:t>
            </m:r>
          </m:e>
        </m:acc>
        <m:r>
          <m:rPr>
            <m:sty m:val="p"/>
          </m:rPr>
          <w:rPr>
            <w:rFonts w:ascii="Cambria Math" w:hAnsi="Cambria Math"/>
            <w:lang w:val="pt-BR"/>
          </w:rPr>
          <m:t>=</m:t>
        </m:r>
        <m:r>
          <w:rPr>
            <w:rFonts w:ascii="Cambria Math" w:hAnsi="Cambria Math"/>
            <w:lang w:val="pt-BR"/>
          </w:rPr>
          <m:t>0</m:t>
        </m:r>
        <m:r>
          <m:rPr>
            <m:sty m:val="p"/>
          </m:rPr>
          <w:rPr>
            <w:rFonts w:ascii="Cambria Math" w:hAnsi="Cambria Math"/>
            <w:lang w:val="pt-BR"/>
          </w:rPr>
          <m:t>,</m:t>
        </m:r>
        <m:r>
          <w:rPr>
            <w:rFonts w:ascii="Cambria Math" w:hAnsi="Cambria Math"/>
            <w:lang w:val="pt-BR"/>
          </w:rPr>
          <m:t>10</m:t>
        </m:r>
      </m:oMath>
      <w:r>
        <w:rPr>
          <w:lang w:val="pt-BR"/>
        </w:rPr>
        <w:t xml:space="preserve"> nas variantes identificadas pelo sufixo </w:t>
      </w:r>
      <w:r>
        <w:rPr>
          <w:i/>
          <w:iCs/>
          <w:lang w:val="pt-BR"/>
        </w:rPr>
        <w:t>c10</w:t>
      </w:r>
      <w:r>
        <w:rPr>
          <w:lang w:val="pt-BR"/>
        </w:rPr>
        <w:t>, que refletem o limite de 10% por emissor estabelecido pela Resolução CVM nº 175/2022.</w:t>
      </w:r>
    </w:p>
    <w:p w14:paraId="7B00FA64" w14:textId="77777777" w:rsidR="00303D02" w:rsidRPr="00FA446B" w:rsidRDefault="00303D02" w:rsidP="00303D02">
      <w:pPr>
        <w:rPr>
          <w:b/>
          <w:bCs/>
          <w:sz w:val="24"/>
          <w:szCs w:val="24"/>
          <w:lang w:val="pt-BR"/>
        </w:rPr>
      </w:pPr>
      <w:bookmarkStart w:id="100" w:name="Xcc7fccd656fef1fec0a9264969e5189e8919430"/>
    </w:p>
    <w:p w14:paraId="6F92CDA1" w14:textId="1BBEBE2D" w:rsidR="00303D02" w:rsidRPr="00FA446B" w:rsidRDefault="00303D02" w:rsidP="00303D02">
      <w:pPr>
        <w:jc w:val="center"/>
        <w:rPr>
          <w:b/>
          <w:bCs/>
          <w:sz w:val="24"/>
          <w:szCs w:val="24"/>
          <w:lang w:val="pt-BR"/>
        </w:rPr>
      </w:pPr>
      <w:r>
        <w:rPr>
          <w:b/>
          <w:bCs/>
          <w:sz w:val="24"/>
          <w:szCs w:val="24"/>
          <w:lang w:val="pt-BR"/>
        </w:rPr>
        <w:t xml:space="preserve">Penalidade de fricção transacional (norma </w:t>
      </w:r>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1</m:t>
            </m:r>
          </m:sub>
        </m:sSub>
      </m:oMath>
      <w:r>
        <w:rPr>
          <w:b/>
          <w:bCs/>
          <w:sz w:val="24"/>
          <w:szCs w:val="24"/>
          <w:lang w:val="pt-BR"/>
        </w:rPr>
        <w:t>)</w:t>
      </w:r>
    </w:p>
    <w:p w14:paraId="6DE78AB4" w14:textId="77777777" w:rsidR="00303D02" w:rsidRPr="00303D02" w:rsidRDefault="00303D02" w:rsidP="00303D02">
      <w:pPr>
        <w:pStyle w:val="FirstParagraph"/>
        <w:rPr>
          <w:rFonts w:ascii="Times New Roman" w:hAnsi="Times New Roman" w:cs="Times New Roman"/>
          <w:lang w:val="pt-BR"/>
        </w:rPr>
      </w:pPr>
    </w:p>
    <w:p w14:paraId="66C106E9" w14:textId="77777777" w:rsidR="00303D02" w:rsidRP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lastRenderedPageBreak/>
        <w:t>Para evitar que o otimizador realize realocações economicamente injustificadas a cada mês, incorpora-se à função objetivo uma penalidade proporcional ao giro (</w:t>
      </w:r>
      <w:r>
        <w:rPr>
          <w:rFonts w:ascii="Times New Roman" w:hAnsi="Times New Roman" w:cs="Times New Roman"/>
          <w:i/>
          <w:iCs/>
          <w:lang w:val="pt-BR"/>
        </w:rPr>
        <w:t>turnover</w:t>
      </w:r>
      <w:r>
        <w:rPr>
          <w:rFonts w:ascii="Times New Roman" w:hAnsi="Times New Roman" w:cs="Times New Roman"/>
          <w:lang w:val="pt-BR"/>
        </w:rPr>
        <w:t xml:space="preserve">) da carteira, medida pela norma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lang w:val="pt-BR"/>
              </w:rPr>
              <m:t>1</m:t>
            </m:r>
          </m:sub>
        </m:sSub>
      </m:oMath>
      <w:r>
        <w:rPr>
          <w:rFonts w:ascii="Times New Roman" w:hAnsi="Times New Roman" w:cs="Times New Roman"/>
          <w:lang w:val="pt-BR"/>
        </w:rPr>
        <w:t xml:space="preserve"> do vetor de variação de pesos:</w:t>
      </w:r>
    </w:p>
    <w:p w14:paraId="16330BAA" w14:textId="77777777" w:rsidR="00303D02" w:rsidRPr="00303D02" w:rsidRDefault="00303D02" w:rsidP="00303D02">
      <w:pPr>
        <w:pStyle w:val="Corpodetexto"/>
        <w:rPr>
          <w:lang w:val="en-US"/>
        </w:rP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w</m:t>
              </m:r>
            </m:e>
          </m:d>
          <m:r>
            <m:rPr>
              <m:sty m:val="p"/>
            </m:rPr>
            <w:rPr>
              <w:rFonts w:ascii="Cambria Math" w:hAnsi="Cambria Math"/>
              <w:lang w:val="en-US"/>
            </w:rPr>
            <m:t>=</m:t>
          </m:r>
          <m:r>
            <w:rPr>
              <w:rFonts w:ascii="Cambria Math" w:hAnsi="Cambria Math"/>
            </w:rPr>
            <m:t>c</m:t>
          </m:r>
          <m:r>
            <w:rPr>
              <w:rFonts w:ascii="Cambria Math" w:hAnsi="Cambria Math"/>
              <w:lang w:val="en-US"/>
            </w:rPr>
            <m:t> </m:t>
          </m:r>
          <m:r>
            <m:rPr>
              <m:sty m:val="p"/>
            </m:rPr>
            <w:rPr>
              <w:rFonts w:ascii="Cambria Math" w:hAnsi="Cambria Math"/>
              <w:lang w:val="en-US"/>
            </w:rPr>
            <m:t>∥</m:t>
          </m:r>
          <m:r>
            <m:rPr>
              <m:sty m:val="b"/>
            </m:rPr>
            <w:rPr>
              <w:rFonts w:ascii="Cambria Math" w:hAnsi="Cambria Math"/>
            </w:rPr>
            <m:t>w</m:t>
          </m:r>
          <m:r>
            <m:rPr>
              <m:sty m:val="p"/>
            </m:rPr>
            <w:rPr>
              <w:rFonts w:ascii="Cambria Math" w:hAnsi="Cambria Math"/>
              <w:lang w:val="en-US"/>
            </w:rPr>
            <m:t>-</m:t>
          </m:r>
          <m:sSub>
            <m:sSubPr>
              <m:ctrlPr>
                <w:rPr>
                  <w:rFonts w:ascii="Cambria Math" w:hAnsi="Cambria Math"/>
                </w:rPr>
              </m:ctrlPr>
            </m:sSubPr>
            <m:e>
              <m:r>
                <m:rPr>
                  <m:sty m:val="b"/>
                </m:rPr>
                <w:rPr>
                  <w:rFonts w:ascii="Cambria Math" w:hAnsi="Cambria Math"/>
                </w:rPr>
                <m:t>w</m:t>
              </m:r>
            </m:e>
            <m:sub>
              <m:r>
                <m:rPr>
                  <m:nor/>
                </m:rPr>
                <w:rPr>
                  <w:lang w:val="en-US"/>
                </w:rPr>
                <m:t>ant</m:t>
              </m:r>
            </m:sub>
          </m:sSub>
          <m:sSub>
            <m:sSubPr>
              <m:ctrlPr>
                <w:rPr>
                  <w:rFonts w:ascii="Cambria Math" w:hAnsi="Cambria Math"/>
                </w:rPr>
              </m:ctrlPr>
            </m:sSubPr>
            <m:e>
              <m:r>
                <m:rPr>
                  <m:sty m:val="p"/>
                </m:rPr>
                <w:rPr>
                  <w:rFonts w:ascii="Cambria Math" w:hAnsi="Cambria Math"/>
                  <w:lang w:val="en-US"/>
                </w:rPr>
                <m:t>∥</m:t>
              </m:r>
            </m:e>
            <m:sub>
              <m:r>
                <w:rPr>
                  <w:rFonts w:ascii="Cambria Math" w:hAnsi="Cambria Math"/>
                  <w:lang w:val="en-US"/>
                </w:rPr>
                <m:t>1</m:t>
              </m:r>
            </m:sub>
          </m:sSub>
          <m:r>
            <m:rPr>
              <m:sty m:val="p"/>
            </m:rPr>
            <w:rPr>
              <w:rFonts w:ascii="Cambria Math" w:hAnsi="Cambria Math"/>
              <w:lang w:val="en-US"/>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n-US"/>
                </w:rPr>
                <m:t>=</m:t>
              </m:r>
              <m:r>
                <w:rPr>
                  <w:rFonts w:ascii="Cambria Math" w:hAnsi="Cambria Math"/>
                  <w:lang w:val="en-US"/>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lang w:val="en-US"/>
                        </w:rPr>
                        <m:t>,</m:t>
                      </m:r>
                      <m:r>
                        <m:rPr>
                          <m:nor/>
                        </m:rPr>
                        <w:rPr>
                          <w:lang w:val="en-US"/>
                        </w:rPr>
                        <m:t>ant</m:t>
                      </m:r>
                    </m:sub>
                  </m:sSub>
                </m:e>
              </m:d>
            </m:e>
          </m:nary>
          <m:r>
            <m:rPr>
              <m:sty m:val="p"/>
            </m:rPr>
            <w:rPr>
              <w:rFonts w:ascii="Cambria Math" w:hAnsi="Cambria Math"/>
              <w:lang w:val="en-US"/>
            </w:rPr>
            <m:t>,</m:t>
          </m:r>
        </m:oMath>
      </m:oMathPara>
    </w:p>
    <w:p w14:paraId="59284493" w14:textId="77777777" w:rsidR="00FA446B" w:rsidRDefault="00FA446B" w:rsidP="00303D02">
      <w:pPr>
        <w:pStyle w:val="FirstParagraph"/>
        <w:spacing w:before="0" w:after="0" w:line="360" w:lineRule="auto"/>
        <w:ind w:firstLine="851"/>
        <w:jc w:val="both"/>
        <w:rPr>
          <w:rFonts w:ascii="Times New Roman" w:hAnsi="Times New Roman" w:cs="Times New Roman"/>
          <w:lang w:val="pt-BR"/>
        </w:rPr>
      </w:pPr>
    </w:p>
    <w:p w14:paraId="3F532544" w14:textId="3C886F72" w:rsidR="00303D02" w:rsidRPr="00303D02" w:rsidRDefault="00303D02" w:rsidP="00FA446B">
      <w:pPr>
        <w:pStyle w:val="FirstParagraph"/>
        <w:spacing w:before="0" w:after="0" w:line="360" w:lineRule="auto"/>
        <w:jc w:val="both"/>
        <w:rPr>
          <w:rFonts w:ascii="Times New Roman" w:hAnsi="Times New Roman" w:cs="Times New Roman"/>
          <w:lang w:val="pt-BR"/>
        </w:rPr>
      </w:pPr>
      <w:r>
        <w:rPr>
          <w:rFonts w:ascii="Times New Roman" w:hAnsi="Times New Roman" w:cs="Times New Roman"/>
          <w:lang w:val="pt-BR"/>
        </w:rPr>
        <w:t xml:space="preserve">onde </w:t>
      </w:r>
      <m:oMath>
        <m:sSub>
          <m:sSubPr>
            <m:ctrlPr>
              <w:rPr>
                <w:rFonts w:ascii="Cambria Math" w:hAnsi="Cambria Math" w:cs="Times New Roman"/>
              </w:rPr>
            </m:ctrlPr>
          </m:sSubPr>
          <m:e>
            <m:r>
              <m:rPr>
                <m:sty m:val="b"/>
              </m:rPr>
              <w:rPr>
                <w:rFonts w:ascii="Cambria Math" w:hAnsi="Cambria Math" w:cs="Times New Roman"/>
              </w:rPr>
              <m:t>w</m:t>
            </m:r>
          </m:e>
          <m:sub>
            <m:r>
              <m:rPr>
                <m:nor/>
              </m:rPr>
              <w:rPr>
                <w:rFonts w:ascii="Times New Roman" w:hAnsi="Times New Roman" w:cs="Times New Roman"/>
                <w:lang w:val="pt-BR"/>
              </w:rPr>
              <m:t>ant</m:t>
            </m:r>
          </m:sub>
        </m:sSub>
      </m:oMath>
      <w:r>
        <w:rPr>
          <w:rFonts w:ascii="Times New Roman" w:hAnsi="Times New Roman" w:cs="Times New Roman"/>
          <w:lang w:val="pt-BR"/>
        </w:rPr>
        <w:t xml:space="preserve"> é o vetor de pesos vigente no período anterior (após a deriva natural dos preços) e </w:t>
      </w:r>
      <m:oMath>
        <m:r>
          <w:rPr>
            <w:rFonts w:ascii="Cambria Math" w:hAnsi="Cambria Math" w:cs="Times New Roman"/>
          </w:rPr>
          <m:t>c</m:t>
        </m:r>
        <m:r>
          <m:rPr>
            <m:sty m:val="p"/>
          </m:rPr>
          <w:rPr>
            <w:rFonts w:ascii="Cambria Math" w:hAnsi="Cambria Math" w:cs="Times New Roman"/>
            <w:lang w:val="pt-BR"/>
          </w:rPr>
          <m:t>=</m:t>
        </m:r>
        <m:r>
          <w:rPr>
            <w:rFonts w:ascii="Cambria Math" w:hAnsi="Cambria Math" w:cs="Times New Roman"/>
            <w:lang w:val="pt-BR"/>
          </w:rPr>
          <m:t>0</m:t>
        </m:r>
        <m:r>
          <m:rPr>
            <m:sty m:val="p"/>
          </m:rPr>
          <w:rPr>
            <w:rFonts w:ascii="Cambria Math" w:hAnsi="Cambria Math" w:cs="Times New Roman"/>
            <w:lang w:val="pt-BR"/>
          </w:rPr>
          <m:t>,</m:t>
        </m:r>
        <m:r>
          <w:rPr>
            <w:rFonts w:ascii="Cambria Math" w:hAnsi="Cambria Math" w:cs="Times New Roman"/>
            <w:lang w:val="pt-BR"/>
          </w:rPr>
          <m:t>5</m:t>
        </m:r>
        <m:r>
          <m:rPr>
            <m:sty m:val="p"/>
          </m:rPr>
          <w:rPr>
            <w:rFonts w:ascii="Cambria Math" w:hAnsi="Cambria Math" w:cs="Times New Roman"/>
            <w:lang w:val="pt-BR"/>
          </w:rPr>
          <m:t>%</m:t>
        </m:r>
      </m:oMath>
      <w:r>
        <w:rPr>
          <w:rFonts w:ascii="Times New Roman" w:hAnsi="Times New Roman" w:cs="Times New Roman"/>
          <w:lang w:val="pt-BR"/>
        </w:rPr>
        <w:t xml:space="preserve"> é o custo transacional proporcional, calibrado conservadoramente para corretagem, emolumentos e impacto de mercado na B3. Essa penalidade é isomórfica a uma regularização do tipo </w:t>
      </w:r>
      <w:r>
        <w:rPr>
          <w:rFonts w:ascii="Times New Roman" w:hAnsi="Times New Roman" w:cs="Times New Roman"/>
          <w:i/>
          <w:iCs/>
          <w:lang w:val="pt-BR"/>
        </w:rPr>
        <w:t>Lasso</w:t>
      </w:r>
      <w:r>
        <w:rPr>
          <w:rFonts w:ascii="Times New Roman" w:hAnsi="Times New Roman" w:cs="Times New Roman"/>
          <w:lang w:val="pt-BR"/>
        </w:rPr>
        <w:t>: ela induz esparsidade nas realocações e cria uma zona de não-negociação (</w:t>
      </w:r>
      <w:r>
        <w:rPr>
          <w:rFonts w:ascii="Times New Roman" w:hAnsi="Times New Roman" w:cs="Times New Roman"/>
          <w:i/>
          <w:iCs/>
          <w:lang w:val="pt-BR"/>
        </w:rPr>
        <w:t>no-trade zone</w:t>
      </w:r>
      <w:r>
        <w:rPr>
          <w:rFonts w:ascii="Times New Roman" w:hAnsi="Times New Roman" w:cs="Times New Roman"/>
          <w:lang w:val="pt-BR"/>
        </w:rPr>
        <w:t>), na qual o otimizador mantém os pesos inalterados sempre que o ganho marginal da realocação for inferior ao seu custo.</w:t>
      </w:r>
    </w:p>
    <w:p w14:paraId="73C9777E" w14:textId="77777777" w:rsidR="00303D02" w:rsidRDefault="00303D02" w:rsidP="00303D02">
      <w:pPr>
        <w:spacing w:line="360" w:lineRule="auto"/>
        <w:ind w:firstLine="720"/>
        <w:jc w:val="center"/>
        <w:rPr>
          <w:sz w:val="24"/>
          <w:szCs w:val="24"/>
          <w:lang w:val="pt-BR"/>
        </w:rPr>
      </w:pPr>
      <w:bookmarkStart w:id="101" w:name="solvers"/>
      <w:bookmarkEnd w:id="100"/>
    </w:p>
    <w:p w14:paraId="12FA1C28" w14:textId="77777777" w:rsidR="00303D02" w:rsidRPr="00FA446B" w:rsidRDefault="00303D02" w:rsidP="00E61085">
      <w:pPr>
        <w:spacing w:line="360" w:lineRule="auto"/>
        <w:jc w:val="center"/>
        <w:rPr>
          <w:b/>
          <w:bCs/>
          <w:sz w:val="24"/>
          <w:szCs w:val="24"/>
          <w:lang w:val="pt-BR"/>
        </w:rPr>
      </w:pPr>
      <w:r>
        <w:rPr>
          <w:b/>
          <w:bCs/>
          <w:sz w:val="24"/>
          <w:szCs w:val="24"/>
          <w:lang w:val="pt-BR"/>
        </w:rPr>
        <w:t>Solvers</w:t>
      </w:r>
    </w:p>
    <w:p w14:paraId="2016D5EB" w14:textId="77777777" w:rsidR="00303D02" w:rsidRDefault="00303D02" w:rsidP="00303D02">
      <w:pPr>
        <w:pStyle w:val="FirstParagraph"/>
        <w:spacing w:before="0" w:after="0" w:line="360" w:lineRule="auto"/>
        <w:ind w:firstLine="720"/>
        <w:rPr>
          <w:rFonts w:ascii="Times New Roman" w:hAnsi="Times New Roman" w:cs="Times New Roman"/>
          <w:lang w:val="pt-BR"/>
        </w:rPr>
      </w:pPr>
    </w:p>
    <w:p w14:paraId="2719525E"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problemas convexos diferenciáveis (média-variância e suas variantes) são resolvidos pelo algoritmo de Programação Quadrática Sequencial (SLSQP) da biblioteca </w:t>
      </w:r>
      <w:r>
        <w:rPr>
          <w:rStyle w:val="VerbatimChar"/>
          <w:rFonts w:ascii="Times New Roman" w:hAnsi="Times New Roman" w:cs="Times New Roman"/>
          <w:i w:val="0"/>
          <w:color w:val="auto"/>
          <w:sz w:val="24"/>
          <w:szCs w:val="24"/>
        </w:rPr>
        <w:t>scipy.optimize</w:t>
      </w:r>
      <w:r>
        <w:rPr>
          <w:rFonts w:ascii="Times New Roman" w:hAnsi="Times New Roman" w:cs="Times New Roman"/>
          <w:i/>
          <w:lang w:val="pt-BR"/>
        </w:rPr>
        <w:t>,</w:t>
      </w:r>
      <w:r>
        <w:rPr>
          <w:rFonts w:ascii="Times New Roman" w:hAnsi="Times New Roman" w:cs="Times New Roman"/>
          <w:lang w:val="pt-BR"/>
        </w:rPr>
        <w:t xml:space="preserve"> eficiente para problemas de pequena dimensão (</w:t>
      </w:r>
      <m:oMath>
        <m:r>
          <m:rPr>
            <m:sty m:val="p"/>
          </m:rPr>
          <w:rPr>
            <w:rFonts w:ascii="Cambria Math" w:hAnsi="Cambria Math" w:cs="Times New Roman"/>
            <w:lang w:val="pt-BR"/>
          </w:rPr>
          <m:t>N≤120</m:t>
        </m:r>
      </m:oMath>
      <w:r>
        <w:rPr>
          <w:rFonts w:ascii="Times New Roman" w:hAnsi="Times New Roman" w:cs="Times New Roman"/>
          <w:lang w:val="pt-BR"/>
        </w:rPr>
        <w:t xml:space="preserve">) com restrições lineares e de caixa. Os problemas reformuláveis como programação linear ou cônica de segunda ordem (CVaR, CDaR) são resolvidos pela biblioteca </w:t>
      </w:r>
      <w:r>
        <w:rPr>
          <w:rStyle w:val="VerbatimChar"/>
          <w:rFonts w:ascii="Times New Roman" w:hAnsi="Times New Roman" w:cs="Times New Roman"/>
          <w:i w:val="0"/>
          <w:color w:val="auto"/>
          <w:sz w:val="24"/>
          <w:szCs w:val="24"/>
        </w:rPr>
        <w:t>cvxpy</w:t>
      </w:r>
      <w:r>
        <w:rPr>
          <w:rFonts w:ascii="Times New Roman" w:hAnsi="Times New Roman" w:cs="Times New Roman"/>
          <w:lang w:val="pt-BR"/>
        </w:rPr>
        <w:t xml:space="preserve">, com a cadeia de </w:t>
      </w:r>
      <w:r>
        <w:rPr>
          <w:rFonts w:ascii="Times New Roman" w:hAnsi="Times New Roman" w:cs="Times New Roman"/>
          <w:iCs/>
          <w:lang w:val="pt-BR"/>
        </w:rPr>
        <w:t>solvers</w:t>
      </w:r>
      <w:r>
        <w:rPr>
          <w:rFonts w:ascii="Times New Roman" w:hAnsi="Times New Roman" w:cs="Times New Roman"/>
          <w:lang w:val="pt-BR"/>
        </w:rPr>
        <w:t xml:space="preserve"> CLARABEL → ECOS → SCS acionada por </w:t>
      </w:r>
      <w:r>
        <w:rPr>
          <w:rFonts w:ascii="Times New Roman" w:hAnsi="Times New Roman" w:cs="Times New Roman"/>
          <w:iCs/>
          <w:lang w:val="pt-BR"/>
        </w:rPr>
        <w:t>fallback</w:t>
      </w:r>
      <w:r>
        <w:rPr>
          <w:rFonts w:ascii="Times New Roman" w:hAnsi="Times New Roman" w:cs="Times New Roman"/>
          <w:lang w:val="pt-BR"/>
        </w:rPr>
        <w:t xml:space="preserve"> automático em caso de não-convergência.</w:t>
      </w:r>
    </w:p>
    <w:p w14:paraId="1179AA41" w14:textId="77777777" w:rsidR="00303D02" w:rsidRDefault="00303D02" w:rsidP="00303D02">
      <w:pPr>
        <w:pStyle w:val="Corpodetexto"/>
        <w:rPr>
          <w:lang w:val="pt-BR"/>
        </w:rPr>
      </w:pPr>
    </w:p>
    <w:p w14:paraId="2BB7807B" w14:textId="77777777" w:rsidR="00303D02" w:rsidRPr="00564EAF" w:rsidRDefault="00303D02" w:rsidP="00303D02">
      <w:pPr>
        <w:pStyle w:val="Ttulo3"/>
        <w:numPr>
          <w:ilvl w:val="2"/>
          <w:numId w:val="1"/>
        </w:numPr>
        <w:rPr>
          <w:b w:val="0"/>
          <w:sz w:val="22"/>
        </w:rPr>
      </w:pPr>
      <w:r>
        <w:rPr>
          <w:b w:val="0"/>
          <w:lang w:val="pt-BR"/>
        </w:rPr>
        <w:t>Família I — Modelos de Média-Variância (MPT)</w:t>
      </w:r>
      <w:r>
        <w:rPr>
          <w:b w:val="0"/>
        </w:rPr>
        <w:t xml:space="preserve"> </w:t>
      </w:r>
    </w:p>
    <w:p w14:paraId="39C8BAF6" w14:textId="77777777" w:rsidR="00303D02" w:rsidRDefault="00303D02" w:rsidP="00303D02">
      <w:pPr>
        <w:pStyle w:val="FirstParagraph"/>
        <w:spacing w:before="0" w:after="0" w:line="360" w:lineRule="auto"/>
        <w:jc w:val="both"/>
        <w:rPr>
          <w:lang w:val="pt-BR"/>
        </w:rPr>
      </w:pPr>
      <w:bookmarkStart w:id="102" w:name="família-i-modelos-de-média-variância-mpt"/>
      <w:bookmarkEnd w:id="101"/>
    </w:p>
    <w:p w14:paraId="64B945C2" w14:textId="77777777" w:rsidR="00303D02" w:rsidRDefault="00303D02" w:rsidP="00303D02">
      <w:pPr>
        <w:pStyle w:val="FirstParagraph"/>
        <w:spacing w:before="0" w:after="0" w:line="360" w:lineRule="auto"/>
        <w:ind w:firstLine="851"/>
        <w:jc w:val="both"/>
        <w:rPr>
          <w:rFonts w:ascii="Times New Roman" w:hAnsi="Times New Roman" w:cs="Times New Roman"/>
          <w:lang w:val="pt-BR"/>
        </w:rPr>
      </w:pPr>
      <w:r>
        <w:rPr>
          <w:rFonts w:ascii="Times New Roman" w:hAnsi="Times New Roman" w:cs="Times New Roman"/>
          <w:lang w:val="pt-BR"/>
        </w:rPr>
        <w:t xml:space="preserve">Os seis modelos desta família operacionalizam o paradigma de Markowitz (1952), no qual o risco é mensurado pela variância da carteira, </w:t>
      </w:r>
      <m:oMath>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p</m:t>
            </m:r>
          </m:sub>
          <m:sup>
            <m:r>
              <w:rPr>
                <w:rFonts w:ascii="Cambria Math" w:hAnsi="Cambria Math" w:cs="Times New Roman"/>
                <w:lang w:val="pt-BR"/>
              </w:rPr>
              <m:t>2</m:t>
            </m:r>
          </m:sup>
        </m:sSubSup>
        <m:r>
          <m:rPr>
            <m:sty m:val="p"/>
          </m:rPr>
          <w:rPr>
            <w:rFonts w:ascii="Cambria Math" w:hAnsi="Cambria Math" w:cs="Times New Roman"/>
            <w:lang w:val="pt-BR"/>
          </w:rPr>
          <m:t>=</m:t>
        </m:r>
        <m:sSup>
          <m:sSupPr>
            <m:ctrlPr>
              <w:rPr>
                <w:rFonts w:ascii="Cambria Math" w:hAnsi="Cambria Math" w:cs="Times New Roman"/>
              </w:rPr>
            </m:ctrlPr>
          </m:sSupPr>
          <m:e>
            <m:r>
              <m:rPr>
                <m:sty m:val="b"/>
              </m:rPr>
              <w:rPr>
                <w:rFonts w:ascii="Cambria Math" w:hAnsi="Cambria Math" w:cs="Times New Roman"/>
              </w:rPr>
              <m:t>w</m:t>
            </m:r>
          </m:e>
          <m:sup>
            <m:r>
              <m:rPr>
                <m:sty m:val="p"/>
              </m:rPr>
              <w:rPr>
                <w:rFonts w:ascii="Cambria Math" w:hAnsi="Cambria Math" w:cs="Times New Roman"/>
                <w:lang w:val="pt-BR"/>
              </w:rPr>
              <m:t>⊤</m:t>
            </m:r>
          </m:sup>
        </m:sSup>
        <m:r>
          <m:rPr>
            <m:sty m:val="b"/>
          </m:rPr>
          <w:rPr>
            <w:rFonts w:ascii="Cambria Math" w:hAnsi="Cambria Math" w:cs="Times New Roman"/>
          </w:rPr>
          <m:t>Σw</m:t>
        </m:r>
      </m:oMath>
      <w:r>
        <w:rPr>
          <w:rFonts w:ascii="Times New Roman" w:hAnsi="Times New Roman" w:cs="Times New Roman"/>
          <w:lang w:val="pt-BR"/>
        </w:rPr>
        <w:t>.</w:t>
      </w:r>
    </w:p>
    <w:p w14:paraId="184075A3" w14:textId="77777777" w:rsidR="004D2E46" w:rsidRPr="004D2E46" w:rsidRDefault="004D2E46" w:rsidP="004D2E46">
      <w:pPr>
        <w:pStyle w:val="Corpodetexto"/>
        <w:rPr>
          <w:lang w:val="pt-BR"/>
        </w:rPr>
      </w:pPr>
    </w:p>
    <w:p w14:paraId="32B60DE0" w14:textId="77777777" w:rsidR="00303D02" w:rsidRPr="00303D02" w:rsidRDefault="00303D02" w:rsidP="00D1643A">
      <w:pPr>
        <w:pStyle w:val="PargrafodaLista"/>
        <w:numPr>
          <w:ilvl w:val="0"/>
          <w:numId w:val="63"/>
        </w:numPr>
        <w:jc w:val="center"/>
        <w:rPr>
          <w:sz w:val="24"/>
          <w:szCs w:val="24"/>
          <w:lang w:val="pt-BR"/>
        </w:rPr>
      </w:pPr>
      <w:bookmarkStart w:id="103" w:name="ponderação-igualitária-equalweight-1n"/>
      <w:r>
        <w:rPr>
          <w:sz w:val="24"/>
          <w:szCs w:val="24"/>
          <w:lang w:val="pt-BR"/>
        </w:rPr>
        <w:t xml:space="preserve">Ponderação Igualitária — </w:t>
      </w:r>
      <w:r>
        <w:rPr>
          <w:rStyle w:val="VerbatimChar"/>
          <w:rFonts w:ascii="Times New Roman" w:hAnsi="Times New Roman"/>
          <w:i w:val="0"/>
          <w:color w:val="auto"/>
          <w:sz w:val="24"/>
          <w:szCs w:val="24"/>
        </w:rPr>
        <w:t>EqualWeight</w:t>
      </w:r>
      <w:r>
        <w:rPr>
          <w:sz w:val="24"/>
          <w:szCs w:val="24"/>
          <w:lang w:val="pt-BR"/>
        </w:rPr>
        <w:t xml:space="preserve"> (1/N)</w:t>
      </w:r>
    </w:p>
    <w:p w14:paraId="02B9616B" w14:textId="77777777" w:rsidR="004D2E46" w:rsidRDefault="004D2E46" w:rsidP="00303D02">
      <w:pPr>
        <w:pStyle w:val="FirstParagraph"/>
        <w:spacing w:before="0" w:after="0" w:line="360" w:lineRule="auto"/>
        <w:ind w:firstLine="851"/>
        <w:jc w:val="both"/>
        <w:rPr>
          <w:lang w:val="pt-BR"/>
        </w:rPr>
      </w:pPr>
    </w:p>
    <w:p w14:paraId="0D3F2185" w14:textId="478CE1A5" w:rsidR="00303D02" w:rsidRPr="009C7B5F" w:rsidRDefault="00303D02" w:rsidP="00303D02">
      <w:pPr>
        <w:pStyle w:val="FirstParagraph"/>
        <w:spacing w:before="0" w:after="0" w:line="360" w:lineRule="auto"/>
        <w:ind w:firstLine="851"/>
        <w:jc w:val="both"/>
        <w:rPr>
          <w:lang w:val="pt-BR"/>
        </w:rPr>
      </w:pPr>
      <w:r>
        <w:rPr>
          <w:lang w:val="pt-BR"/>
        </w:rPr>
        <w:t>A estratégia ingênua de referência atribui peso idêntico a todos os ativos, sem qualquer otimização:</w:t>
      </w:r>
    </w:p>
    <w:p w14:paraId="49F5A84F" w14:textId="77777777" w:rsidR="00303D02"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7046B2FE" w14:textId="77777777" w:rsidR="00303D02" w:rsidRDefault="00303D02" w:rsidP="00303D02">
      <w:pPr>
        <w:pStyle w:val="FirstParagraph"/>
        <w:spacing w:before="0" w:after="0" w:line="360" w:lineRule="auto"/>
        <w:ind w:firstLine="851"/>
        <w:jc w:val="both"/>
        <w:rPr>
          <w:lang w:val="pt-BR"/>
        </w:rPr>
      </w:pPr>
      <w:r>
        <w:rPr>
          <w:lang w:val="pt-BR"/>
        </w:rPr>
        <w:lastRenderedPageBreak/>
        <w:t xml:space="preserve">Constitui o </w:t>
      </w:r>
      <w:r>
        <w:rPr>
          <w:i/>
          <w:iCs/>
          <w:lang w:val="pt-BR"/>
        </w:rPr>
        <w:t>benchmark</w:t>
      </w:r>
      <w:r>
        <w:rPr>
          <w:lang w:val="pt-BR"/>
        </w:rPr>
        <w:t xml:space="preserve"> central de DeMiguel, Garlappi e Uppal (2009), contra o qual a vantagem informacional dos demais otimizadores é aferida.</w:t>
      </w:r>
    </w:p>
    <w:p w14:paraId="690CF631" w14:textId="77777777" w:rsidR="004D2E46" w:rsidRPr="004D2E46" w:rsidRDefault="004D2E46" w:rsidP="004D2E46">
      <w:pPr>
        <w:pStyle w:val="Corpodetexto"/>
        <w:rPr>
          <w:lang w:val="pt-BR"/>
        </w:rPr>
      </w:pPr>
    </w:p>
    <w:p w14:paraId="634DA15F" w14:textId="77777777" w:rsidR="00303D02" w:rsidRPr="00303D02" w:rsidRDefault="00303D02" w:rsidP="00D1643A">
      <w:pPr>
        <w:pStyle w:val="PargrafodaLista"/>
        <w:numPr>
          <w:ilvl w:val="0"/>
          <w:numId w:val="63"/>
        </w:numPr>
        <w:jc w:val="center"/>
        <w:rPr>
          <w:lang w:val="pt-BR"/>
        </w:rPr>
      </w:pPr>
      <w:bookmarkStart w:id="104" w:name="inverso-da-volatilidade-invvol"/>
      <w:bookmarkEnd w:id="103"/>
      <w:r>
        <w:rPr>
          <w:lang w:val="pt-BR"/>
        </w:rPr>
        <w:t xml:space="preserve">Inverso da Volatilidade — </w:t>
      </w:r>
      <w:r>
        <w:rPr>
          <w:rStyle w:val="VerbatimChar"/>
          <w:rFonts w:ascii="Times New Roman" w:hAnsi="Times New Roman"/>
          <w:i w:val="0"/>
          <w:color w:val="auto"/>
          <w:sz w:val="24"/>
          <w:szCs w:val="24"/>
        </w:rPr>
        <w:t>InvVol</w:t>
      </w:r>
    </w:p>
    <w:p w14:paraId="254CEEEE" w14:textId="77777777" w:rsidR="004D2E46" w:rsidRDefault="004D2E46" w:rsidP="004D2E46">
      <w:pPr>
        <w:pStyle w:val="FirstParagraph"/>
        <w:spacing w:before="0" w:after="0" w:line="360" w:lineRule="auto"/>
        <w:jc w:val="both"/>
        <w:rPr>
          <w:lang w:val="pt-BR"/>
        </w:rPr>
      </w:pPr>
    </w:p>
    <w:p w14:paraId="3434B751" w14:textId="60D6A38B" w:rsidR="00303D02" w:rsidRPr="009C7B5F" w:rsidRDefault="00303D02" w:rsidP="00303D02">
      <w:pPr>
        <w:pStyle w:val="FirstParagraph"/>
        <w:spacing w:before="0" w:after="0" w:line="360" w:lineRule="auto"/>
        <w:ind w:firstLine="851"/>
        <w:jc w:val="both"/>
        <w:rPr>
          <w:lang w:val="pt-BR"/>
        </w:rPr>
      </w:pPr>
      <w:r>
        <w:rPr>
          <w:lang w:val="pt-BR"/>
        </w:rPr>
        <w:t xml:space="preserve">Aloca capital de forma inversamente proporcional à volatilidade individual de cada ativo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lang w:val="pt-BR"/>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ii</m:t>
                </m:r>
              </m:sub>
            </m:sSub>
          </m:e>
        </m:rad>
      </m:oMath>
      <w:r>
        <w:rPr>
          <w:lang w:val="pt-BR"/>
        </w:rPr>
        <w:t>, ignorando as covariâncias cruzadas:</w:t>
      </w:r>
    </w:p>
    <w:p w14:paraId="6569774A" w14:textId="77777777" w:rsidR="00303D02" w:rsidRPr="00D66E6F" w:rsidRDefault="00000000" w:rsidP="00303D02">
      <w:pPr>
        <w:pStyle w:val="Corpodetex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oMath>
      </m:oMathPara>
    </w:p>
    <w:p w14:paraId="7701F21A" w14:textId="77777777" w:rsidR="008776EC" w:rsidRDefault="008776EC" w:rsidP="00D66E6F">
      <w:pPr>
        <w:rPr>
          <w:lang w:val="pt-BR"/>
        </w:rPr>
      </w:pPr>
      <w:bookmarkStart w:id="105" w:name="mínima-variância-global-minvar"/>
      <w:bookmarkEnd w:id="104"/>
    </w:p>
    <w:p w14:paraId="72482977" w14:textId="5ED4DE3E" w:rsidR="00F84BC6" w:rsidRPr="00F84BC6" w:rsidRDefault="00F84BC6" w:rsidP="00D1643A">
      <w:pPr>
        <w:pStyle w:val="PargrafodaLista"/>
        <w:numPr>
          <w:ilvl w:val="0"/>
          <w:numId w:val="63"/>
        </w:numPr>
        <w:spacing w:line="360" w:lineRule="auto"/>
        <w:jc w:val="center"/>
        <w:rPr>
          <w:sz w:val="24"/>
          <w:szCs w:val="24"/>
        </w:rPr>
      </w:pPr>
      <w:r>
        <w:rPr>
          <w:sz w:val="24"/>
          <w:szCs w:val="24"/>
        </w:rPr>
        <w:t xml:space="preserve">Mínima Variância Global — </w:t>
      </w:r>
      <w:r>
        <w:rPr>
          <w:rStyle w:val="VerbatimChar"/>
          <w:rFonts w:ascii="Times New Roman" w:hAnsi="Times New Roman"/>
          <w:i w:val="0"/>
          <w:iCs w:val="0"/>
          <w:color w:val="auto"/>
          <w:sz w:val="24"/>
          <w:szCs w:val="24"/>
        </w:rPr>
        <w:t>MinVar</w:t>
      </w:r>
    </w:p>
    <w:p w14:paraId="3A8CD324" w14:textId="77777777" w:rsidR="004D2E46" w:rsidRDefault="004D2E46" w:rsidP="00F84BC6">
      <w:pPr>
        <w:spacing w:line="360" w:lineRule="auto"/>
        <w:jc w:val="both"/>
        <w:rPr>
          <w:sz w:val="24"/>
          <w:szCs w:val="24"/>
        </w:rPr>
      </w:pPr>
    </w:p>
    <w:p w14:paraId="556BB70F" w14:textId="57E3003C" w:rsidR="00F84BC6" w:rsidRDefault="00F84BC6" w:rsidP="004D2E46">
      <w:pPr>
        <w:spacing w:line="360" w:lineRule="auto"/>
        <w:ind w:firstLine="851"/>
        <w:jc w:val="both"/>
        <w:rPr>
          <w:sz w:val="24"/>
          <w:szCs w:val="24"/>
        </w:rPr>
      </w:pPr>
      <w:r>
        <w:rPr>
          <w:sz w:val="24"/>
          <w:szCs w:val="24"/>
        </w:rPr>
        <w:t>Minimiza a variância da carteira sem qualquer referência ao vetor de retornos esperados, o que a torna teoricamente robusta ao componente de estimação mais ruidoso do processo (DeMiguel; Garlappi; Uppal, 2009):</w:t>
      </w:r>
    </w:p>
    <w:p w14:paraId="62E7079C" w14:textId="77777777" w:rsidR="004D2E46" w:rsidRPr="00C8154F" w:rsidRDefault="004D2E46" w:rsidP="004D2E46">
      <w:pPr>
        <w:spacing w:line="360" w:lineRule="auto"/>
        <w:ind w:firstLine="851"/>
        <w:jc w:val="both"/>
        <w:rPr>
          <w:sz w:val="24"/>
          <w:szCs w:val="24"/>
        </w:rPr>
      </w:pPr>
    </w:p>
    <w:p w14:paraId="205AABF8" w14:textId="77777777" w:rsidR="00F84BC6" w:rsidRPr="004D2E46"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48FC1E2F" w14:textId="77777777" w:rsidR="004D2E46" w:rsidRPr="00C8154F" w:rsidRDefault="004D2E46" w:rsidP="00F84BC6">
      <w:pPr>
        <w:spacing w:line="360" w:lineRule="auto"/>
        <w:jc w:val="both"/>
        <w:rPr>
          <w:sz w:val="24"/>
          <w:szCs w:val="24"/>
        </w:rPr>
      </w:pPr>
    </w:p>
    <w:p w14:paraId="518403B0" w14:textId="6CEE4BE2" w:rsidR="00F84BC6" w:rsidRPr="004D2E46" w:rsidRDefault="00F84BC6" w:rsidP="00D1643A">
      <w:pPr>
        <w:pStyle w:val="PargrafodaLista"/>
        <w:numPr>
          <w:ilvl w:val="0"/>
          <w:numId w:val="63"/>
        </w:numPr>
        <w:spacing w:line="360" w:lineRule="auto"/>
        <w:jc w:val="center"/>
        <w:rPr>
          <w:sz w:val="24"/>
          <w:szCs w:val="24"/>
        </w:rPr>
      </w:pPr>
      <w:bookmarkStart w:id="106" w:name="X1261b37b0cca076dc09205a1c40f768e29f6111"/>
      <w:r>
        <w:rPr>
          <w:sz w:val="24"/>
          <w:szCs w:val="24"/>
        </w:rPr>
        <w:t xml:space="preserve">Mínima Variância com Teto de 10% — </w:t>
      </w:r>
      <w:r>
        <w:rPr>
          <w:rStyle w:val="VerbatimChar"/>
          <w:rFonts w:ascii="Times New Roman" w:hAnsi="Times New Roman"/>
          <w:i w:val="0"/>
          <w:iCs w:val="0"/>
          <w:color w:val="auto"/>
          <w:sz w:val="24"/>
          <w:szCs w:val="24"/>
        </w:rPr>
        <w:t>MinVar_c10</w:t>
      </w:r>
    </w:p>
    <w:p w14:paraId="340F400C" w14:textId="77777777" w:rsidR="004D2E46" w:rsidRDefault="004D2E46" w:rsidP="00F84BC6">
      <w:pPr>
        <w:spacing w:line="360" w:lineRule="auto"/>
        <w:jc w:val="both"/>
        <w:rPr>
          <w:sz w:val="24"/>
          <w:szCs w:val="24"/>
        </w:rPr>
      </w:pPr>
    </w:p>
    <w:p w14:paraId="508E526D" w14:textId="2B13DCED" w:rsidR="00F84BC6" w:rsidRDefault="00F84BC6" w:rsidP="00F84BC6">
      <w:pPr>
        <w:spacing w:line="360" w:lineRule="auto"/>
        <w:jc w:val="both"/>
        <w:rPr>
          <w:sz w:val="24"/>
          <w:szCs w:val="24"/>
        </w:rPr>
      </w:pPr>
      <w:r>
        <w:rPr>
          <w:sz w:val="24"/>
          <w:szCs w:val="24"/>
        </w:rPr>
        <w:t xml:space="preserve">Idêntica à anterior, com o teto de concentração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 xml:space="preserve"> ativo, em conformidade com a Resolução CVM nº 175/2022.</w:t>
      </w:r>
    </w:p>
    <w:p w14:paraId="7D2D30BE" w14:textId="77777777" w:rsidR="004D2E46" w:rsidRPr="00C8154F" w:rsidRDefault="004D2E46" w:rsidP="00F84BC6">
      <w:pPr>
        <w:spacing w:line="360" w:lineRule="auto"/>
        <w:jc w:val="both"/>
        <w:rPr>
          <w:sz w:val="24"/>
          <w:szCs w:val="24"/>
        </w:rPr>
      </w:pPr>
    </w:p>
    <w:p w14:paraId="7EFCF11E" w14:textId="1C2F17FD" w:rsidR="00F84BC6" w:rsidRPr="004D2E46" w:rsidRDefault="00F84BC6" w:rsidP="00D1643A">
      <w:pPr>
        <w:pStyle w:val="PargrafodaLista"/>
        <w:numPr>
          <w:ilvl w:val="0"/>
          <w:numId w:val="63"/>
        </w:numPr>
        <w:spacing w:line="360" w:lineRule="auto"/>
        <w:jc w:val="center"/>
        <w:rPr>
          <w:sz w:val="24"/>
          <w:szCs w:val="24"/>
        </w:rPr>
      </w:pPr>
      <w:bookmarkStart w:id="107" w:name="X4bf229fedebd76145bd964b00e28673da0de01c"/>
      <w:bookmarkEnd w:id="106"/>
      <w:r>
        <w:rPr>
          <w:sz w:val="24"/>
          <w:szCs w:val="24"/>
        </w:rPr>
        <w:t xml:space="preserve">Máxima Utilidade Média-Variância — </w:t>
      </w:r>
      <w:r>
        <w:rPr>
          <w:rStyle w:val="VerbatimChar"/>
          <w:rFonts w:ascii="Times New Roman" w:hAnsi="Times New Roman"/>
          <w:i w:val="0"/>
          <w:iCs w:val="0"/>
          <w:color w:val="auto"/>
          <w:sz w:val="24"/>
          <w:szCs w:val="24"/>
        </w:rPr>
        <w:t>MaxSharpe</w:t>
      </w:r>
      <w:r>
        <w:rPr>
          <w:sz w:val="24"/>
          <w:szCs w:val="24"/>
        </w:rPr>
        <w:t xml:space="preserve"> (</w:t>
      </w:r>
      <m:oMath>
        <m:r>
          <m:rPr>
            <m:sty m:val="bi"/>
          </m:rPr>
          <w:rPr>
            <w:rFonts w:ascii="Cambria Math" w:hAnsi="Cambria Math"/>
            <w:sz w:val="24"/>
            <w:szCs w:val="24"/>
          </w:rPr>
          <m:t>λ</m:t>
        </m:r>
        <m:r>
          <m:rPr>
            <m:sty m:val="b"/>
          </m:rPr>
          <w:rPr>
            <w:rFonts w:ascii="Cambria Math" w:hAnsi="Cambria Math"/>
            <w:sz w:val="24"/>
            <w:szCs w:val="24"/>
          </w:rPr>
          <m:t>=</m:t>
        </m:r>
        <m:r>
          <m:rPr>
            <m:sty m:val="bi"/>
          </m:rPr>
          <w:rPr>
            <w:rFonts w:ascii="Cambria Math" w:hAnsi="Cambria Math"/>
            <w:sz w:val="24"/>
            <w:szCs w:val="24"/>
          </w:rPr>
          <m:t>2</m:t>
        </m:r>
        <m:r>
          <m:rPr>
            <m:sty m:val="b"/>
          </m:rPr>
          <w:rPr>
            <w:rFonts w:ascii="Cambria Math" w:hAnsi="Cambria Math"/>
            <w:sz w:val="24"/>
            <w:szCs w:val="24"/>
          </w:rPr>
          <m:t>,</m:t>
        </m:r>
        <m:r>
          <m:rPr>
            <m:sty m:val="bi"/>
          </m:rPr>
          <w:rPr>
            <w:rFonts w:ascii="Cambria Math" w:hAnsi="Cambria Math"/>
            <w:sz w:val="24"/>
            <w:szCs w:val="24"/>
          </w:rPr>
          <m:t>5</m:t>
        </m:r>
      </m:oMath>
      <w:r>
        <w:rPr>
          <w:sz w:val="24"/>
          <w:szCs w:val="24"/>
        </w:rPr>
        <w:t>)</w:t>
      </w:r>
    </w:p>
    <w:p w14:paraId="0AED243F" w14:textId="77777777" w:rsidR="004D2E46" w:rsidRPr="00C8154F" w:rsidRDefault="004D2E46" w:rsidP="00F84BC6">
      <w:pPr>
        <w:spacing w:line="360" w:lineRule="auto"/>
        <w:jc w:val="both"/>
        <w:rPr>
          <w:sz w:val="24"/>
          <w:szCs w:val="24"/>
        </w:rPr>
      </w:pPr>
    </w:p>
    <w:p w14:paraId="48BAFDB7" w14:textId="77777777" w:rsidR="00F84BC6" w:rsidRDefault="00F84BC6" w:rsidP="004D2E46">
      <w:pPr>
        <w:spacing w:line="360" w:lineRule="auto"/>
        <w:ind w:firstLine="851"/>
        <w:jc w:val="both"/>
        <w:rPr>
          <w:sz w:val="24"/>
          <w:szCs w:val="24"/>
        </w:rPr>
      </w:pPr>
      <w:r>
        <w:rPr>
          <w:sz w:val="24"/>
          <w:szCs w:val="24"/>
        </w:rPr>
        <w:t xml:space="preserve">Maximiza uma função de utilidade quadrática que pondera retorno esperado e variância pelo coeficiente de aversão ao risco </w:t>
      </w:r>
      <m:oMath>
        <m:r>
          <w:rPr>
            <w:rFonts w:ascii="Cambria Math" w:hAnsi="Cambria Math"/>
            <w:sz w:val="24"/>
            <w:szCs w:val="24"/>
          </w:rPr>
          <m:t>λ</m:t>
        </m:r>
      </m:oMath>
      <w:r>
        <w:rPr>
          <w:sz w:val="24"/>
          <w:szCs w:val="24"/>
        </w:rPr>
        <w:t>. Equivalentemente, minimiza o negativo dessa utilidade acrescido da penalidade transacional:</w:t>
      </w:r>
    </w:p>
    <w:p w14:paraId="2482164F" w14:textId="77777777" w:rsidR="004D2E46" w:rsidRPr="00C8154F" w:rsidRDefault="004D2E46" w:rsidP="004D2E46">
      <w:pPr>
        <w:spacing w:line="360" w:lineRule="auto"/>
        <w:ind w:firstLine="851"/>
        <w:jc w:val="both"/>
        <w:rPr>
          <w:sz w:val="24"/>
          <w:szCs w:val="24"/>
        </w:rPr>
      </w:pPr>
    </w:p>
    <w:p w14:paraId="48A42C06" w14:textId="77777777" w:rsidR="00F84BC6" w:rsidRPr="004D2E46"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lim>
          </m:limLow>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μ</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λ</m:t>
              </m:r>
            </m:num>
            <m:den>
              <m:r>
                <w:rPr>
                  <w:rFonts w:ascii="Cambria Math" w:hAnsi="Cambria Math"/>
                  <w:sz w:val="24"/>
                  <w:szCs w:val="24"/>
                </w:rPr>
                <m:t>2</m:t>
              </m:r>
            </m:den>
          </m:f>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r>
            <m:rPr>
              <m:sty m:val="b"/>
            </m:rPr>
            <w:rPr>
              <w:rFonts w:ascii="Cambria Math" w:hAnsi="Cambria Math"/>
              <w:sz w:val="24"/>
              <w:szCs w:val="24"/>
            </w:rPr>
            <m:t>Σw</m:t>
          </m:r>
          <m:r>
            <m:rPr>
              <m:sty m:val="p"/>
            </m:rPr>
            <w:rPr>
              <w:rFonts w:ascii="Cambria Math" w:hAnsi="Cambria Math"/>
              <w:sz w:val="24"/>
              <w:szCs w:val="24"/>
            </w:rPr>
            <m:t>+</m:t>
          </m:r>
          <m:r>
            <w:rPr>
              <w:rFonts w:ascii="Cambria Math" w:hAnsi="Cambria Math"/>
              <w:sz w:val="24"/>
              <w:szCs w:val="24"/>
            </w:rPr>
            <m:t>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38227DC4" w14:textId="77777777" w:rsidR="004D2E46" w:rsidRPr="00C8154F" w:rsidRDefault="004D2E46" w:rsidP="00F84BC6">
      <w:pPr>
        <w:spacing w:line="360" w:lineRule="auto"/>
        <w:jc w:val="both"/>
        <w:rPr>
          <w:sz w:val="24"/>
          <w:szCs w:val="24"/>
        </w:rPr>
      </w:pPr>
    </w:p>
    <w:p w14:paraId="5D39B426" w14:textId="77777777" w:rsidR="00F84BC6" w:rsidRPr="004D2E46" w:rsidRDefault="00F84BC6" w:rsidP="00F84BC6">
      <w:pPr>
        <w:spacing w:line="360" w:lineRule="auto"/>
        <w:jc w:val="both"/>
        <w:rPr>
          <w:sz w:val="24"/>
          <w:szCs w:val="24"/>
        </w:rPr>
      </w:pPr>
      <w:r>
        <w:rPr>
          <w:sz w:val="24"/>
          <w:szCs w:val="24"/>
        </w:rPr>
        <w:t xml:space="preserve">com </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xml:space="preserve">. Cabe a ressalva metodológica de que esta formulação </w:t>
      </w:r>
      <w:r>
        <w:rPr>
          <w:b/>
          <w:bCs/>
          <w:sz w:val="24"/>
          <w:szCs w:val="24"/>
        </w:rPr>
        <w:t>não</w:t>
      </w:r>
      <w:r>
        <w:rPr>
          <w:sz w:val="24"/>
          <w:szCs w:val="24"/>
        </w:rPr>
        <w:t xml:space="preserve"> maximiza diretamente o Índice de Sharpe — problema não-convexo —, mas sim a utilidade média-variância, que produz o portfólio de tangência apenas sob condições específicas. O rótulo </w:t>
        <w:lastRenderedPageBreak/>
        <w:t>histórico “Máximo Sharpe” é, portanto, mantido apenas por continuidade nominal com a literatura, devendo a função objetivo ser interpretada como de máxima utilidade.</w:t>
      </w:r>
    </w:p>
    <w:p w14:paraId="2C895BD8" w14:textId="77777777" w:rsidR="004D2E46" w:rsidRDefault="004D2E46" w:rsidP="00F84BC6">
      <w:pPr>
        <w:spacing w:line="360" w:lineRule="auto"/>
        <w:jc w:val="both"/>
        <w:rPr>
          <w:sz w:val="24"/>
          <w:szCs w:val="24"/>
        </w:rPr>
      </w:pPr>
      <w:bookmarkStart w:id="108" w:name="X22817ef26e1b055d6584acab2b8b2fad5b46e01"/>
      <w:bookmarkEnd w:id="107"/>
    </w:p>
    <w:p w14:paraId="09C10B12" w14:textId="609FAE9C" w:rsidR="00F84BC6" w:rsidRPr="004D2E46" w:rsidRDefault="00F84BC6" w:rsidP="00D1643A">
      <w:pPr>
        <w:pStyle w:val="PargrafodaLista"/>
        <w:numPr>
          <w:ilvl w:val="0"/>
          <w:numId w:val="63"/>
        </w:numPr>
        <w:spacing w:line="360" w:lineRule="auto"/>
        <w:jc w:val="both"/>
        <w:rPr>
          <w:sz w:val="24"/>
          <w:szCs w:val="24"/>
        </w:rPr>
      </w:pPr>
      <w:r>
        <w:rPr>
          <w:sz w:val="24"/>
          <w:szCs w:val="24"/>
        </w:rPr>
        <w:t xml:space="preserve">Máxima Utilidade Média-Variância com Teto de 10% — </w:t>
      </w:r>
      <w:r>
        <w:rPr>
          <w:rStyle w:val="VerbatimChar"/>
          <w:rFonts w:ascii="Times New Roman" w:hAnsi="Times New Roman"/>
          <w:i w:val="0"/>
          <w:iCs w:val="0"/>
          <w:color w:val="auto"/>
          <w:sz w:val="24"/>
          <w:szCs w:val="24"/>
        </w:rPr>
        <w:t>MaxSharpe_c10</w:t>
      </w:r>
    </w:p>
    <w:p w14:paraId="75CF1404" w14:textId="77777777" w:rsidR="004D2E46" w:rsidRDefault="004D2E46" w:rsidP="00F84BC6">
      <w:pPr>
        <w:spacing w:line="360" w:lineRule="auto"/>
        <w:jc w:val="both"/>
        <w:rPr>
          <w:sz w:val="24"/>
          <w:szCs w:val="24"/>
        </w:rPr>
      </w:pPr>
    </w:p>
    <w:p w14:paraId="4DD26F48" w14:textId="2C9546EF" w:rsidR="00F84BC6" w:rsidRPr="004D2E46" w:rsidRDefault="00F84BC6" w:rsidP="004D2E46">
      <w:pPr>
        <w:spacing w:line="360" w:lineRule="auto"/>
        <w:ind w:firstLine="851"/>
        <w:jc w:val="both"/>
        <w:rPr>
          <w:sz w:val="24"/>
          <w:szCs w:val="24"/>
        </w:rPr>
      </w:pPr>
      <w:r>
        <w:rPr>
          <w:sz w:val="24"/>
          <w:szCs w:val="24"/>
        </w:rPr>
        <w:t xml:space="preserve">Idêntica à anterior, com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06547E6C" w14:textId="77777777" w:rsidR="004D2E46" w:rsidRDefault="004D2E46" w:rsidP="00F84BC6">
      <w:pPr>
        <w:spacing w:line="360" w:lineRule="auto"/>
        <w:jc w:val="both"/>
        <w:rPr>
          <w:sz w:val="24"/>
          <w:szCs w:val="24"/>
        </w:rPr>
      </w:pPr>
      <w:bookmarkStart w:id="109" w:name="Xf7249765c01f5515126677636a782039cf5ef34"/>
      <w:bookmarkEnd w:id="108"/>
    </w:p>
    <w:p w14:paraId="134B5414" w14:textId="77777777" w:rsidR="004D2E46" w:rsidRPr="000815A7" w:rsidRDefault="004D2E46" w:rsidP="004D2E46">
      <w:pPr>
        <w:rPr>
          <w:bCs/>
          <w:sz w:val="24"/>
          <w:szCs w:val="24"/>
        </w:rPr>
      </w:pPr>
    </w:p>
    <w:p w14:paraId="4BE53E89" w14:textId="0315D645" w:rsidR="004D2E46" w:rsidRPr="004D2E46" w:rsidRDefault="004D2E46" w:rsidP="004D2E46">
      <w:pPr>
        <w:pStyle w:val="Ttulo3"/>
        <w:numPr>
          <w:ilvl w:val="2"/>
          <w:numId w:val="1"/>
        </w:numPr>
        <w:rPr>
          <w:b w:val="0"/>
          <w:bCs w:val="0"/>
          <w:sz w:val="22"/>
        </w:rPr>
      </w:pPr>
      <w:r>
        <w:rPr>
          <w:b w:val="0"/>
          <w:bCs w:val="0"/>
        </w:rPr>
        <w:t xml:space="preserve">Família II — Modelos de Risco de Queda (PMPT) </w:t>
      </w:r>
    </w:p>
    <w:p w14:paraId="349CDB3F" w14:textId="77777777" w:rsidR="004D2E46" w:rsidRDefault="004D2E46" w:rsidP="004D2E46">
      <w:pPr>
        <w:pStyle w:val="FirstParagraph"/>
        <w:spacing w:before="0" w:after="0" w:line="360" w:lineRule="auto"/>
        <w:jc w:val="both"/>
        <w:rPr>
          <w:lang w:val="pt-BR"/>
        </w:rPr>
      </w:pPr>
    </w:p>
    <w:p w14:paraId="3A447C09" w14:textId="77777777" w:rsidR="00F84BC6" w:rsidRDefault="00F84BC6" w:rsidP="004D2E46">
      <w:pPr>
        <w:spacing w:line="360" w:lineRule="auto"/>
        <w:ind w:firstLine="851"/>
        <w:jc w:val="both"/>
        <w:rPr>
          <w:sz w:val="24"/>
          <w:szCs w:val="24"/>
        </w:rPr>
      </w:pPr>
      <w:r>
        <w:rPr>
          <w:sz w:val="24"/>
          <w:szCs w:val="24"/>
        </w:rPr>
        <w:t>Esta família substitui a variância simétrica por medidas de risco assimétricas, sensíveis apenas às realizações desfavoráveis. O arcabouço unificador é o dos Momentos Parciais Inferiores (</w:t>
      </w:r>
      <w:r>
        <w:rPr>
          <w:i/>
          <w:iCs/>
          <w:sz w:val="24"/>
          <w:szCs w:val="24"/>
        </w:rPr>
        <w:t>Lower Partial Moments</w:t>
      </w:r>
      <w:r>
        <w:rPr>
          <w:sz w:val="24"/>
          <w:szCs w:val="24"/>
        </w:rPr>
        <w:t xml:space="preserve">, LPM), apresentado na Seção 2.10. Dada uma série de </w:t>
      </w:r>
      <m:oMath>
        <m:r>
          <w:rPr>
            <w:rFonts w:ascii="Cambria Math" w:hAnsi="Cambria Math"/>
            <w:sz w:val="24"/>
            <w:szCs w:val="24"/>
          </w:rPr>
          <m:t>T</m:t>
        </m:r>
      </m:oMath>
      <w:r>
        <w:rPr>
          <w:sz w:val="24"/>
          <w:szCs w:val="24"/>
        </w:rPr>
        <w:t xml:space="preserve"> retornos </w:t>
      </w:r>
      <m:oMath>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oMath>
      <w:r>
        <w:rPr>
          <w:sz w:val="24"/>
          <w:szCs w:val="24"/>
        </w:rPr>
        <w:t xml:space="preserve"> da carteira e um retorno mínimo aceitável (</w:t>
      </w:r>
      <w:r>
        <w:rPr>
          <w:i/>
          <w:iCs/>
          <w:sz w:val="24"/>
          <w:szCs w:val="24"/>
        </w:rPr>
        <w:t>Minimum Acceptable Return</w:t>
      </w:r>
      <w:r>
        <w:rPr>
          <w:sz w:val="24"/>
          <w:szCs w:val="24"/>
        </w:rPr>
        <w:t xml:space="preserve">, MAR) </w:t>
      </w:r>
      <m:oMath>
        <m:r>
          <w:rPr>
            <w:rFonts w:ascii="Cambria Math" w:hAnsi="Cambria Math"/>
            <w:sz w:val="24"/>
            <w:szCs w:val="24"/>
          </w:rPr>
          <m:t>τ</m:t>
        </m:r>
      </m:oMath>
      <w:r>
        <w:rPr>
          <w:sz w:val="24"/>
          <w:szCs w:val="24"/>
        </w:rPr>
        <w:t xml:space="preserve">, o LPM de ordem </w:t>
      </w:r>
      <m:oMath>
        <m:r>
          <w:rPr>
            <w:rFonts w:ascii="Cambria Math" w:hAnsi="Cambria Math"/>
            <w:sz w:val="24"/>
            <w:szCs w:val="24"/>
          </w:rPr>
          <m:t>n</m:t>
        </m:r>
      </m:oMath>
      <w:r>
        <w:rPr>
          <w:sz w:val="24"/>
          <w:szCs w:val="24"/>
        </w:rPr>
        <w:t xml:space="preserve"> é estimado por:</w:t>
      </w:r>
    </w:p>
    <w:p w14:paraId="24F1394C" w14:textId="77777777" w:rsidR="004D2E46" w:rsidRPr="00C8154F" w:rsidRDefault="004D2E46" w:rsidP="004D2E46">
      <w:pPr>
        <w:spacing w:line="360" w:lineRule="auto"/>
        <w:ind w:firstLine="851"/>
        <w:jc w:val="both"/>
        <w:rPr>
          <w:sz w:val="24"/>
          <w:szCs w:val="24"/>
        </w:rPr>
      </w:pPr>
    </w:p>
    <w:p w14:paraId="70574074" w14:textId="77777777" w:rsidR="00F84BC6" w:rsidRPr="004D2E46"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n</m:t>
                  </m:r>
                </m:sup>
              </m:sSup>
            </m:e>
          </m:nary>
          <m:r>
            <m:rPr>
              <m:sty m:val="p"/>
            </m:rPr>
            <w:rPr>
              <w:rFonts w:ascii="Cambria Math" w:hAnsi="Cambria Math"/>
              <w:sz w:val="24"/>
              <w:szCs w:val="24"/>
            </w:rPr>
            <m:t>.</m:t>
          </m:r>
        </m:oMath>
      </m:oMathPara>
    </w:p>
    <w:p w14:paraId="2924D218" w14:textId="77777777" w:rsidR="004D2E46" w:rsidRPr="00C8154F" w:rsidRDefault="004D2E46" w:rsidP="00F84BC6">
      <w:pPr>
        <w:spacing w:line="360" w:lineRule="auto"/>
        <w:jc w:val="both"/>
        <w:rPr>
          <w:sz w:val="24"/>
          <w:szCs w:val="24"/>
        </w:rPr>
      </w:pPr>
    </w:p>
    <w:p w14:paraId="5E50A484" w14:textId="11FD5C66" w:rsidR="00F84BC6" w:rsidRPr="004D2E46" w:rsidRDefault="00F84BC6" w:rsidP="00D1643A">
      <w:pPr>
        <w:pStyle w:val="PargrafodaLista"/>
        <w:numPr>
          <w:ilvl w:val="0"/>
          <w:numId w:val="64"/>
        </w:numPr>
        <w:spacing w:line="360" w:lineRule="auto"/>
        <w:jc w:val="center"/>
        <w:rPr>
          <w:sz w:val="24"/>
          <w:szCs w:val="24"/>
        </w:rPr>
      </w:pPr>
      <w:bookmarkStart w:id="110" w:name="máximo-índice-ômega-maxomega"/>
      <w:r>
        <w:rPr>
          <w:sz w:val="24"/>
          <w:szCs w:val="24"/>
        </w:rPr>
        <w:t xml:space="preserve">Máximo Índice Ômega — </w:t>
      </w:r>
      <w:r>
        <w:rPr>
          <w:rStyle w:val="VerbatimChar"/>
          <w:rFonts w:ascii="Times New Roman" w:hAnsi="Times New Roman"/>
          <w:i w:val="0"/>
          <w:iCs w:val="0"/>
          <w:color w:val="auto"/>
          <w:sz w:val="24"/>
          <w:szCs w:val="24"/>
        </w:rPr>
        <w:t>MaxOmega</w:t>
      </w:r>
    </w:p>
    <w:p w14:paraId="6BFEF13D" w14:textId="77777777" w:rsidR="004D2E46" w:rsidRDefault="004D2E46" w:rsidP="00F84BC6">
      <w:pPr>
        <w:spacing w:line="360" w:lineRule="auto"/>
        <w:jc w:val="both"/>
        <w:rPr>
          <w:sz w:val="24"/>
          <w:szCs w:val="24"/>
        </w:rPr>
      </w:pPr>
    </w:p>
    <w:p w14:paraId="56C437E4" w14:textId="5BB28E03" w:rsidR="00F84BC6" w:rsidRDefault="00F84BC6" w:rsidP="004D2E46">
      <w:pPr>
        <w:spacing w:line="360" w:lineRule="auto"/>
        <w:ind w:firstLine="851"/>
        <w:jc w:val="both"/>
        <w:rPr>
          <w:sz w:val="24"/>
          <w:szCs w:val="24"/>
        </w:rPr>
      </w:pPr>
      <w:r>
        <w:rPr>
          <w:sz w:val="24"/>
          <w:szCs w:val="24"/>
        </w:rPr>
        <w:t>O Índice Ômega (Keating; Shadwick, 2002) é a razão entre o potencial de ganho acima do alvo e o risco de perda abaixo dele, correspondendo à razão entre os momentos parciais superior e inferior de primeira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oMath>
      <w:r>
        <w:rPr>
          <w:sz w:val="24"/>
          <w:szCs w:val="24"/>
        </w:rPr>
        <w:t>):</w:t>
      </w:r>
    </w:p>
    <w:p w14:paraId="780E0681" w14:textId="77777777" w:rsidR="004D2E46" w:rsidRPr="00C8154F" w:rsidRDefault="004D2E46" w:rsidP="004D2E46">
      <w:pPr>
        <w:spacing w:line="360" w:lineRule="auto"/>
        <w:ind w:firstLine="851"/>
        <w:jc w:val="both"/>
        <w:rPr>
          <w:sz w:val="24"/>
          <w:szCs w:val="24"/>
        </w:rPr>
      </w:pPr>
    </w:p>
    <w:p w14:paraId="40A0FACC" w14:textId="77777777" w:rsidR="00F84BC6" w:rsidRPr="004D2E46" w:rsidRDefault="00F84BC6" w:rsidP="00F84BC6">
      <w:pPr>
        <w:spacing w:line="360" w:lineRule="auto"/>
        <w:jc w:val="both"/>
        <w:rPr>
          <w:sz w:val="24"/>
          <w:szCs w:val="24"/>
        </w:rPr>
      </w:pPr>
      <m:oMathPara>
        <m:oMathParaPr>
          <m:jc m:val="center"/>
        </m:oMathParaP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UPM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num>
            <m:den>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τ</m:t>
                  </m:r>
                </m:e>
              </m:d>
            </m:den>
          </m:f>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r>
                        <m:rPr>
                          <m:sty m:val="p"/>
                        </m:rPr>
                        <w:rPr>
                          <w:rFonts w:ascii="Cambria Math" w:hAnsi="Cambria Math"/>
                          <w:sz w:val="24"/>
                          <w:szCs w:val="24"/>
                        </w:rPr>
                        <m:t>-</m:t>
                      </m:r>
                      <m:r>
                        <w:rPr>
                          <w:rFonts w:ascii="Cambria Math" w:hAnsi="Cambria Math"/>
                          <w:sz w:val="24"/>
                          <w:szCs w:val="24"/>
                        </w:rPr>
                        <m:t>τ</m:t>
                      </m:r>
                    </m:e>
                  </m:d>
                </m:e>
              </m:d>
            </m:num>
            <m:den>
              <m:r>
                <m:rPr>
                  <m:scr m:val="double-struck"/>
                  <m:sty m:val="p"/>
                </m:rPr>
                <w:rPr>
                  <w:rFonts w:ascii="Cambria Math" w:hAnsi="Cambria Math"/>
                  <w:sz w:val="24"/>
                  <w:szCs w:val="24"/>
                </w:rPr>
                <m:t>E</m:t>
              </m:r>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e>
              </m:d>
            </m:den>
          </m:f>
          <m:r>
            <m:rPr>
              <m:sty m:val="p"/>
            </m:rPr>
            <w:rPr>
              <w:rFonts w:ascii="Cambria Math" w:hAnsi="Cambria Math"/>
              <w:sz w:val="24"/>
              <w:szCs w:val="24"/>
            </w:rPr>
            <m:t>.</m:t>
          </m:r>
        </m:oMath>
      </m:oMathPara>
    </w:p>
    <w:p w14:paraId="5A782DF0" w14:textId="77777777" w:rsidR="004D2E46" w:rsidRPr="00C8154F" w:rsidRDefault="004D2E46" w:rsidP="00F84BC6">
      <w:pPr>
        <w:spacing w:line="360" w:lineRule="auto"/>
        <w:jc w:val="both"/>
        <w:rPr>
          <w:sz w:val="24"/>
          <w:szCs w:val="24"/>
        </w:rPr>
      </w:pPr>
    </w:p>
    <w:p w14:paraId="7AC23D32" w14:textId="77777777" w:rsidR="00F84BC6" w:rsidRDefault="00F84BC6" w:rsidP="004D2E46">
      <w:pPr>
        <w:spacing w:line="360" w:lineRule="auto"/>
        <w:ind w:firstLine="851"/>
        <w:jc w:val="both"/>
        <w:rPr>
          <w:sz w:val="24"/>
          <w:szCs w:val="24"/>
        </w:rPr>
      </w:pPr>
      <w:r>
        <w:rPr>
          <w:sz w:val="24"/>
          <w:szCs w:val="24"/>
        </w:rPr>
        <w:t xml:space="preserve">A estratégia busca os pesos que maximizam </w:t>
      </w:r>
      <m:oMath>
        <m:r>
          <w:rPr>
            <w:rFonts w:ascii="Cambria Math" w:hAnsi="Cambria Math"/>
            <w:sz w:val="24"/>
            <w:szCs w:val="24"/>
          </w:rPr>
          <m:t>Ω</m:t>
        </m:r>
        <m:d>
          <m:dPr>
            <m:ctrlPr>
              <w:rPr>
                <w:rFonts w:ascii="Cambria Math" w:hAnsi="Cambria Math"/>
                <w:sz w:val="24"/>
                <w:szCs w:val="24"/>
              </w:rPr>
            </m:ctrlPr>
          </m:dPr>
          <m:e>
            <m:r>
              <w:rPr>
                <w:rFonts w:ascii="Cambria Math" w:hAnsi="Cambria Math"/>
                <w:sz w:val="24"/>
                <w:szCs w:val="24"/>
              </w:rPr>
              <m:t>τ</m:t>
            </m:r>
          </m:e>
        </m:d>
      </m:oMath>
      <w:r>
        <w:rPr>
          <w:sz w:val="24"/>
          <w:szCs w:val="24"/>
        </w:rPr>
        <w:t xml:space="preserve">, com </w:t>
      </w:r>
      <m:oMath>
        <m:r>
          <w:rPr>
            <w:rFonts w:ascii="Cambria Math" w:hAnsi="Cambria Math"/>
            <w:sz w:val="24"/>
            <w:szCs w:val="24"/>
          </w:rPr>
          <m:t>τ</m:t>
        </m:r>
      </m:oMath>
      <w:r>
        <w:rPr>
          <w:sz w:val="24"/>
          <w:szCs w:val="24"/>
        </w:rPr>
        <w:t xml:space="preserve"> fixado na taxa livre de risco (CDI).</w:t>
      </w:r>
    </w:p>
    <w:p w14:paraId="6D79ABB6" w14:textId="77777777" w:rsidR="004D2E46" w:rsidRPr="00C8154F" w:rsidRDefault="004D2E46" w:rsidP="004D2E46">
      <w:pPr>
        <w:spacing w:line="360" w:lineRule="auto"/>
        <w:ind w:firstLine="851"/>
        <w:jc w:val="both"/>
        <w:rPr>
          <w:sz w:val="24"/>
          <w:szCs w:val="24"/>
        </w:rPr>
      </w:pPr>
    </w:p>
    <w:p w14:paraId="08B2A63F" w14:textId="524906C1" w:rsidR="00F84BC6" w:rsidRPr="004D2E46" w:rsidRDefault="00F84BC6" w:rsidP="00D1643A">
      <w:pPr>
        <w:pStyle w:val="PargrafodaLista"/>
        <w:numPr>
          <w:ilvl w:val="0"/>
          <w:numId w:val="64"/>
        </w:numPr>
        <w:spacing w:line="360" w:lineRule="auto"/>
        <w:jc w:val="center"/>
        <w:rPr>
          <w:sz w:val="24"/>
          <w:szCs w:val="24"/>
        </w:rPr>
      </w:pPr>
      <w:bookmarkStart w:id="111" w:name="máximo-índice-de-sortino-maxsortino"/>
      <w:bookmarkEnd w:id="110"/>
      <w:r>
        <w:rPr>
          <w:sz w:val="24"/>
          <w:szCs w:val="24"/>
        </w:rPr>
        <w:t xml:space="preserve">Máximo Índice de Sortino — </w:t>
      </w:r>
      <w:r>
        <w:rPr>
          <w:rStyle w:val="VerbatimChar"/>
          <w:rFonts w:ascii="Times New Roman" w:hAnsi="Times New Roman"/>
          <w:i w:val="0"/>
          <w:iCs w:val="0"/>
          <w:color w:val="auto"/>
          <w:sz w:val="24"/>
          <w:szCs w:val="24"/>
        </w:rPr>
        <w:t>MaxSortino</w:t>
      </w:r>
    </w:p>
    <w:p w14:paraId="1F3EF7CA" w14:textId="77777777" w:rsidR="004D2E46" w:rsidRDefault="004D2E46" w:rsidP="00F84BC6">
      <w:pPr>
        <w:spacing w:line="360" w:lineRule="auto"/>
        <w:jc w:val="both"/>
        <w:rPr>
          <w:sz w:val="24"/>
          <w:szCs w:val="24"/>
        </w:rPr>
      </w:pPr>
    </w:p>
    <w:p w14:paraId="48A074C3" w14:textId="6D563512" w:rsidR="00F84BC6" w:rsidRDefault="00F84BC6" w:rsidP="004D2E46">
      <w:pPr>
        <w:spacing w:line="360" w:lineRule="auto"/>
        <w:ind w:firstLine="851"/>
        <w:jc w:val="both"/>
        <w:rPr>
          <w:sz w:val="24"/>
          <w:szCs w:val="24"/>
        </w:rPr>
      </w:pPr>
      <w:r>
        <w:rPr>
          <w:sz w:val="24"/>
          <w:szCs w:val="24"/>
        </w:rPr>
        <w:t xml:space="preserve">O Índice de Sortino (Sortino; Van der Meer, 1991) refina o Índice de Sharpe ao </w:t>
        <w:lastRenderedPageBreak/>
        <w:t>substituir o desvio-padrão total pelo desvio de queda (</w:t>
      </w:r>
      <w:r>
        <w:rPr>
          <w:i/>
          <w:iCs/>
          <w:sz w:val="24"/>
          <w:szCs w:val="24"/>
        </w:rPr>
        <w:t>downside deviation</w:t>
      </w:r>
      <w:r>
        <w:rPr>
          <w:sz w:val="24"/>
          <w:szCs w:val="24"/>
        </w:rPr>
        <w:t>), que é a raiz do LPM de segunda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sz w:val="24"/>
          <w:szCs w:val="24"/>
        </w:rPr>
        <w:t>):</w:t>
      </w:r>
    </w:p>
    <w:p w14:paraId="38837B87" w14:textId="77777777" w:rsidR="004D2E46" w:rsidRPr="00C8154F" w:rsidRDefault="004D2E46" w:rsidP="004D2E46">
      <w:pPr>
        <w:spacing w:line="360" w:lineRule="auto"/>
        <w:ind w:firstLine="851"/>
        <w:jc w:val="both"/>
        <w:rPr>
          <w:sz w:val="24"/>
          <w:szCs w:val="24"/>
        </w:rPr>
      </w:pPr>
    </w:p>
    <w:p w14:paraId="4EAC2751" w14:textId="77777777" w:rsidR="00F84BC6" w:rsidRPr="004D2E46"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den>
          </m:f>
          <m:r>
            <m:rPr>
              <m:sty m:val="p"/>
            </m:rPr>
            <w:rPr>
              <w:rFonts w:ascii="Cambria Math" w:hAnsi="Cambria Math"/>
              <w:sz w:val="24"/>
              <w:szCs w:val="24"/>
            </w:rPr>
            <m:t>,</m:t>
          </m:r>
          <m:r>
            <w:rPr>
              <w:rFonts w:ascii="Cambria Math" w:hAnsi="Cambria Math"/>
              <w:sz w:val="24"/>
              <w:szCs w:val="24"/>
            </w:rPr>
            <m:t>  </m:t>
          </m:r>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τ</m:t>
                  </m:r>
                </m:e>
              </m:d>
            </m:e>
          </m:rad>
          <m:r>
            <m:rPr>
              <m:sty m:val="p"/>
            </m:rP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p>
                    <m:sSupPr>
                      <m:ctrlPr>
                        <w:rPr>
                          <w:rFonts w:ascii="Cambria Math" w:hAnsi="Cambria Math"/>
                          <w:sz w:val="24"/>
                          <w:szCs w:val="24"/>
                        </w:rPr>
                      </m:ctrlPr>
                    </m:sSupPr>
                    <m:e>
                      <m:d>
                        <m:dPr>
                          <m:begChr m:val="["/>
                          <m:endChr m:val="]"/>
                          <m:ctrlPr>
                            <w:rPr>
                              <w:rFonts w:ascii="Cambria Math" w:hAnsi="Cambria Math"/>
                              <w:sz w:val="24"/>
                              <w:szCs w:val="24"/>
                            </w:rPr>
                          </m:ctrlPr>
                        </m:dPr>
                        <m:e>
                          <m:r>
                            <m:rPr>
                              <m:sty m:val="p"/>
                            </m:rPr>
                            <w:rPr>
                              <w:rFonts w:ascii="Cambria Math" w:hAnsi="Cambria Math"/>
                              <w:sz w:val="24"/>
                              <w:szCs w:val="24"/>
                            </w:rPr>
                            <m:t>max</m:t>
                          </m:r>
                          <m:d>
                            <m:dPr>
                              <m:ctrlPr>
                                <w:rPr>
                                  <w:rFonts w:ascii="Cambria Math" w:hAnsi="Cambria Math"/>
                                  <w:sz w:val="24"/>
                                  <w:szCs w:val="24"/>
                                </w:rPr>
                              </m:ctrlPr>
                            </m:dPr>
                            <m:e>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t</m:t>
                                  </m:r>
                                </m:sub>
                              </m:sSub>
                            </m:e>
                          </m:d>
                        </m:e>
                      </m:d>
                    </m:e>
                    <m:sup>
                      <m:r>
                        <w:rPr>
                          <w:rFonts w:ascii="Cambria Math" w:hAnsi="Cambria Math"/>
                          <w:sz w:val="24"/>
                          <w:szCs w:val="24"/>
                        </w:rPr>
                        <m:t>2</m:t>
                      </m:r>
                    </m:sup>
                  </m:sSup>
                </m:e>
              </m:nary>
            </m:e>
          </m:rad>
          <m:r>
            <m:rPr>
              <m:sty m:val="p"/>
            </m:rPr>
            <w:rPr>
              <w:rFonts w:ascii="Cambria Math" w:hAnsi="Cambria Math"/>
              <w:sz w:val="24"/>
              <w:szCs w:val="24"/>
            </w:rPr>
            <m:t>.</m:t>
          </m:r>
        </m:oMath>
      </m:oMathPara>
    </w:p>
    <w:p w14:paraId="136C7B57" w14:textId="77777777" w:rsidR="004D2E46" w:rsidRPr="00C8154F" w:rsidRDefault="004D2E46" w:rsidP="00F84BC6">
      <w:pPr>
        <w:spacing w:line="360" w:lineRule="auto"/>
        <w:jc w:val="both"/>
        <w:rPr>
          <w:sz w:val="24"/>
          <w:szCs w:val="24"/>
        </w:rPr>
      </w:pPr>
    </w:p>
    <w:p w14:paraId="3D6D3D65" w14:textId="77777777" w:rsidR="00F84BC6" w:rsidRDefault="00F84BC6" w:rsidP="004D2E46">
      <w:pPr>
        <w:spacing w:line="360" w:lineRule="auto"/>
        <w:ind w:firstLine="851"/>
        <w:jc w:val="both"/>
        <w:rPr>
          <w:sz w:val="24"/>
          <w:szCs w:val="24"/>
        </w:rPr>
      </w:pPr>
      <w:r>
        <w:rPr>
          <w:sz w:val="24"/>
          <w:szCs w:val="24"/>
        </w:rPr>
        <w:t xml:space="preserve">A estratégia maximiza </w:t>
      </w:r>
      <m:oMath>
        <m:sSub>
          <m:sSubPr>
            <m:ctrlPr>
              <w:rPr>
                <w:rFonts w:ascii="Cambria Math" w:hAnsi="Cambria Math"/>
                <w:sz w:val="24"/>
                <w:szCs w:val="24"/>
              </w:rPr>
            </m:ctrlPr>
          </m:sSubPr>
          <m:e>
            <m:r>
              <m:rPr>
                <m:sty m:val="p"/>
              </m:rPr>
              <w:rPr>
                <w:rFonts w:ascii="Cambria Math" w:hAnsi="Cambria Math"/>
                <w:sz w:val="24"/>
                <w:szCs w:val="24"/>
              </w:rPr>
              <m:t>Sortino</m:t>
            </m:r>
          </m:e>
          <m:sub>
            <m:r>
              <w:rPr>
                <w:rFonts w:ascii="Cambria Math" w:hAnsi="Cambria Math"/>
                <w:sz w:val="24"/>
                <w:szCs w:val="24"/>
              </w:rPr>
              <m:t>p</m:t>
            </m:r>
          </m:sub>
        </m:sSub>
      </m:oMath>
      <w:r>
        <w:rPr>
          <w:sz w:val="24"/>
          <w:szCs w:val="24"/>
        </w:rPr>
        <w:t xml:space="preserve"> sujeita às restrições estruturais comuns.</w:t>
      </w:r>
    </w:p>
    <w:p w14:paraId="24EF692E" w14:textId="77777777" w:rsidR="004D2E46" w:rsidRPr="00C8154F" w:rsidRDefault="004D2E46" w:rsidP="004D2E46">
      <w:pPr>
        <w:spacing w:line="360" w:lineRule="auto"/>
        <w:jc w:val="both"/>
        <w:rPr>
          <w:sz w:val="24"/>
          <w:szCs w:val="24"/>
        </w:rPr>
      </w:pPr>
    </w:p>
    <w:p w14:paraId="22D925E8" w14:textId="247CDC78" w:rsidR="00F84BC6" w:rsidRPr="004D2E46" w:rsidRDefault="00F84BC6" w:rsidP="00D1643A">
      <w:pPr>
        <w:pStyle w:val="PargrafodaLista"/>
        <w:numPr>
          <w:ilvl w:val="0"/>
          <w:numId w:val="64"/>
        </w:numPr>
        <w:spacing w:line="360" w:lineRule="auto"/>
        <w:jc w:val="center"/>
        <w:rPr>
          <w:sz w:val="24"/>
          <w:szCs w:val="24"/>
        </w:rPr>
      </w:pPr>
      <w:bookmarkStart w:id="112" w:name="máximo-índice-kappa-de-ordem-3-maxkappa3"/>
      <w:bookmarkEnd w:id="111"/>
      <w:r>
        <w:rPr>
          <w:sz w:val="24"/>
          <w:szCs w:val="24"/>
        </w:rPr>
        <w:t xml:space="preserve">Máximo Índice Kappa de Ordem 3 — </w:t>
      </w:r>
      <w:r>
        <w:rPr>
          <w:rStyle w:val="VerbatimChar"/>
          <w:rFonts w:ascii="Times New Roman" w:hAnsi="Times New Roman"/>
          <w:i w:val="0"/>
          <w:iCs w:val="0"/>
          <w:color w:val="auto"/>
          <w:sz w:val="24"/>
          <w:szCs w:val="24"/>
        </w:rPr>
        <w:t>MaxKappa3</w:t>
      </w:r>
    </w:p>
    <w:p w14:paraId="26E1632E" w14:textId="77777777" w:rsidR="004D2E46" w:rsidRDefault="004D2E46" w:rsidP="00F84BC6">
      <w:pPr>
        <w:spacing w:line="360" w:lineRule="auto"/>
        <w:jc w:val="both"/>
        <w:rPr>
          <w:sz w:val="24"/>
          <w:szCs w:val="24"/>
        </w:rPr>
      </w:pPr>
    </w:p>
    <w:p w14:paraId="7F90036E" w14:textId="18CA6069" w:rsidR="00F84BC6" w:rsidRDefault="00F84BC6" w:rsidP="004D2E46">
      <w:pPr>
        <w:spacing w:line="360" w:lineRule="auto"/>
        <w:ind w:firstLine="851"/>
        <w:jc w:val="both"/>
        <w:rPr>
          <w:sz w:val="24"/>
          <w:szCs w:val="24"/>
        </w:rPr>
      </w:pPr>
      <w:r>
        <w:rPr>
          <w:sz w:val="24"/>
          <w:szCs w:val="24"/>
        </w:rPr>
        <w:t xml:space="preserve">O Índice Kappa (Kaplan; Knowles, 2004) generaliza Sortino e Ômega para uma ordem </w:t>
      </w:r>
      <m:oMath>
        <m:r>
          <w:rPr>
            <w:rFonts w:ascii="Cambria Math" w:hAnsi="Cambria Math"/>
            <w:sz w:val="24"/>
            <w:szCs w:val="24"/>
          </w:rPr>
          <m:t>n</m:t>
        </m:r>
      </m:oMath>
      <w:r>
        <w:rPr>
          <w:sz w:val="24"/>
          <w:szCs w:val="24"/>
        </w:rPr>
        <w:t xml:space="preserve"> arbitrária do momento parcial inferior. A variante de ordem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oMath>
      <w:r>
        <w:rPr>
          <w:sz w:val="24"/>
          <w:szCs w:val="24"/>
        </w:rPr>
        <w:t xml:space="preserve"> incorpora a assimetria (</w:t>
      </w:r>
      <w:r>
        <w:rPr>
          <w:i/>
          <w:iCs/>
          <w:sz w:val="24"/>
          <w:szCs w:val="24"/>
        </w:rPr>
        <w:t>skewness</w:t>
      </w:r>
      <w:r>
        <w:rPr>
          <w:sz w:val="24"/>
          <w:szCs w:val="24"/>
        </w:rPr>
        <w:t>) da distribuição de perdas, penalizando mais intensamente as perdas extremas:</w:t>
      </w:r>
    </w:p>
    <w:p w14:paraId="5BB4246B" w14:textId="77777777" w:rsidR="004D2E46" w:rsidRPr="00C8154F" w:rsidRDefault="004D2E46" w:rsidP="00F84BC6">
      <w:pPr>
        <w:spacing w:line="360" w:lineRule="auto"/>
        <w:jc w:val="both"/>
        <w:rPr>
          <w:sz w:val="24"/>
          <w:szCs w:val="24"/>
        </w:rPr>
      </w:pPr>
    </w:p>
    <w:p w14:paraId="52E07E1C" w14:textId="77777777" w:rsidR="00F84BC6" w:rsidRPr="004D2E46"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κ</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r>
            <m:rPr>
              <m:sty m:val="p"/>
            </m:rPr>
            <w:rPr>
              <w:rFonts w:ascii="Cambria Math" w:hAnsi="Cambria Math"/>
              <w:sz w:val="24"/>
              <w:szCs w:val="24"/>
            </w:rPr>
            <m:t>=</m:t>
          </m:r>
          <m:f>
            <m:fPr>
              <m:ctrlPr>
                <w:rPr>
                  <w:rFonts w:ascii="Cambria Math" w:hAnsi="Cambria Math"/>
                  <w:sz w:val="24"/>
                  <w:szCs w:val="24"/>
                </w:rPr>
              </m:ctrlPr>
            </m:fPr>
            <m:num>
              <m:r>
                <m:rPr>
                  <m:scr m:val="double-struck"/>
                  <m:sty m:val="p"/>
                </m:rP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p</m:t>
                      </m:r>
                    </m:sub>
                  </m:sSub>
                </m:e>
              </m:d>
              <m:r>
                <m:rPr>
                  <m:sty m:val="p"/>
                </m:rPr>
                <w:rPr>
                  <w:rFonts w:ascii="Cambria Math" w:hAnsi="Cambria Math"/>
                  <w:sz w:val="24"/>
                  <w:szCs w:val="24"/>
                </w:rPr>
                <m:t>-</m:t>
              </m:r>
              <m:r>
                <w:rPr>
                  <w:rFonts w:ascii="Cambria Math" w:hAnsi="Cambria Math"/>
                  <w:sz w:val="24"/>
                  <w:szCs w:val="24"/>
                </w:rPr>
                <m:t>τ</m:t>
              </m:r>
            </m:num>
            <m:den>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LPM</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τ</m:t>
                          </m:r>
                        </m:e>
                      </m:d>
                    </m:e>
                  </m:d>
                </m:e>
                <m:sup>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n</m:t>
                  </m:r>
                </m:sup>
              </m:sSup>
            </m:den>
          </m:f>
          <m:r>
            <m:rPr>
              <m:sty m:val="p"/>
            </m:rPr>
            <w:rPr>
              <w:rFonts w:ascii="Cambria Math" w:hAnsi="Cambria Math"/>
              <w:sz w:val="24"/>
              <w:szCs w:val="24"/>
            </w:rPr>
            <m:t>,</m:t>
          </m:r>
          <m:r>
            <w:rPr>
              <w:rFonts w:ascii="Cambria Math" w:hAnsi="Cambria Math"/>
              <w:sz w:val="24"/>
              <w:szCs w:val="24"/>
            </w:rPr>
            <m:t>  </m:t>
          </m:r>
          <m:r>
            <m:rPr>
              <m:nor/>
            </m:rPr>
            <w:rPr>
              <w:sz w:val="24"/>
              <w:szCs w:val="24"/>
            </w:rPr>
            <m:t xml:space="preserve">com </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3</m:t>
          </m:r>
          <m:r>
            <m:rPr>
              <m:sty m:val="p"/>
            </m:rPr>
            <w:rPr>
              <w:rFonts w:ascii="Cambria Math" w:hAnsi="Cambria Math"/>
              <w:sz w:val="24"/>
              <w:szCs w:val="24"/>
            </w:rPr>
            <m:t>.</m:t>
          </m:r>
        </m:oMath>
      </m:oMathPara>
    </w:p>
    <w:p w14:paraId="08CA3D2C" w14:textId="77777777" w:rsidR="004D2E46" w:rsidRPr="00C8154F" w:rsidRDefault="004D2E46" w:rsidP="00F84BC6">
      <w:pPr>
        <w:spacing w:line="360" w:lineRule="auto"/>
        <w:jc w:val="both"/>
        <w:rPr>
          <w:sz w:val="24"/>
          <w:szCs w:val="24"/>
        </w:rPr>
      </w:pPr>
    </w:p>
    <w:p w14:paraId="0952C86C" w14:textId="7942D3DA" w:rsidR="00F84BC6" w:rsidRPr="004D2E46" w:rsidRDefault="00F84BC6" w:rsidP="00D1643A">
      <w:pPr>
        <w:pStyle w:val="PargrafodaLista"/>
        <w:numPr>
          <w:ilvl w:val="0"/>
          <w:numId w:val="64"/>
        </w:numPr>
        <w:spacing w:line="360" w:lineRule="auto"/>
        <w:jc w:val="center"/>
        <w:rPr>
          <w:sz w:val="24"/>
          <w:szCs w:val="24"/>
        </w:rPr>
      </w:pPr>
      <w:bookmarkStart w:id="113" w:name="mínimo-cvar-mincvar"/>
      <w:bookmarkEnd w:id="112"/>
      <w:r>
        <w:rPr>
          <w:sz w:val="24"/>
          <w:szCs w:val="24"/>
        </w:rPr>
        <w:t xml:space="preserve">Mínimo CVaR — </w:t>
      </w:r>
      <w:r>
        <w:rPr>
          <w:rStyle w:val="VerbatimChar"/>
          <w:rFonts w:ascii="Times New Roman" w:hAnsi="Times New Roman"/>
          <w:i w:val="0"/>
          <w:iCs w:val="0"/>
          <w:color w:val="auto"/>
          <w:sz w:val="24"/>
          <w:szCs w:val="24"/>
        </w:rPr>
        <w:t>MinCVaR</w:t>
      </w:r>
    </w:p>
    <w:p w14:paraId="37DB8141" w14:textId="77777777" w:rsidR="004D2E46" w:rsidRDefault="004D2E46" w:rsidP="00F84BC6">
      <w:pPr>
        <w:spacing w:line="360" w:lineRule="auto"/>
        <w:jc w:val="both"/>
        <w:rPr>
          <w:sz w:val="24"/>
          <w:szCs w:val="24"/>
        </w:rPr>
      </w:pPr>
    </w:p>
    <w:p w14:paraId="47DF9F51" w14:textId="13C641EB"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Value-at-Risk</w:t>
      </w:r>
      <w:r>
        <w:rPr>
          <w:sz w:val="24"/>
          <w:szCs w:val="24"/>
        </w:rPr>
        <w:t xml:space="preserve"> (CVaR), ou </w:t>
      </w:r>
      <w:r>
        <w:rPr>
          <w:i/>
          <w:iCs/>
          <w:sz w:val="24"/>
          <w:szCs w:val="24"/>
        </w:rPr>
        <w:t>Expected Shortfall</w:t>
      </w:r>
      <w:r>
        <w:rPr>
          <w:sz w:val="24"/>
          <w:szCs w:val="24"/>
        </w:rPr>
        <w:t xml:space="preserve">, é a perda esperada condicional a que a perda exceda o quantil do </w:t>
      </w:r>
      <w:r>
        <w:rPr>
          <w:i/>
          <w:iCs/>
          <w:sz w:val="24"/>
          <w:szCs w:val="24"/>
        </w:rPr>
        <w:t>Value-at-Risk</w:t>
      </w:r>
      <w:r>
        <w:rPr>
          <w:sz w:val="24"/>
          <w:szCs w:val="24"/>
        </w:rPr>
        <w:t xml:space="preserve"> ao nível de confiança </w:t>
      </w:r>
      <m:oMath>
        <m:r>
          <w:rPr>
            <w:rFonts w:ascii="Cambria Math" w:hAnsi="Cambria Math"/>
            <w:sz w:val="24"/>
            <w:szCs w:val="24"/>
          </w:rPr>
          <m:t>β</m:t>
        </m:r>
      </m:oMath>
      <w:r>
        <w:rPr>
          <w:sz w:val="24"/>
          <w:szCs w:val="24"/>
        </w:rPr>
        <w:t xml:space="preserve"> (adotado em </w:t>
      </w:r>
      <m:oMath>
        <m:r>
          <w:rPr>
            <w:rFonts w:ascii="Cambria Math" w:hAnsi="Cambria Math"/>
            <w:sz w:val="24"/>
            <w:szCs w:val="24"/>
          </w:rPr>
          <m:t>95</m:t>
        </m:r>
        <m:r>
          <m:rPr>
            <m:sty m:val="p"/>
          </m:rPr>
          <w:rPr>
            <w:rFonts w:ascii="Cambria Math" w:hAnsi="Cambria Math"/>
            <w:sz w:val="24"/>
            <w:szCs w:val="24"/>
          </w:rPr>
          <m:t>%</m:t>
        </m:r>
      </m:oMath>
      <w:r>
        <w:rPr>
          <w:sz w:val="24"/>
          <w:szCs w:val="24"/>
        </w:rPr>
        <w:t xml:space="preserve">). Diferentemente do VaR, o CVaR é uma medida de risco coerente (Artzner et al., 1999) e convexa, podendo ser minimizada por programação linear através da formulação de Rockafellar e Uryasev (2000). Introduzindo a variável auxiliar </w:t>
      </w:r>
      <m:oMath>
        <m:r>
          <w:rPr>
            <w:rFonts w:ascii="Cambria Math" w:hAnsi="Cambria Math"/>
            <w:sz w:val="24"/>
            <w:szCs w:val="24"/>
          </w:rPr>
          <m:t>ζ</m:t>
        </m:r>
      </m:oMath>
      <w:r>
        <w:rPr>
          <w:sz w:val="24"/>
          <w:szCs w:val="24"/>
        </w:rPr>
        <w:t xml:space="preserve"> (o VaR) e as variáveis de folga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é:</w:t>
      </w:r>
    </w:p>
    <w:p w14:paraId="64470E57" w14:textId="77777777" w:rsidR="00DB087C" w:rsidRPr="00C8154F" w:rsidRDefault="00DB087C" w:rsidP="00DB087C">
      <w:pPr>
        <w:spacing w:line="360" w:lineRule="auto"/>
        <w:ind w:firstLine="851"/>
        <w:jc w:val="both"/>
        <w:rPr>
          <w:sz w:val="24"/>
          <w:szCs w:val="24"/>
        </w:rPr>
      </w:pPr>
    </w:p>
    <w:p w14:paraId="68EFB639" w14:textId="77777777" w:rsidR="00F84BC6" w:rsidRPr="00C8154F"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u</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oMath>
      </m:oMathPara>
    </w:p>
    <w:p w14:paraId="4F2E93B4" w14:textId="77777777" w:rsidR="00F84BC6" w:rsidRPr="00C8154F" w:rsidRDefault="00F84BC6" w:rsidP="00F84BC6">
      <w:pPr>
        <w:spacing w:line="360" w:lineRule="auto"/>
        <w:jc w:val="both"/>
        <w:rPr>
          <w:sz w:val="24"/>
          <w:szCs w:val="24"/>
        </w:rPr>
      </w:pPr>
      <w:r>
        <w:rPr>
          <w:sz w:val="24"/>
          <w:szCs w:val="24"/>
        </w:rPr>
        <w:t>sujeito a:</w:t>
      </w:r>
    </w:p>
    <w:p w14:paraId="48E548EA" w14:textId="77777777" w:rsidR="00F84BC6" w:rsidRPr="00C8154F"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T</m:t>
          </m:r>
          <m:r>
            <m:rPr>
              <m:sty m:val="p"/>
            </m:rPr>
            <w:rPr>
              <w:rFonts w:ascii="Cambria Math" w:hAnsi="Cambria Math"/>
              <w:sz w:val="24"/>
              <w:szCs w:val="24"/>
            </w:rPr>
            <m:t>,</m:t>
          </m:r>
        </m:oMath>
      </m:oMathPara>
    </w:p>
    <w:p w14:paraId="1F2B21C3" w14:textId="77777777" w:rsidR="00F84BC6" w:rsidRPr="00C8154F" w:rsidRDefault="00F84BC6" w:rsidP="00F84BC6">
      <w:pPr>
        <w:spacing w:line="360" w:lineRule="auto"/>
        <w:jc w:val="both"/>
        <w:rPr>
          <w:sz w:val="24"/>
          <w:szCs w:val="24"/>
        </w:rPr>
      </w:pPr>
      <m:oMathPara>
        <m:oMathParaPr>
          <m:jc m:val="center"/>
        </m:oMathParaPr>
        <m:oMath>
          <m:sSup>
            <m:sSupPr>
              <m:ctrlPr>
                <w:rPr>
                  <w:rFonts w:ascii="Cambria Math" w:hAnsi="Cambria Math"/>
                  <w:sz w:val="24"/>
                  <w:szCs w:val="24"/>
                </w:rPr>
              </m:ctrlPr>
            </m:sSupPr>
            <m:e>
              <m:r>
                <m:rPr>
                  <m:sty m:val="b"/>
                </m:rPr>
                <w:rPr>
                  <w:rFonts w:ascii="Cambria Math" w:hAnsi="Cambria Math"/>
                  <w:sz w:val="24"/>
                  <w:szCs w:val="24"/>
                </w:rPr>
                <m:t>1</m:t>
              </m:r>
            </m:e>
            <m:sup>
              <m:r>
                <m:rPr>
                  <m:sty m:val="p"/>
                </m:rPr>
                <w:rPr>
                  <w:rFonts w:ascii="Cambria Math" w:hAnsi="Cambria Math"/>
                  <w:sz w:val="24"/>
                  <w:szCs w:val="24"/>
                </w:rPr>
                <m:t>⊤</m:t>
              </m:r>
            </m:sup>
          </m:sSup>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0</m:t>
          </m:r>
          <m:r>
            <m:rPr>
              <m:sty m:val="p"/>
            </m:rPr>
            <w:rPr>
              <w:rFonts w:ascii="Cambria Math" w:hAnsi="Cambria Math"/>
              <w:sz w:val="24"/>
              <w:szCs w:val="24"/>
            </w:rPr>
            <m:t>≤</m:t>
          </m:r>
          <m:r>
            <m:rPr>
              <m:sty m:val="b"/>
            </m:rPr>
            <w:rPr>
              <w:rFonts w:ascii="Cambria Math" w:hAnsi="Cambria Math"/>
              <w:sz w:val="24"/>
              <w:szCs w:val="24"/>
            </w:rPr>
            <m:t>w</m:t>
          </m:r>
          <m:r>
            <m:rPr>
              <m:sty m:val="p"/>
            </m:rPr>
            <w:rPr>
              <w:rFonts w:ascii="Cambria Math" w:hAnsi="Cambria Math"/>
              <w:sz w:val="24"/>
              <w:szCs w:val="24"/>
            </w:rPr>
            <m:t>≤</m:t>
          </m:r>
          <m:acc>
            <m:accPr>
              <m:chr m:val="‾"/>
              <m:ctrlPr>
                <w:rPr>
                  <w:rFonts w:ascii="Cambria Math" w:hAnsi="Cambria Math"/>
                  <w:sz w:val="24"/>
                  <w:szCs w:val="24"/>
                </w:rPr>
              </m:ctrlPr>
            </m:accPr>
            <m:e>
              <m:r>
                <w:rPr>
                  <w:rFonts w:ascii="Cambria Math" w:hAnsi="Cambria Math"/>
                  <w:sz w:val="24"/>
                  <w:szCs w:val="24"/>
                </w:rPr>
                <m:t>w</m:t>
              </m:r>
            </m:e>
          </m:acc>
          <m:r>
            <m:rPr>
              <m:sty m:val="b"/>
            </m:rPr>
            <w:rPr>
              <w:rFonts w:ascii="Cambria Math" w:hAnsi="Cambria Math"/>
              <w:sz w:val="24"/>
              <w:szCs w:val="24"/>
            </w:rPr>
            <m:t>1</m:t>
          </m:r>
          <m:r>
            <m:rPr>
              <m:sty m:val="p"/>
            </m:rPr>
            <w:rPr>
              <w:rFonts w:ascii="Cambria Math" w:hAnsi="Cambria Math"/>
              <w:sz w:val="24"/>
              <w:szCs w:val="24"/>
            </w:rPr>
            <m:t>,</m:t>
          </m:r>
        </m:oMath>
      </m:oMathPara>
    </w:p>
    <w:p w14:paraId="54BAE6C4" w14:textId="77777777" w:rsidR="00F84BC6" w:rsidRDefault="00F84BC6" w:rsidP="00F84BC6">
      <w:pPr>
        <w:spacing w:line="360" w:lineRule="auto"/>
        <w:jc w:val="both"/>
        <w:rPr>
          <w:sz w:val="24"/>
          <w:szCs w:val="24"/>
        </w:rPr>
      </w:pPr>
      <w:r>
        <w:rPr>
          <w:sz w:val="24"/>
          <w:szCs w:val="24"/>
        </w:rPr>
        <w:lastRenderedPageBreak/>
        <w:t xml:space="preserve">onde </w:t>
      </w:r>
      <m:oMath>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t</m:t>
            </m:r>
          </m:sub>
        </m:sSub>
      </m:oMath>
      <w:r>
        <w:rPr>
          <w:sz w:val="24"/>
          <w:szCs w:val="24"/>
        </w:rPr>
        <w:t xml:space="preserve"> é o vetor de retornos dos ativos no período </w:t>
      </w:r>
      <m:oMath>
        <m:r>
          <w:rPr>
            <w:rFonts w:ascii="Cambria Math" w:hAnsi="Cambria Math"/>
            <w:sz w:val="24"/>
            <w:szCs w:val="24"/>
          </w:rPr>
          <m:t>t</m:t>
        </m:r>
      </m:oMath>
      <w:r>
        <w:rPr>
          <w:sz w:val="24"/>
          <w:szCs w:val="24"/>
        </w:rPr>
        <w:t xml:space="preserve"> da janela de estimação. A restrição sobre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oMath>
      <w:r>
        <w:rPr>
          <w:sz w:val="24"/>
          <w:szCs w:val="24"/>
        </w:rPr>
        <w:t xml:space="preserve"> captura apenas as perdas que excedem o limiar </w:t>
      </w:r>
      <m:oMath>
        <m:r>
          <w:rPr>
            <w:rFonts w:ascii="Cambria Math" w:hAnsi="Cambria Math"/>
            <w:sz w:val="24"/>
            <w:szCs w:val="24"/>
          </w:rPr>
          <m:t>ζ</m:t>
        </m:r>
      </m:oMath>
      <w:r>
        <w:rPr>
          <w:sz w:val="24"/>
          <w:szCs w:val="24"/>
        </w:rPr>
        <w:t>, de modo que a função objetivo minimiza a severidade média da cauda esquerda da distribuição.</w:t>
      </w:r>
    </w:p>
    <w:p w14:paraId="72622D87" w14:textId="77777777" w:rsidR="00DB087C" w:rsidRPr="00C8154F" w:rsidRDefault="00DB087C" w:rsidP="00F84BC6">
      <w:pPr>
        <w:spacing w:line="360" w:lineRule="auto"/>
        <w:jc w:val="both"/>
        <w:rPr>
          <w:sz w:val="24"/>
          <w:szCs w:val="24"/>
        </w:rPr>
      </w:pPr>
    </w:p>
    <w:p w14:paraId="2133DE7F" w14:textId="768A97F9" w:rsidR="00F84BC6" w:rsidRPr="00DB087C" w:rsidRDefault="00F84BC6" w:rsidP="00D1643A">
      <w:pPr>
        <w:pStyle w:val="PargrafodaLista"/>
        <w:numPr>
          <w:ilvl w:val="0"/>
          <w:numId w:val="64"/>
        </w:numPr>
        <w:spacing w:line="360" w:lineRule="auto"/>
        <w:jc w:val="center"/>
        <w:rPr>
          <w:sz w:val="24"/>
          <w:szCs w:val="24"/>
        </w:rPr>
      </w:pPr>
      <w:bookmarkStart w:id="114" w:name="mínimo-cdar-mincdar"/>
      <w:bookmarkEnd w:id="113"/>
      <w:r>
        <w:rPr>
          <w:sz w:val="24"/>
          <w:szCs w:val="24"/>
        </w:rPr>
        <w:t xml:space="preserve">Mínimo CDaR — </w:t>
      </w:r>
      <w:r>
        <w:rPr>
          <w:rStyle w:val="VerbatimChar"/>
          <w:rFonts w:ascii="Times New Roman" w:hAnsi="Times New Roman"/>
          <w:i w:val="0"/>
          <w:iCs w:val="0"/>
          <w:color w:val="auto"/>
          <w:sz w:val="24"/>
          <w:szCs w:val="24"/>
        </w:rPr>
        <w:t>MinCDaR</w:t>
      </w:r>
    </w:p>
    <w:p w14:paraId="50AAB7C5" w14:textId="77777777" w:rsidR="00DB087C" w:rsidRDefault="00DB087C" w:rsidP="00F84BC6">
      <w:pPr>
        <w:spacing w:line="360" w:lineRule="auto"/>
        <w:jc w:val="both"/>
        <w:rPr>
          <w:sz w:val="24"/>
          <w:szCs w:val="24"/>
        </w:rPr>
      </w:pPr>
    </w:p>
    <w:p w14:paraId="5DEB7A30" w14:textId="5645D935" w:rsidR="00F84BC6" w:rsidRDefault="00F84BC6" w:rsidP="00DB087C">
      <w:pPr>
        <w:spacing w:line="360" w:lineRule="auto"/>
        <w:ind w:firstLine="851"/>
        <w:jc w:val="both"/>
        <w:rPr>
          <w:sz w:val="24"/>
          <w:szCs w:val="24"/>
        </w:rPr>
      </w:pPr>
      <w:r>
        <w:rPr>
          <w:sz w:val="24"/>
          <w:szCs w:val="24"/>
        </w:rPr>
        <w:t xml:space="preserve">O </w:t>
      </w:r>
      <w:r>
        <w:rPr>
          <w:i/>
          <w:iCs/>
          <w:sz w:val="24"/>
          <w:szCs w:val="24"/>
        </w:rPr>
        <w:t>Conditional Drawdown-at-Risk</w:t>
      </w:r>
      <w:r>
        <w:rPr>
          <w:sz w:val="24"/>
          <w:szCs w:val="24"/>
        </w:rPr>
        <w:t xml:space="preserve"> (CDaR) transpõe a lógica do CVaR do domínio dos retornos para o domínio dos rebaixamentos acumulados (</w:t>
      </w:r>
      <w:r>
        <w:rPr>
          <w:i/>
          <w:iCs/>
          <w:sz w:val="24"/>
          <w:szCs w:val="24"/>
        </w:rPr>
        <w:t>drawdowns</w:t>
      </w:r>
      <w:r>
        <w:rPr>
          <w:sz w:val="24"/>
          <w:szCs w:val="24"/>
        </w:rPr>
        <w:t xml:space="preserve">), minimizando a média dos </w:t>
      </w:r>
      <m:oMath>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oMath>
      <w:r>
        <w:rPr>
          <w:sz w:val="24"/>
          <w:szCs w:val="24"/>
        </w:rPr>
        <w:t xml:space="preserve"> piores rebaixamentos da curva de capital. Seja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oMath>
      <w:r>
        <w:rPr>
          <w:sz w:val="24"/>
          <w:szCs w:val="24"/>
        </w:rPr>
        <w:t xml:space="preserve"> o rebaixamento no instante </w:t>
      </w:r>
      <m:oMath>
        <m:r>
          <w:rPr>
            <w:rFonts w:ascii="Cambria Math" w:hAnsi="Cambria Math"/>
            <w:sz w:val="24"/>
            <w:szCs w:val="24"/>
          </w:rPr>
          <m:t>t</m:t>
        </m:r>
      </m:oMath>
      <w:r>
        <w:rPr>
          <w:sz w:val="24"/>
          <w:szCs w:val="24"/>
        </w:rPr>
        <w:t xml:space="preserve">, definido a partir do valor acumulado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nary>
          <m:naryPr>
            <m:chr m:val="∏"/>
            <m:limLoc m:val="undOvr"/>
            <m:supHide m:val="1"/>
            <m:ctrlPr>
              <w:rPr>
                <w:rFonts w:ascii="Cambria Math" w:hAnsi="Cambria Math"/>
                <w:sz w:val="24"/>
                <w:szCs w:val="24"/>
              </w:rPr>
            </m:ctrlPr>
          </m:naryPr>
          <m:sub>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sub>
          <m:sup>
            <m:r>
              <w:rPr>
                <w:rFonts w:ascii="Cambria Math" w:hAnsi="Cambria Math"/>
                <w:sz w:val="24"/>
                <w:szCs w:val="24"/>
              </w:rPr>
              <m:t>​</m:t>
            </m:r>
          </m:sup>
          <m:e>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w</m:t>
                    </m:r>
                  </m:e>
                  <m:sup>
                    <m:r>
                      <m:rPr>
                        <m:sty m:val="p"/>
                      </m:rPr>
                      <w:rPr>
                        <w:rFonts w:ascii="Cambria Math" w:hAnsi="Cambria Math"/>
                        <w:sz w:val="24"/>
                        <w:szCs w:val="24"/>
                      </w:rPr>
                      <m:t>⊤</m:t>
                    </m:r>
                  </m:sup>
                </m:sSup>
                <m:sSub>
                  <m:sSubPr>
                    <m:ctrlPr>
                      <w:rPr>
                        <w:rFonts w:ascii="Cambria Math" w:hAnsi="Cambria Math"/>
                        <w:sz w:val="24"/>
                        <w:szCs w:val="24"/>
                      </w:rPr>
                    </m:ctrlPr>
                  </m:sSubPr>
                  <m:e>
                    <m:r>
                      <m:rPr>
                        <m:sty m:val="b"/>
                      </m:rPr>
                      <w:rPr>
                        <w:rFonts w:ascii="Cambria Math" w:hAnsi="Cambria Math"/>
                        <w:sz w:val="24"/>
                        <w:szCs w:val="24"/>
                      </w:rPr>
                      <m:t>r</m:t>
                    </m:r>
                  </m:e>
                  <m:sub>
                    <m:r>
                      <w:rPr>
                        <w:rFonts w:ascii="Cambria Math" w:hAnsi="Cambria Math"/>
                        <w:sz w:val="24"/>
                        <w:szCs w:val="24"/>
                      </w:rPr>
                      <m:t>s</m:t>
                    </m:r>
                  </m:sub>
                </m:sSub>
              </m:e>
            </m:d>
          </m:e>
        </m:nary>
      </m:oMath>
      <w:r>
        <w:rPr>
          <w:sz w:val="24"/>
          <w:szCs w:val="24"/>
        </w:rPr>
        <w:t xml:space="preserve"> como:</w:t>
      </w:r>
    </w:p>
    <w:p w14:paraId="1482F923" w14:textId="77777777" w:rsidR="00DB087C" w:rsidRPr="00C8154F" w:rsidRDefault="00DB087C" w:rsidP="00F84BC6">
      <w:pPr>
        <w:spacing w:line="360" w:lineRule="auto"/>
        <w:jc w:val="both"/>
        <w:rPr>
          <w:sz w:val="24"/>
          <w:szCs w:val="24"/>
        </w:rPr>
      </w:pPr>
    </w:p>
    <w:p w14:paraId="2DBB6B4A" w14:textId="77777777" w:rsidR="00F84BC6" w:rsidRPr="00DB087C"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s</m:t>
              </m:r>
              <m:r>
                <m:rPr>
                  <m:sty m:val="p"/>
                </m:rPr>
                <w:rPr>
                  <w:rFonts w:ascii="Cambria Math" w:hAnsi="Cambria Math"/>
                  <w:sz w:val="24"/>
                  <w:szCs w:val="24"/>
                </w:rPr>
                <m:t>≤</m:t>
              </m:r>
              <m:r>
                <w:rPr>
                  <w:rFonts w:ascii="Cambria Math" w:hAnsi="Cambria Math"/>
                  <w:sz w:val="24"/>
                  <w:szCs w:val="24"/>
                </w:rPr>
                <m:t>t</m:t>
              </m:r>
            </m:lim>
          </m:limLow>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m:rPr>
              <m:sty m:val="p"/>
            </m:rPr>
            <w:rPr>
              <w:rFonts w:ascii="Cambria Math" w:hAnsi="Cambria Math"/>
              <w:sz w:val="24"/>
              <w:szCs w:val="24"/>
            </w:rPr>
            <m:t>.</m:t>
          </m:r>
        </m:oMath>
      </m:oMathPara>
    </w:p>
    <w:p w14:paraId="30857993" w14:textId="77777777" w:rsidR="00DB087C" w:rsidRPr="00C8154F" w:rsidRDefault="00DB087C" w:rsidP="00F84BC6">
      <w:pPr>
        <w:spacing w:line="360" w:lineRule="auto"/>
        <w:jc w:val="both"/>
        <w:rPr>
          <w:sz w:val="24"/>
          <w:szCs w:val="24"/>
        </w:rPr>
      </w:pPr>
    </w:p>
    <w:p w14:paraId="0A0FC649" w14:textId="77777777" w:rsidR="00F84BC6" w:rsidRDefault="00F84BC6" w:rsidP="00DB087C">
      <w:pPr>
        <w:spacing w:line="360" w:lineRule="auto"/>
        <w:ind w:firstLine="851"/>
        <w:jc w:val="both"/>
        <w:rPr>
          <w:sz w:val="24"/>
          <w:szCs w:val="24"/>
        </w:rPr>
      </w:pPr>
      <w:r>
        <w:rPr>
          <w:sz w:val="24"/>
          <w:szCs w:val="24"/>
        </w:rPr>
        <w:t xml:space="preserve">Analogamente ao CVaR, com variável auxiliar </w:t>
      </w:r>
      <m:oMath>
        <m:r>
          <w:rPr>
            <w:rFonts w:ascii="Cambria Math" w:hAnsi="Cambria Math"/>
            <w:sz w:val="24"/>
            <w:szCs w:val="24"/>
          </w:rPr>
          <m:t>ζ</m:t>
        </m:r>
      </m:oMath>
      <w:r>
        <w:rPr>
          <w:sz w:val="24"/>
          <w:szCs w:val="24"/>
        </w:rPr>
        <w:t xml:space="preserve"> e folgas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oMath>
      <w:r>
        <w:rPr>
          <w:sz w:val="24"/>
          <w:szCs w:val="24"/>
        </w:rPr>
        <w:t>, o problema linear é:</w:t>
      </w:r>
    </w:p>
    <w:p w14:paraId="0C43717A" w14:textId="77777777" w:rsidR="00DB087C" w:rsidRPr="00C8154F" w:rsidRDefault="00DB087C" w:rsidP="00F84BC6">
      <w:pPr>
        <w:spacing w:line="360" w:lineRule="auto"/>
        <w:jc w:val="both"/>
        <w:rPr>
          <w:sz w:val="24"/>
          <w:szCs w:val="24"/>
        </w:rPr>
      </w:pPr>
    </w:p>
    <w:p w14:paraId="1A368E2D" w14:textId="77777777" w:rsidR="00F84BC6" w:rsidRPr="00DB087C" w:rsidRDefault="00F84BC6" w:rsidP="00F84BC6">
      <w:pPr>
        <w:spacing w:line="360" w:lineRule="auto"/>
        <w:jc w:val="both"/>
        <w:rPr>
          <w:sz w:val="24"/>
          <w:szCs w:val="24"/>
        </w:rPr>
      </w:pPr>
      <m:oMathPara>
        <m:oMathParaPr>
          <m:jc m:val="center"/>
        </m:oMathParaPr>
        <m:oMath>
          <m:limLow>
            <m:limLowPr>
              <m:ctrlPr>
                <w:rPr>
                  <w:rFonts w:ascii="Cambria Math" w:hAnsi="Cambria Math"/>
                  <w:sz w:val="24"/>
                  <w:szCs w:val="24"/>
                </w:rPr>
              </m:ctrlPr>
            </m:limLowPr>
            <m:e>
              <m:r>
                <m:rPr>
                  <m:sty m:val="p"/>
                </m:rPr>
                <w:rPr>
                  <w:rFonts w:ascii="Cambria Math" w:hAnsi="Cambria Math"/>
                  <w:sz w:val="24"/>
                  <w:szCs w:val="24"/>
                </w:rPr>
                <m:t>min</m:t>
              </m:r>
            </m:e>
            <m:lim>
              <m:r>
                <m:rPr>
                  <m:sty m:val="b"/>
                </m:rPr>
                <w:rPr>
                  <w:rFonts w:ascii="Cambria Math" w:hAnsi="Cambria Math"/>
                  <w:sz w:val="24"/>
                  <w:szCs w:val="24"/>
                </w:rPr>
                <m:t>w</m:t>
              </m:r>
              <m:r>
                <m:rPr>
                  <m:sty m:val="p"/>
                </m:rPr>
                <w:rPr>
                  <w:rFonts w:ascii="Cambria Math" w:hAnsi="Cambria Math"/>
                  <w:sz w:val="24"/>
                  <w:szCs w:val="24"/>
                </w:rPr>
                <m:t>,</m:t>
              </m:r>
              <m:r>
                <w:rPr>
                  <w:rFonts w:ascii="Cambria Math" w:hAnsi="Cambria Math"/>
                  <w:sz w:val="24"/>
                  <w:szCs w:val="24"/>
                </w:rPr>
                <m:t> ζ</m:t>
              </m:r>
              <m:r>
                <m:rPr>
                  <m:sty m:val="p"/>
                </m:rPr>
                <w:rPr>
                  <w:rFonts w:ascii="Cambria Math" w:hAnsi="Cambria Math"/>
                  <w:sz w:val="24"/>
                  <w:szCs w:val="24"/>
                </w:rPr>
                <m:t>,</m:t>
              </m:r>
              <m:r>
                <w:rPr>
                  <w:rFonts w:ascii="Cambria Math" w:hAnsi="Cambria Math"/>
                  <w:sz w:val="24"/>
                  <w:szCs w:val="24"/>
                </w:rPr>
                <m:t> </m:t>
              </m:r>
              <m:r>
                <m:rPr>
                  <m:sty m:val="b"/>
                </m:rPr>
                <w:rPr>
                  <w:rFonts w:ascii="Cambria Math" w:hAnsi="Cambria Math"/>
                  <w:sz w:val="24"/>
                  <w:szCs w:val="24"/>
                </w:rPr>
                <m:t>z</m:t>
              </m:r>
            </m:lim>
          </m:limLow>
          <m:r>
            <w:rPr>
              <w:rFonts w:ascii="Cambria Math" w:hAnsi="Cambria Math"/>
              <w:sz w:val="24"/>
              <w:szCs w:val="24"/>
            </w:rPr>
            <m:t>  ζ</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β</m:t>
                  </m:r>
                </m:e>
              </m:d>
              <m:r>
                <w:rPr>
                  <w:rFonts w:ascii="Cambria Math" w:hAnsi="Cambria Math"/>
                  <w:sz w:val="24"/>
                  <w:szCs w:val="24"/>
                </w:rPr>
                <m:t> 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 Φ</m:t>
          </m:r>
          <m:d>
            <m:dPr>
              <m:ctrlPr>
                <w:rPr>
                  <w:rFonts w:ascii="Cambria Math" w:hAnsi="Cambria Math"/>
                  <w:sz w:val="24"/>
                  <w:szCs w:val="24"/>
                </w:rPr>
              </m:ctrlPr>
            </m:dPr>
            <m:e>
              <m:r>
                <m:rPr>
                  <m:sty m:val="b"/>
                </m:rPr>
                <w:rPr>
                  <w:rFonts w:ascii="Cambria Math" w:hAnsi="Cambria Math"/>
                  <w:sz w:val="24"/>
                  <w:szCs w:val="24"/>
                </w:rPr>
                <m:t>w</m:t>
              </m:r>
            </m:e>
          </m:d>
          <m:r>
            <w:rPr>
              <w:rFonts w:ascii="Cambria Math" w:hAnsi="Cambria Math"/>
              <w:sz w:val="24"/>
              <w:szCs w:val="24"/>
            </w:rPr>
            <m:t> </m:t>
          </m:r>
          <m:r>
            <m:rPr>
              <m:nor/>
            </m:rPr>
            <w:rPr>
              <w:sz w:val="24"/>
              <w:szCs w:val="24"/>
            </w:rPr>
            <m:t>s.a.</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ζ</m:t>
          </m:r>
          <m:r>
            <m:rPr>
              <m:sty m:val="p"/>
            </m:rPr>
            <w:rPr>
              <w:rFonts w:ascii="Cambria Math" w:hAnsi="Cambria Math"/>
              <w:sz w:val="24"/>
              <w:szCs w:val="24"/>
            </w:rPr>
            <m:t>,</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m:oMathPara>
    </w:p>
    <w:p w14:paraId="4AEC7650" w14:textId="77777777" w:rsidR="00DB087C" w:rsidRPr="00C8154F" w:rsidRDefault="00DB087C" w:rsidP="00F84BC6">
      <w:pPr>
        <w:spacing w:line="360" w:lineRule="auto"/>
        <w:jc w:val="both"/>
        <w:rPr>
          <w:sz w:val="24"/>
          <w:szCs w:val="24"/>
        </w:rPr>
      </w:pPr>
    </w:p>
    <w:p w14:paraId="39F91BE8" w14:textId="77777777" w:rsidR="00F84BC6" w:rsidRDefault="00F84BC6" w:rsidP="00F84BC6">
      <w:pPr>
        <w:spacing w:line="360" w:lineRule="auto"/>
        <w:jc w:val="both"/>
        <w:rPr>
          <w:sz w:val="24"/>
          <w:szCs w:val="24"/>
        </w:rPr>
      </w:pPr>
      <w:r>
        <w:rPr>
          <w:sz w:val="24"/>
          <w:szCs w:val="24"/>
        </w:rPr>
        <w:t>mantidas as restrições estruturais comuns. O CDaR é particularmente relevante para o investidor avesso a perdas prolongadas, por penalizar diretamente a magnitude e a persistência dos rebaixamentos.</w:t>
      </w:r>
    </w:p>
    <w:p w14:paraId="74DC244D" w14:textId="77777777" w:rsidR="00DB087C" w:rsidRDefault="00DB087C" w:rsidP="00F84BC6">
      <w:pPr>
        <w:spacing w:line="360" w:lineRule="auto"/>
        <w:jc w:val="both"/>
        <w:rPr>
          <w:sz w:val="24"/>
          <w:szCs w:val="24"/>
        </w:rPr>
      </w:pPr>
    </w:p>
    <w:p w14:paraId="30FEB790" w14:textId="77777777" w:rsidR="000814E1" w:rsidRPr="000815A7" w:rsidRDefault="000814E1" w:rsidP="000814E1">
      <w:pPr>
        <w:rPr>
          <w:bCs/>
          <w:sz w:val="24"/>
          <w:szCs w:val="24"/>
        </w:rPr>
      </w:pPr>
    </w:p>
    <w:p w14:paraId="36D4CC9B" w14:textId="7CF1739F" w:rsidR="000814E1" w:rsidRPr="00F4543F" w:rsidRDefault="00F4543F" w:rsidP="00F4543F">
      <w:pPr>
        <w:pStyle w:val="Ttulo3"/>
        <w:numPr>
          <w:ilvl w:val="2"/>
          <w:numId w:val="1"/>
        </w:numPr>
        <w:rPr>
          <w:b w:val="0"/>
          <w:bCs w:val="0"/>
          <w:sz w:val="22"/>
        </w:rPr>
      </w:pPr>
      <w:r>
        <w:rPr>
          <w:b w:val="0"/>
          <w:bCs w:val="0"/>
        </w:rPr>
        <w:t>Família III — Modelo de Black-Litterman (BL)</w:t>
      </w:r>
    </w:p>
    <w:p w14:paraId="1CBA201E" w14:textId="77777777" w:rsidR="000814E1" w:rsidRDefault="000814E1" w:rsidP="000814E1">
      <w:pPr>
        <w:pStyle w:val="FirstParagraph"/>
        <w:spacing w:before="0" w:after="0" w:line="360" w:lineRule="auto"/>
        <w:jc w:val="both"/>
        <w:rPr>
          <w:lang w:val="pt-BR"/>
        </w:rPr>
      </w:pPr>
    </w:p>
    <w:p w14:paraId="1C46533E" w14:textId="77777777" w:rsidR="00F84BC6" w:rsidRDefault="00F84BC6" w:rsidP="000814E1">
      <w:pPr>
        <w:spacing w:line="360" w:lineRule="auto"/>
        <w:ind w:firstLine="851"/>
        <w:jc w:val="both"/>
        <w:rPr>
          <w:sz w:val="24"/>
          <w:szCs w:val="24"/>
        </w:rPr>
      </w:pPr>
      <w:bookmarkStart w:id="115" w:name="família-iii-modelo-de-black-litterman-bl"/>
      <w:bookmarkEnd w:id="109"/>
      <w:bookmarkEnd w:id="114"/>
      <w:r>
        <w:rPr>
          <w:sz w:val="24"/>
          <w:szCs w:val="24"/>
        </w:rPr>
        <w:t xml:space="preserve">Os quatro modelos desta família implementam o arcabouço Bayesiano de Black e Litterman (1992), que combina um </w:t>
      </w:r>
      <w:r>
        <w:rPr>
          <w:i/>
          <w:iCs/>
          <w:sz w:val="24"/>
          <w:szCs w:val="24"/>
        </w:rPr>
        <w:t>prior</w:t>
      </w:r>
      <w:r>
        <w:rPr>
          <w:sz w:val="24"/>
          <w:szCs w:val="24"/>
        </w:rPr>
        <w:t xml:space="preserve"> de equilíbrio de mercado com visões quantitativas do investidor, gerando um vetor de retornos esperados </w:t>
      </w:r>
      <w:r>
        <w:rPr>
          <w:i/>
          <w:iCs/>
          <w:sz w:val="24"/>
          <w:szCs w:val="24"/>
        </w:rPr>
        <w:t>posteriores</w:t>
      </w:r>
      <w:r>
        <w:rPr>
          <w:sz w:val="24"/>
          <w:szCs w:val="24"/>
        </w:rPr>
        <w:t xml:space="preserve"> mais estável que a média histórica.</w:t>
      </w:r>
    </w:p>
    <w:p w14:paraId="2A486121" w14:textId="77777777" w:rsidR="00C50BD5" w:rsidRPr="00C8154F" w:rsidRDefault="00C50BD5" w:rsidP="000814E1">
      <w:pPr>
        <w:spacing w:line="360" w:lineRule="auto"/>
        <w:ind w:firstLine="851"/>
        <w:jc w:val="both"/>
        <w:rPr>
          <w:sz w:val="24"/>
          <w:szCs w:val="24"/>
        </w:rPr>
      </w:pPr>
    </w:p>
    <w:p w14:paraId="50F43110" w14:textId="77777777" w:rsidR="00F84BC6" w:rsidRDefault="00F84BC6" w:rsidP="00C50BD5">
      <w:pPr>
        <w:spacing w:line="360" w:lineRule="auto"/>
        <w:jc w:val="center"/>
        <w:rPr>
          <w:sz w:val="24"/>
          <w:szCs w:val="24"/>
        </w:rPr>
      </w:pPr>
      <w:bookmarkStart w:id="116" w:name="X43c43e77cac6720b23deab038bf90bdd92729af"/>
      <w:r>
        <w:rPr>
          <w:sz w:val="24"/>
          <w:szCs w:val="24"/>
        </w:rPr>
        <w:t>Vetor de retornos implícitos de equilíbrio (</w:t>
      </w:r>
      <m:oMath>
        <m:r>
          <m:rPr>
            <m:sty m:val="b"/>
          </m:rPr>
          <w:rPr>
            <w:rFonts w:ascii="Cambria Math" w:hAnsi="Cambria Math"/>
            <w:sz w:val="24"/>
            <w:szCs w:val="24"/>
          </w:rPr>
          <m:t>Π</m:t>
        </m:r>
      </m:oMath>
      <w:r>
        <w:rPr>
          <w:sz w:val="24"/>
          <w:szCs w:val="24"/>
        </w:rPr>
        <w:t>)</w:t>
      </w:r>
    </w:p>
    <w:p w14:paraId="029C0F9B" w14:textId="77777777" w:rsidR="00C50BD5" w:rsidRPr="00C8154F" w:rsidRDefault="00C50BD5" w:rsidP="00F84BC6">
      <w:pPr>
        <w:spacing w:line="360" w:lineRule="auto"/>
        <w:jc w:val="both"/>
        <w:rPr>
          <w:sz w:val="24"/>
          <w:szCs w:val="24"/>
        </w:rPr>
      </w:pPr>
    </w:p>
    <w:p w14:paraId="0BCDF2BE" w14:textId="77777777" w:rsidR="009F539C" w:rsidRPr="009F539C" w:rsidRDefault="009F539C" w:rsidP="009F539C">
      <w:pPr>
        <w:spacing w:line="360" w:lineRule="auto"/>
        <w:ind w:firstLine="851"/>
        <w:jc w:val="both"/>
        <w:rPr>
          <w:sz w:val="24"/>
          <w:szCs w:val="24"/>
          <w:lang w:val="pt-BR"/>
        </w:rPr>
      </w:pPr>
      <w:r>
        <w:rPr>
          <w:sz w:val="24"/>
          <w:szCs w:val="24"/>
          <w:lang w:val="pt-BR"/>
        </w:rPr>
        <w:lastRenderedPageBreak/>
        <w:t xml:space="preserve">O </w:t>
      </w:r>
      <w:r>
        <w:rPr>
          <w:i/>
          <w:iCs/>
          <w:sz w:val="24"/>
          <w:szCs w:val="24"/>
          <w:lang w:val="pt-BR"/>
        </w:rPr>
        <w:t>prior</w:t>
      </w:r>
      <w:r>
        <w:rPr>
          <w:sz w:val="24"/>
          <w:szCs w:val="24"/>
          <w:lang w:val="pt-BR"/>
        </w:rPr>
        <w:t xml:space="preserve"> é obtido por otimização reversa do CAPM. Para garantir a viabilidade empírica e eliminar qualquer viés de antecipação (</w:t>
      </w:r>
      <w:r>
        <w:rPr>
          <w:i/>
          <w:iCs/>
          <w:sz w:val="24"/>
          <w:szCs w:val="24"/>
          <w:lang w:val="pt-BR"/>
        </w:rPr>
        <w:t>look-ahead bias</w:t>
      </w:r>
      <w:r>
        <w:rPr>
          <w:sz w:val="24"/>
          <w:szCs w:val="24"/>
          <w:lang w:val="pt-BR"/>
        </w:rPr>
        <w:t>) no vetor de pesos, adota-se um portfólio de referência estritamente equiponderado. O vetor de retornos que tornaria ótima a carteira neutra é extraído por:</w:t>
      </w:r>
    </w:p>
    <w:p w14:paraId="1921B01A" w14:textId="77777777" w:rsidR="00C50BD5" w:rsidRPr="00C8154F" w:rsidRDefault="00C50BD5" w:rsidP="00F84BC6">
      <w:pPr>
        <w:spacing w:line="360" w:lineRule="auto"/>
        <w:jc w:val="both"/>
        <w:rPr>
          <w:sz w:val="24"/>
          <w:szCs w:val="24"/>
        </w:rPr>
      </w:pPr>
    </w:p>
    <w:p w14:paraId="1A1F3246" w14:textId="3FD94D2E" w:rsidR="00F84BC6" w:rsidRPr="00C8154F"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δ </m:t>
          </m:r>
          <m:r>
            <m:rPr>
              <m:sty m:val="b"/>
            </m:rPr>
            <w:rPr>
              <w:rFonts w:ascii="Cambria Math" w:hAnsi="Cambria Math"/>
              <w:sz w:val="24"/>
              <w:szCs w:val="24"/>
            </w:rPr>
            <m:t>Σ</m:t>
          </m:r>
          <m:r>
            <w:rPr>
              <w:rFonts w:ascii="Cambria Math" w:hAnsi="Cambria Math"/>
              <w:sz w:val="24"/>
              <w:szCs w:val="24"/>
            </w:rPr>
            <m:t> </m:t>
          </m:r>
          <m:sSub>
            <m:sSubPr>
              <m:ctrlPr>
                <w:rPr>
                  <w:rFonts w:ascii="Cambria Math" w:hAnsi="Cambria Math"/>
                  <w:sz w:val="24"/>
                  <w:szCs w:val="24"/>
                </w:rPr>
              </m:ctrlPr>
            </m:sSubPr>
            <m:e>
              <m:r>
                <m:rPr>
                  <m:sty m:val="b"/>
                </m:rPr>
                <w:rPr>
                  <w:rFonts w:ascii="Cambria Math" w:hAnsi="Cambria Math"/>
                  <w:sz w:val="24"/>
                  <w:szCs w:val="24"/>
                </w:rPr>
                <m:t>w</m:t>
              </m:r>
            </m:e>
            <m:sub>
              <m:r>
                <w:rPr>
                  <w:rFonts w:ascii="Cambria Math" w:hAnsi="Cambria Math"/>
                  <w:sz w:val="24"/>
                  <w:szCs w:val="24"/>
                </w:rPr>
                <m:t>eq</m:t>
              </m:r>
            </m:sub>
          </m:sSub>
          <m:r>
            <m:rPr>
              <m:sty m:val="p"/>
            </m:rPr>
            <w:rPr>
              <w:rFonts w:ascii="Cambria Math" w:hAnsi="Cambria Math"/>
              <w:sz w:val="24"/>
              <w:szCs w:val="24"/>
            </w:rPr>
            <m:t>,</m:t>
          </m:r>
        </m:oMath>
      </m:oMathPara>
    </w:p>
    <w:p w14:paraId="54F34BD3" w14:textId="77777777" w:rsidR="00C50BD5" w:rsidRDefault="00C50BD5" w:rsidP="00F84BC6">
      <w:pPr>
        <w:spacing w:line="360" w:lineRule="auto"/>
        <w:jc w:val="both"/>
        <w:rPr>
          <w:sz w:val="24"/>
          <w:szCs w:val="24"/>
        </w:rPr>
      </w:pPr>
    </w:p>
    <w:p w14:paraId="39D8653F" w14:textId="5FA8B24E" w:rsidR="00F84BC6" w:rsidRDefault="00F84BC6" w:rsidP="00F84BC6">
      <w:pPr>
        <w:spacing w:line="360" w:lineRule="auto"/>
        <w:jc w:val="both"/>
        <w:rPr>
          <w:sz w:val="24"/>
          <w:szCs w:val="24"/>
        </w:rPr>
      </w:pPr>
      <w:r>
        <w:rPr>
          <w:sz w:val="24"/>
          <w:szCs w:val="24"/>
        </w:rPr>
        <w:t xml:space="preserve">onde </w:t>
      </w:r>
      <m:oMath>
        <m:sSub>
          <m:sSubPr>
            <m:ctrlPr>
              <w:rPr>
                <w:rFonts w:ascii="Cambria Math" w:hAnsi="Cambria Math"/>
                <w:sz w:val="24"/>
                <w:szCs w:val="24"/>
              </w:rPr>
            </m:ctrlPr>
          </m:sSubPr>
          <m:e>
            <m:r>
              <m:rPr>
                <m:sty m:val="b"/>
              </m:rPr>
              <w:rPr>
                <w:rFonts w:ascii="Cambria Math" w:hAnsi="Cambria Math"/>
                <w:sz w:val="24"/>
                <w:szCs w:val="24"/>
              </w:rPr>
              <m:t>w</m:t>
            </m:r>
          </m:e>
          <m:sub>
            <m:r>
              <m:rPr>
                <m:nor/>
              </m:rPr>
              <w:rPr>
                <w:rFonts w:ascii="Cambria Math"/>
                <w:sz w:val="24"/>
                <w:szCs w:val="24"/>
              </w:rPr>
              <m:t>eq</m:t>
            </m:r>
          </m:sub>
        </m:sSub>
      </m:oMath>
      <w:r>
        <w:rPr>
          <w:sz w:val="24"/>
          <w:szCs w:val="24"/>
        </w:rPr>
        <w:t xml:space="preserve"> é o vetor de pesos onde cada ativo recebe a alocação de </w:t>
      </w:r>
      <w:r>
        <w:rPr>
          <w:rFonts w:ascii="Cambria Math" w:hAnsi="Cambria Math"/>
          <w:i/>
          <w:sz w:val="24"/>
          <w:szCs w:val="24"/>
          <w:lang w:val="pt-BR"/>
        </w:rPr>
        <w:t xml:space="preserve">1/N  </w:t>
      </w:r>
      <w:r>
        <w:rPr>
          <w:sz w:val="24"/>
          <w:szCs w:val="24"/>
        </w:rPr>
        <w:t xml:space="preserve">, sendo </w:t>
      </w:r>
      <w:r>
        <w:rPr>
          <w:rFonts w:ascii="Cambria Math" w:hAnsi="Cambria Math"/>
          <w:i/>
          <w:sz w:val="24"/>
          <w:szCs w:val="24"/>
          <w:lang w:val="pt-BR"/>
        </w:rPr>
        <w:t>N=118</w:t>
      </w:r>
      <w:r>
        <w:rPr>
          <w:sz w:val="24"/>
          <w:szCs w:val="24"/>
        </w:rPr>
        <w:t xml:space="preserve"> , e  </w:t>
      </w:r>
      <m:oMath>
        <m:r>
          <w:rPr>
            <w:rFonts w:ascii="Cambria Math" w:hAnsi="Cambria Math"/>
            <w:sz w:val="24"/>
            <w:szCs w:val="24"/>
          </w:rPr>
          <m:t>δ</m:t>
        </m:r>
      </m:oMath>
      <w:r>
        <w:rPr>
          <w:sz w:val="24"/>
          <w:szCs w:val="24"/>
        </w:rPr>
        <w:t xml:space="preserve"> é o coeficiente de aversão ao risco agregado. Conforme documentado nas limitações (Seção 3.5.5), o </w:t>
      </w:r>
      <m:oMath>
        <m:r>
          <w:rPr>
            <w:rFonts w:ascii="Cambria Math" w:hAnsi="Cambria Math"/>
            <w:sz w:val="24"/>
            <w:szCs w:val="24"/>
          </w:rPr>
          <m:t>δ</m:t>
        </m:r>
      </m:oMath>
      <w:r>
        <w:rPr>
          <w:sz w:val="24"/>
          <w:szCs w:val="24"/>
        </w:rPr>
        <w:t xml:space="preserve"> estimado por otimização reversa sobre a amostra resultou em valor negativo, economicamente inválido; adotou-se, portanto, o valor convencional </w:t>
      </w:r>
      <m:oMath>
        <m:r>
          <w:rPr>
            <w:rFonts w:ascii="Cambria Math" w:hAnsi="Cambria Math"/>
            <w:sz w:val="24"/>
            <w:szCs w:val="24"/>
          </w:rPr>
          <m:t>δ</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5</m:t>
        </m:r>
      </m:oMath>
      <w:r>
        <w:rPr>
          <w:sz w:val="24"/>
          <w:szCs w:val="24"/>
        </w:rPr>
        <w:t>, calibrado por He e Litterman (1999).</w:t>
      </w:r>
    </w:p>
    <w:p w14:paraId="12FBAC24" w14:textId="77777777" w:rsidR="00C50BD5" w:rsidRPr="00A84A27" w:rsidRDefault="00C50BD5" w:rsidP="00F84BC6">
      <w:pPr>
        <w:spacing w:line="360" w:lineRule="auto"/>
        <w:jc w:val="both"/>
        <w:rPr>
          <w:sz w:val="24"/>
          <w:szCs w:val="24"/>
        </w:rPr>
      </w:pPr>
    </w:p>
    <w:p w14:paraId="3DB0F61B" w14:textId="77777777" w:rsidR="00F84BC6" w:rsidRDefault="00F84BC6" w:rsidP="00C50BD5">
      <w:pPr>
        <w:spacing w:line="360" w:lineRule="auto"/>
        <w:jc w:val="center"/>
        <w:rPr>
          <w:sz w:val="24"/>
          <w:szCs w:val="24"/>
        </w:rPr>
      </w:pPr>
      <w:bookmarkStart w:id="117" w:name="X8f3575e7489c250cc2c5572e0923ce76db213cb"/>
      <w:bookmarkEnd w:id="116"/>
      <w:r>
        <w:rPr>
          <w:sz w:val="24"/>
          <w:szCs w:val="24"/>
        </w:rPr>
        <w:t>Visões quantitativas por momentum (</w:t>
      </w:r>
      <m:oMath>
        <m:r>
          <m:rPr>
            <m:sty m:val="b"/>
          </m:rPr>
          <w:rPr>
            <w:rFonts w:ascii="Cambria Math" w:hAnsi="Cambria Math"/>
            <w:sz w:val="24"/>
            <w:szCs w:val="24"/>
          </w:rPr>
          <m:t>Q</m:t>
        </m:r>
      </m:oMath>
      <w:r>
        <w:rPr>
          <w:sz w:val="24"/>
          <w:szCs w:val="24"/>
        </w:rPr>
        <w:t xml:space="preserve">, </w:t>
      </w:r>
      <m:oMath>
        <m:r>
          <m:rPr>
            <m:sty m:val="b"/>
          </m:rPr>
          <w:rPr>
            <w:rFonts w:ascii="Cambria Math" w:hAnsi="Cambria Math"/>
            <w:sz w:val="24"/>
            <w:szCs w:val="24"/>
          </w:rPr>
          <m:t>P</m:t>
        </m:r>
      </m:oMath>
      <w:r>
        <w:rPr>
          <w:sz w:val="24"/>
          <w:szCs w:val="24"/>
        </w:rPr>
        <w:t xml:space="preserve">, </w:t>
      </w:r>
      <m:oMath>
        <m:r>
          <m:rPr>
            <m:sty m:val="b"/>
          </m:rPr>
          <w:rPr>
            <w:rFonts w:ascii="Cambria Math" w:hAnsi="Cambria Math"/>
            <w:sz w:val="24"/>
            <w:szCs w:val="24"/>
          </w:rPr>
          <m:t>Ω</m:t>
        </m:r>
      </m:oMath>
      <w:r>
        <w:rPr>
          <w:sz w:val="24"/>
          <w:szCs w:val="24"/>
        </w:rPr>
        <w:t>)</w:t>
      </w:r>
    </w:p>
    <w:p w14:paraId="0F4EA4EF" w14:textId="77777777" w:rsidR="00C50BD5" w:rsidRPr="00C8154F" w:rsidRDefault="00C50BD5" w:rsidP="00F84BC6">
      <w:pPr>
        <w:spacing w:line="360" w:lineRule="auto"/>
        <w:jc w:val="both"/>
        <w:rPr>
          <w:sz w:val="24"/>
          <w:szCs w:val="24"/>
        </w:rPr>
      </w:pPr>
    </w:p>
    <w:p w14:paraId="48DE49F1" w14:textId="77777777" w:rsidR="00F84BC6" w:rsidRDefault="00F84BC6" w:rsidP="00723C79">
      <w:pPr>
        <w:spacing w:line="360" w:lineRule="auto"/>
        <w:ind w:firstLine="851"/>
        <w:jc w:val="both"/>
        <w:rPr>
          <w:sz w:val="24"/>
          <w:szCs w:val="24"/>
        </w:rPr>
      </w:pPr>
      <w:r>
        <w:rPr>
          <w:sz w:val="24"/>
          <w:szCs w:val="24"/>
        </w:rPr>
        <w:t xml:space="preserve">As visões são absolutas e geradas pelo fator de </w:t>
      </w:r>
      <w:r>
        <w:rPr>
          <w:i/>
          <w:iCs/>
          <w:sz w:val="24"/>
          <w:szCs w:val="24"/>
        </w:rPr>
        <w:t>momentum</w:t>
      </w:r>
      <w:r>
        <w:rPr>
          <w:sz w:val="24"/>
          <w:szCs w:val="24"/>
        </w:rPr>
        <w:t xml:space="preserve"> 12-1, definido como o retorno acumulado de cada ativo nos últimos doze meses, excluído o mês mais recente para mitigar o efeito de reversão de curto prazo. Como há uma visão por ativo, a matriz de incidência é a identidade, </w:t>
      </w:r>
      <m:oMath>
        <m:r>
          <m:rPr>
            <m:sty m:val="b"/>
          </m:rPr>
          <w:rPr>
            <w:rFonts w:ascii="Cambria Math" w:hAnsi="Cambria Math"/>
            <w:sz w:val="24"/>
            <w:szCs w:val="24"/>
          </w:rPr>
          <m:t>P</m:t>
        </m:r>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I</m:t>
            </m:r>
          </m:e>
          <m:sub>
            <m:r>
              <w:rPr>
                <w:rFonts w:ascii="Cambria Math" w:hAnsi="Cambria Math"/>
                <w:sz w:val="24"/>
                <w:szCs w:val="24"/>
              </w:rPr>
              <m:t>N</m:t>
            </m:r>
          </m:sub>
        </m:sSub>
      </m:oMath>
      <w:r>
        <w:rPr>
          <w:sz w:val="24"/>
          <w:szCs w:val="24"/>
        </w:rPr>
        <w:t xml:space="preserve">, e o vetor de visões </w:t>
      </w:r>
      <m:oMath>
        <m:r>
          <m:rPr>
            <m:sty m:val="b"/>
          </m:rPr>
          <w:rPr>
            <w:rFonts w:ascii="Cambria Math" w:hAnsi="Cambria Math"/>
            <w:sz w:val="24"/>
            <w:szCs w:val="24"/>
          </w:rPr>
          <m:t>Q</m:t>
        </m:r>
      </m:oMath>
      <w:r>
        <w:rPr>
          <w:sz w:val="24"/>
          <w:szCs w:val="24"/>
        </w:rPr>
        <w:t xml:space="preserve"> contém os retornos previstos por momentum. A matriz de incerteza das visões </w:t>
      </w:r>
      <m:oMath>
        <m:r>
          <m:rPr>
            <m:sty m:val="b"/>
          </m:rPr>
          <w:rPr>
            <w:rFonts w:ascii="Cambria Math" w:hAnsi="Cambria Math"/>
            <w:sz w:val="24"/>
            <w:szCs w:val="24"/>
          </w:rPr>
          <m:t>Ω</m:t>
        </m:r>
      </m:oMath>
      <w:r>
        <w:rPr>
          <w:sz w:val="24"/>
          <w:szCs w:val="24"/>
        </w:rPr>
        <w:t xml:space="preserve"> é diagonal e proporcional à variância do </w:t>
      </w:r>
      <w:r>
        <w:rPr>
          <w:i/>
          <w:iCs/>
          <w:sz w:val="24"/>
          <w:szCs w:val="24"/>
        </w:rPr>
        <w:t>prior</w:t>
      </w:r>
      <w:r>
        <w:rPr>
          <w:sz w:val="24"/>
          <w:szCs w:val="24"/>
        </w:rPr>
        <w:t>, seguindo He e Litterman (1999):</w:t>
      </w:r>
    </w:p>
    <w:p w14:paraId="3E119F7C" w14:textId="77777777" w:rsidR="00723C79" w:rsidRPr="00C8154F" w:rsidRDefault="00723C79" w:rsidP="00723C79">
      <w:pPr>
        <w:spacing w:line="360" w:lineRule="auto"/>
        <w:ind w:firstLine="851"/>
        <w:jc w:val="both"/>
        <w:rPr>
          <w:sz w:val="24"/>
          <w:szCs w:val="24"/>
        </w:rPr>
      </w:pPr>
    </w:p>
    <w:p w14:paraId="12C77E1E" w14:textId="77777777" w:rsidR="00F84BC6" w:rsidRPr="00723C79" w:rsidRDefault="00F84BC6" w:rsidP="00F84BC6">
      <w:pPr>
        <w:spacing w:line="360" w:lineRule="auto"/>
        <w:jc w:val="both"/>
        <w:rPr>
          <w:sz w:val="24"/>
          <w:szCs w:val="24"/>
        </w:rPr>
      </w:pPr>
      <m:oMathPara>
        <m:oMathParaPr>
          <m:jc m:val="center"/>
        </m:oMathParaPr>
        <m:oMath>
          <m:r>
            <m:rPr>
              <m:sty m:val="b"/>
            </m:rPr>
            <w:rPr>
              <w:rFonts w:ascii="Cambria Math" w:hAnsi="Cambria Math"/>
              <w:sz w:val="24"/>
              <w:szCs w:val="24"/>
            </w:rPr>
            <m:t>Ω</m:t>
          </m:r>
          <m:r>
            <m:rPr>
              <m:sty m:val="p"/>
            </m:rPr>
            <w:rPr>
              <w:rFonts w:ascii="Cambria Math" w:hAnsi="Cambria Math"/>
              <w:sz w:val="24"/>
              <w:szCs w:val="24"/>
            </w:rPr>
            <m:t>=diag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τ </m:t>
              </m:r>
              <m:r>
                <m:rPr>
                  <m:sty m:val="b"/>
                </m:rPr>
                <w:rPr>
                  <w:rFonts w:ascii="Cambria Math" w:hAnsi="Cambria Math"/>
                  <w:sz w:val="24"/>
                  <w:szCs w:val="24"/>
                </w:rPr>
                <m:t>P</m:t>
              </m:r>
              <m:r>
                <w:rPr>
                  <w:rFonts w:ascii="Cambria Math" w:hAnsi="Cambria Math"/>
                  <w:sz w:val="24"/>
                  <w:szCs w:val="24"/>
                </w:rPr>
                <m:t> </m:t>
              </m:r>
              <m:r>
                <m:rPr>
                  <m:sty m:val="b"/>
                </m:rPr>
                <w:rPr>
                  <w:rFonts w:ascii="Cambria Math" w:hAnsi="Cambria Math"/>
                  <w:sz w:val="24"/>
                  <w:szCs w:val="24"/>
                </w:rPr>
                <m:t>Σ</m:t>
              </m:r>
              <m:r>
                <w:rPr>
                  <w:rFonts w:ascii="Cambria Math" w:hAnsi="Cambria Math"/>
                  <w:sz w:val="24"/>
                  <w:szCs w:val="24"/>
                </w:rPr>
                <m:t> </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e>
          </m:d>
          <m:r>
            <m:rPr>
              <m:sty m:val="p"/>
            </m:rPr>
            <w:rPr>
              <w:rFonts w:ascii="Cambria Math" w:hAnsi="Cambria Math"/>
              <w:sz w:val="24"/>
              <w:szCs w:val="24"/>
            </w:rPr>
            <m:t>,</m:t>
          </m:r>
          <m:r>
            <w:rPr>
              <w:rFonts w:ascii="Cambria Math" w:hAnsi="Cambria Math"/>
              <w:sz w:val="24"/>
              <w:szCs w:val="24"/>
            </w:rPr>
            <m:t>  τ</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05</m:t>
          </m:r>
          <m:r>
            <m:rPr>
              <m:sty m:val="p"/>
            </m:rPr>
            <w:rPr>
              <w:rFonts w:ascii="Cambria Math" w:hAnsi="Cambria Math"/>
              <w:sz w:val="24"/>
              <w:szCs w:val="24"/>
            </w:rPr>
            <m:t>.</m:t>
          </m:r>
        </m:oMath>
      </m:oMathPara>
    </w:p>
    <w:p w14:paraId="7EFB8513" w14:textId="77777777" w:rsidR="00723C79" w:rsidRPr="00C8154F" w:rsidRDefault="00723C79" w:rsidP="00F84BC6">
      <w:pPr>
        <w:spacing w:line="360" w:lineRule="auto"/>
        <w:jc w:val="both"/>
        <w:rPr>
          <w:sz w:val="24"/>
          <w:szCs w:val="24"/>
        </w:rPr>
      </w:pPr>
    </w:p>
    <w:p w14:paraId="0A3DF707" w14:textId="77777777" w:rsidR="00F84BC6" w:rsidRPr="00C8154F" w:rsidRDefault="00F84BC6" w:rsidP="00723C79">
      <w:pPr>
        <w:spacing w:line="360" w:lineRule="auto"/>
        <w:jc w:val="center"/>
        <w:rPr>
          <w:sz w:val="24"/>
          <w:szCs w:val="24"/>
        </w:rPr>
      </w:pPr>
      <w:bookmarkStart w:id="118" w:name="X22d18a4c639c190faf727d4f5fc98f712b45b94"/>
      <w:bookmarkEnd w:id="117"/>
      <w:r>
        <w:rPr>
          <w:sz w:val="24"/>
          <w:szCs w:val="24"/>
        </w:rPr>
        <w:t>Retorno esperado posterior (fórmula mestra)</w:t>
      </w:r>
    </w:p>
    <w:p w14:paraId="33D0B581" w14:textId="77777777" w:rsidR="00723C79" w:rsidRDefault="00723C79" w:rsidP="00F84BC6">
      <w:pPr>
        <w:spacing w:line="360" w:lineRule="auto"/>
        <w:jc w:val="both"/>
        <w:rPr>
          <w:sz w:val="24"/>
          <w:szCs w:val="24"/>
        </w:rPr>
      </w:pPr>
    </w:p>
    <w:p w14:paraId="063A8EE1" w14:textId="2AA5C058" w:rsidR="00F84BC6" w:rsidRDefault="00F84BC6" w:rsidP="00723C79">
      <w:pPr>
        <w:spacing w:line="360" w:lineRule="auto"/>
        <w:ind w:firstLine="851"/>
        <w:jc w:val="both"/>
        <w:rPr>
          <w:sz w:val="24"/>
          <w:szCs w:val="24"/>
        </w:rPr>
      </w:pPr>
      <w:r>
        <w:rPr>
          <w:sz w:val="24"/>
          <w:szCs w:val="24"/>
        </w:rPr>
        <w:t xml:space="preserve">A combinação Bayesiana do </w:t>
      </w:r>
      <w:r>
        <w:rPr>
          <w:i/>
          <w:iCs/>
          <w:sz w:val="24"/>
          <w:szCs w:val="24"/>
        </w:rPr>
        <w:t>prior</w:t>
      </w:r>
      <w:r>
        <w:rPr>
          <w:sz w:val="24"/>
          <w:szCs w:val="24"/>
        </w:rPr>
        <w:t xml:space="preserve"> com as visões produz o vetor de retornos esperados posteriores pela fórmula mestra de Black-Litterman:</w:t>
      </w:r>
    </w:p>
    <w:p w14:paraId="66A17163" w14:textId="77777777" w:rsidR="00723C79" w:rsidRPr="00C8154F" w:rsidRDefault="00723C79" w:rsidP="00723C79">
      <w:pPr>
        <w:spacing w:line="360" w:lineRule="auto"/>
        <w:ind w:firstLine="851"/>
        <w:jc w:val="both"/>
        <w:rPr>
          <w:sz w:val="24"/>
          <w:szCs w:val="24"/>
        </w:rPr>
      </w:pPr>
    </w:p>
    <w:p w14:paraId="0F87FE38" w14:textId="77777777" w:rsidR="00F84BC6" w:rsidRPr="00723C79" w:rsidRDefault="00F84BC6" w:rsidP="00F84BC6">
      <w:pPr>
        <w:spacing w:line="360" w:lineRule="auto"/>
        <w:jc w:val="both"/>
        <w:rPr>
          <w:sz w:val="24"/>
          <w:szCs w:val="24"/>
        </w:rPr>
      </w:pPr>
      <m:oMathPara>
        <m:oMathParaPr>
          <m:jc m:val="center"/>
        </m:oMathParaP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r>
            <m:rPr>
              <m:sty m:val="p"/>
            </m:rP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P</m:t>
                  </m:r>
                </m:e>
              </m:d>
            </m:e>
            <m:sup>
              <m:r>
                <m:rPr>
                  <m:sty m:val="p"/>
                </m:rPr>
                <w:rPr>
                  <w:rFonts w:ascii="Cambria Math" w:hAnsi="Cambria Math"/>
                  <w:sz w:val="24"/>
                  <w:szCs w:val="24"/>
                </w:rPr>
                <m:t>-</m:t>
              </m:r>
              <m:r>
                <w:rPr>
                  <w:rFonts w:ascii="Cambria Math" w:hAnsi="Cambria Math"/>
                  <w:sz w:val="24"/>
                  <w:szCs w:val="24"/>
                </w:rPr>
                <m:t>1</m:t>
              </m:r>
            </m:sup>
          </m:sSup>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τ</m:t>
                      </m:r>
                      <m:r>
                        <m:rPr>
                          <m:sty m:val="b"/>
                        </m:rPr>
                        <w:rPr>
                          <w:rFonts w:ascii="Cambria Math" w:hAnsi="Cambria Math"/>
                          <w:sz w:val="24"/>
                          <w:szCs w:val="24"/>
                        </w:rPr>
                        <m:t>Σ</m:t>
                      </m:r>
                    </m:e>
                  </m:d>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Π</m:t>
              </m:r>
              <m:r>
                <m:rPr>
                  <m:sty m:val="p"/>
                </m:rPr>
                <w:rPr>
                  <w:rFonts w:ascii="Cambria Math" w:hAnsi="Cambria Math"/>
                  <w:sz w:val="24"/>
                  <w:szCs w:val="24"/>
                </w:rPr>
                <m:t>+</m:t>
              </m:r>
              <m:sSup>
                <m:sSupPr>
                  <m:ctrlPr>
                    <w:rPr>
                      <w:rFonts w:ascii="Cambria Math" w:hAnsi="Cambria Math"/>
                      <w:sz w:val="24"/>
                      <w:szCs w:val="24"/>
                    </w:rPr>
                  </m:ctrlPr>
                </m:sSupPr>
                <m:e>
                  <m:r>
                    <m:rPr>
                      <m:sty m:val="b"/>
                    </m:rPr>
                    <w:rPr>
                      <w:rFonts w:ascii="Cambria Math" w:hAnsi="Cambria Math"/>
                      <w:sz w:val="24"/>
                      <w:szCs w:val="24"/>
                    </w:rPr>
                    <m:t>P</m:t>
                  </m:r>
                </m:e>
                <m:sup>
                  <m:r>
                    <m:rPr>
                      <m:sty m:val="p"/>
                    </m:rPr>
                    <w:rPr>
                      <w:rFonts w:ascii="Cambria Math" w:hAnsi="Cambria Math"/>
                      <w:sz w:val="24"/>
                      <w:szCs w:val="24"/>
                    </w:rPr>
                    <m:t>⊤</m:t>
                  </m:r>
                </m:sup>
              </m:sSup>
              <m:sSup>
                <m:sSupPr>
                  <m:ctrlPr>
                    <w:rPr>
                      <w:rFonts w:ascii="Cambria Math" w:hAnsi="Cambria Math"/>
                      <w:sz w:val="24"/>
                      <w:szCs w:val="24"/>
                    </w:rPr>
                  </m:ctrlPr>
                </m:sSupPr>
                <m:e>
                  <m:r>
                    <m:rPr>
                      <m:sty m:val="b"/>
                    </m:rPr>
                    <w:rPr>
                      <w:rFonts w:ascii="Cambria Math" w:hAnsi="Cambria Math"/>
                      <w:sz w:val="24"/>
                      <w:szCs w:val="24"/>
                    </w:rPr>
                    <m:t>Ω</m:t>
                  </m:r>
                </m:e>
                <m:sup>
                  <m:r>
                    <m:rPr>
                      <m:sty m:val="p"/>
                    </m:rPr>
                    <w:rPr>
                      <w:rFonts w:ascii="Cambria Math" w:hAnsi="Cambria Math"/>
                      <w:sz w:val="24"/>
                      <w:szCs w:val="24"/>
                    </w:rPr>
                    <m:t>-</m:t>
                  </m:r>
                  <m:r>
                    <w:rPr>
                      <w:rFonts w:ascii="Cambria Math" w:hAnsi="Cambria Math"/>
                      <w:sz w:val="24"/>
                      <w:szCs w:val="24"/>
                    </w:rPr>
                    <m:t>1</m:t>
                  </m:r>
                </m:sup>
              </m:sSup>
              <m:r>
                <m:rPr>
                  <m:sty m:val="b"/>
                </m:rPr>
                <w:rPr>
                  <w:rFonts w:ascii="Cambria Math" w:hAnsi="Cambria Math"/>
                  <w:sz w:val="24"/>
                  <w:szCs w:val="24"/>
                </w:rPr>
                <m:t>Q</m:t>
              </m:r>
            </m:e>
          </m:d>
          <m:r>
            <m:rPr>
              <m:sty m:val="p"/>
            </m:rPr>
            <w:rPr>
              <w:rFonts w:ascii="Cambria Math" w:hAnsi="Cambria Math"/>
              <w:sz w:val="24"/>
              <w:szCs w:val="24"/>
            </w:rPr>
            <m:t>.</m:t>
          </m:r>
        </m:oMath>
      </m:oMathPara>
    </w:p>
    <w:p w14:paraId="26C46118" w14:textId="77777777" w:rsidR="00723C79" w:rsidRPr="00C8154F" w:rsidRDefault="00723C79" w:rsidP="00F84BC6">
      <w:pPr>
        <w:spacing w:line="360" w:lineRule="auto"/>
        <w:jc w:val="both"/>
        <w:rPr>
          <w:sz w:val="24"/>
          <w:szCs w:val="24"/>
        </w:rPr>
      </w:pPr>
    </w:p>
    <w:p w14:paraId="6F3071D3" w14:textId="77777777" w:rsidR="00F84BC6" w:rsidRDefault="00F84BC6" w:rsidP="00723C79">
      <w:pPr>
        <w:spacing w:line="360" w:lineRule="auto"/>
        <w:ind w:firstLine="851"/>
        <w:jc w:val="both"/>
        <w:rPr>
          <w:sz w:val="24"/>
          <w:szCs w:val="24"/>
        </w:rPr>
      </w:pPr>
      <w:r>
        <w:rPr>
          <w:sz w:val="24"/>
          <w:szCs w:val="24"/>
        </w:rPr>
        <w:t xml:space="preserve">O vetor </w:t>
      </w:r>
      <m:oMath>
        <m:sSub>
          <m:sSubPr>
            <m:ctrlPr>
              <w:rPr>
                <w:rFonts w:ascii="Cambria Math" w:hAnsi="Cambria Math"/>
                <w:sz w:val="24"/>
                <w:szCs w:val="24"/>
              </w:rPr>
            </m:ctrlPr>
          </m:sSubPr>
          <m:e>
            <m:r>
              <m:rPr>
                <m:sty m:val="b"/>
              </m:rPr>
              <w:rPr>
                <w:rFonts w:ascii="Cambria Math" w:hAnsi="Cambria Math"/>
                <w:sz w:val="24"/>
                <w:szCs w:val="24"/>
              </w:rPr>
              <m:t>μ</m:t>
            </m:r>
          </m:e>
          <m:sub>
            <m:r>
              <m:rPr>
                <m:sty m:val="p"/>
              </m:rPr>
              <w:rPr>
                <w:rFonts w:ascii="Cambria Math" w:hAnsi="Cambria Math"/>
                <w:sz w:val="24"/>
                <w:szCs w:val="24"/>
              </w:rPr>
              <m:t>BL</m:t>
            </m:r>
          </m:sub>
        </m:sSub>
      </m:oMath>
      <w:r>
        <w:rPr>
          <w:sz w:val="24"/>
          <w:szCs w:val="24"/>
        </w:rPr>
        <w:t xml:space="preserve"> resultante substitui então a média histórica </w:t>
      </w:r>
      <m:oMath>
        <m:r>
          <m:rPr>
            <m:sty m:val="b"/>
          </m:rPr>
          <w:rPr>
            <w:rFonts w:ascii="Cambria Math" w:hAnsi="Cambria Math"/>
            <w:sz w:val="24"/>
            <w:szCs w:val="24"/>
          </w:rPr>
          <m:t>μ</m:t>
        </m:r>
      </m:oMath>
      <w:r>
        <w:rPr>
          <w:sz w:val="24"/>
          <w:szCs w:val="24"/>
        </w:rPr>
        <w:t xml:space="preserve"> na função objetivo de máxima utilidade média-variância da Seção 3.5.2, sujeito às mesmas restrições e </w:t>
        <w:lastRenderedPageBreak/>
        <w:t xml:space="preserve">penalidade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sz w:val="24"/>
          <w:szCs w:val="24"/>
        </w:rPr>
        <w:t>.</w:t>
      </w:r>
    </w:p>
    <w:p w14:paraId="16818538" w14:textId="77777777" w:rsidR="00723C79" w:rsidRPr="00C8154F" w:rsidRDefault="00723C79" w:rsidP="00723C79">
      <w:pPr>
        <w:spacing w:line="360" w:lineRule="auto"/>
        <w:ind w:firstLine="851"/>
        <w:jc w:val="both"/>
        <w:rPr>
          <w:sz w:val="24"/>
          <w:szCs w:val="24"/>
        </w:rPr>
      </w:pPr>
    </w:p>
    <w:p w14:paraId="308B906F" w14:textId="77777777" w:rsidR="00F84BC6" w:rsidRPr="00C8154F" w:rsidRDefault="00F84BC6" w:rsidP="00B87BCF">
      <w:pPr>
        <w:spacing w:line="360" w:lineRule="auto"/>
        <w:jc w:val="center"/>
        <w:rPr>
          <w:sz w:val="24"/>
          <w:szCs w:val="24"/>
        </w:rPr>
      </w:pPr>
      <w:bookmarkStart w:id="119" w:name="Xa55c44fa99418ed4739bf1d2fb5f179fc94db5b"/>
      <w:bookmarkEnd w:id="118"/>
      <w:r>
        <w:rPr>
          <w:sz w:val="24"/>
          <w:szCs w:val="24"/>
        </w:rPr>
        <w:t xml:space="preserve">Variante </w:t>
      </w:r>
      <w:r>
        <w:rPr>
          <w:i/>
          <w:iCs/>
          <w:sz w:val="24"/>
          <w:szCs w:val="24"/>
        </w:rPr>
        <w:t>downside</w:t>
      </w:r>
      <w:r>
        <w:rPr>
          <w:sz w:val="24"/>
          <w:szCs w:val="24"/>
        </w:rPr>
        <w:t xml:space="preserve"> (semicovariância de Estrada)</w:t>
      </w:r>
    </w:p>
    <w:p w14:paraId="2C766A29" w14:textId="77777777" w:rsidR="00B87BCF" w:rsidRDefault="00B87BCF" w:rsidP="00F84BC6">
      <w:pPr>
        <w:spacing w:line="360" w:lineRule="auto"/>
        <w:jc w:val="both"/>
        <w:rPr>
          <w:sz w:val="24"/>
          <w:szCs w:val="24"/>
        </w:rPr>
      </w:pPr>
    </w:p>
    <w:p w14:paraId="7530B1A3" w14:textId="12A3AED2" w:rsidR="00F84BC6" w:rsidRDefault="00F84BC6" w:rsidP="00B87BCF">
      <w:pPr>
        <w:spacing w:line="360" w:lineRule="auto"/>
        <w:ind w:firstLine="851"/>
        <w:jc w:val="both"/>
        <w:rPr>
          <w:sz w:val="24"/>
          <w:szCs w:val="24"/>
        </w:rPr>
      </w:pPr>
      <w:r>
        <w:rPr>
          <w:sz w:val="24"/>
          <w:szCs w:val="24"/>
        </w:rPr>
        <w:t xml:space="preserve">Nas variantes </w:t>
      </w:r>
      <w:r>
        <w:rPr>
          <w:rStyle w:val="VerbatimChar"/>
          <w:rFonts w:ascii="Times New Roman" w:hAnsi="Times New Roman"/>
          <w:i w:val="0"/>
          <w:iCs w:val="0"/>
          <w:color w:val="auto"/>
          <w:sz w:val="24"/>
          <w:szCs w:val="24"/>
        </w:rPr>
        <w:t>BL_downside</w:t>
      </w:r>
      <w:r>
        <w:rPr>
          <w:sz w:val="24"/>
          <w:szCs w:val="24"/>
        </w:rPr>
        <w:t xml:space="preserve">, a matriz de covariância </w:t>
      </w:r>
      <m:oMath>
        <m:r>
          <m:rPr>
            <m:sty m:val="b"/>
          </m:rPr>
          <w:rPr>
            <w:rFonts w:ascii="Cambria Math" w:hAnsi="Cambria Math"/>
            <w:sz w:val="24"/>
            <w:szCs w:val="24"/>
          </w:rPr>
          <m:t>Σ</m:t>
        </m:r>
      </m:oMath>
      <w:r>
        <w:rPr>
          <w:sz w:val="24"/>
          <w:szCs w:val="24"/>
        </w:rPr>
        <w:t xml:space="preserve"> — tanto no </w:t>
      </w:r>
      <w:r>
        <w:rPr>
          <w:i/>
          <w:iCs/>
          <w:sz w:val="24"/>
          <w:szCs w:val="24"/>
        </w:rPr>
        <w:t>prior</w:t>
      </w:r>
      <w:r>
        <w:rPr>
          <w:sz w:val="24"/>
          <w:szCs w:val="24"/>
        </w:rPr>
        <w:t xml:space="preserve"> quanto na otimização — é substituída pela matriz de semicovariância de queda de Estrada (2008), que considera apenas as realizações conjuntas abaixo de um alvo de referência </w:t>
      </w:r>
      <m:oMath>
        <m:r>
          <w:rPr>
            <w:rFonts w:ascii="Cambria Math" w:hAnsi="Cambria Math"/>
            <w:sz w:val="24"/>
            <w:szCs w:val="24"/>
          </w:rPr>
          <m:t>τ</m:t>
        </m:r>
      </m:oMath>
      <w:r>
        <w:rPr>
          <w:sz w:val="24"/>
          <w:szCs w:val="24"/>
        </w:rPr>
        <w:t>:</w:t>
      </w:r>
    </w:p>
    <w:p w14:paraId="5DE0D233" w14:textId="77777777" w:rsidR="00B87BCF" w:rsidRPr="00C8154F" w:rsidRDefault="00B87BCF" w:rsidP="00B87BCF">
      <w:pPr>
        <w:spacing w:line="360" w:lineRule="auto"/>
        <w:ind w:firstLine="851"/>
        <w:jc w:val="both"/>
        <w:rPr>
          <w:sz w:val="24"/>
          <w:szCs w:val="24"/>
        </w:rPr>
      </w:pPr>
    </w:p>
    <w:p w14:paraId="681BA6B5" w14:textId="77777777" w:rsidR="00F84BC6" w:rsidRPr="00B87BCF" w:rsidRDefault="00F84BC6" w:rsidP="00F84BC6">
      <w:pPr>
        <w:spacing w:line="360" w:lineRule="auto"/>
        <w:jc w:val="both"/>
        <w:rPr>
          <w:sz w:val="24"/>
          <w:szCs w:val="24"/>
        </w:rPr>
      </w:pPr>
      <m:oMathPara>
        <m:oMathParaPr>
          <m:jc m:val="center"/>
        </m:oMathParaPr>
        <m:oMath>
          <m:sSubSup>
            <m:sSubSupPr>
              <m:ctrlPr>
                <w:rPr>
                  <w:rFonts w:ascii="Cambria Math" w:hAnsi="Cambria Math"/>
                  <w:sz w:val="24"/>
                  <w:szCs w:val="24"/>
                </w:rPr>
              </m:ctrlPr>
            </m:sSubSupPr>
            <m:e>
              <m:r>
                <w:rPr>
                  <w:rFonts w:ascii="Cambria Math" w:hAnsi="Cambria Math"/>
                  <w:sz w:val="24"/>
                  <w:szCs w:val="24"/>
                </w:rPr>
                <m:t>Σ</m:t>
              </m:r>
            </m:e>
            <m:sub>
              <m:r>
                <w:rPr>
                  <w:rFonts w:ascii="Cambria Math" w:hAnsi="Cambria Math"/>
                  <w:sz w:val="24"/>
                  <w:szCs w:val="24"/>
                </w:rPr>
                <m:t>ij</m:t>
              </m:r>
            </m:sub>
            <m:sup>
              <m:r>
                <m:rPr>
                  <m:sty m:val="p"/>
                </m:rPr>
                <w:rPr>
                  <w:rFonts w:ascii="Cambria Math" w:hAnsi="Cambria Math"/>
                  <w:sz w:val="24"/>
                  <w:szCs w:val="24"/>
                </w:rPr>
                <m:t>-</m:t>
              </m:r>
            </m:sup>
          </m:sSubSup>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nary>
            <m:naryPr>
              <m:chr m:val="∑"/>
              <m:limLoc m:val="undOvr"/>
              <m:ctrlPr>
                <w:rPr>
                  <w:rFonts w:ascii="Cambria Math" w:hAnsi="Cambria Math"/>
                  <w:sz w:val="24"/>
                  <w:szCs w:val="24"/>
                </w:rPr>
              </m:ctrlPr>
            </m:naryPr>
            <m:sub>
              <m:r>
                <w:rPr>
                  <w:rFonts w:ascii="Cambria Math" w:hAnsi="Cambria Math"/>
                  <w:sz w:val="24"/>
                  <w:szCs w:val="24"/>
                </w:rPr>
                <m:t>t</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T</m:t>
              </m:r>
            </m:sup>
            <m:e>
              <m:r>
                <m:rPr>
                  <m:sty m:val="p"/>
                </m:rPr>
                <w:rPr>
                  <w:rFonts w:ascii="Cambria Math" w:hAnsi="Cambria Math"/>
                  <w:sz w:val="24"/>
                  <w:szCs w:val="24"/>
                </w:rPr>
                <m:t>min</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w:rPr>
              <w:rFonts w:ascii="Cambria Math" w:hAnsi="Cambria Math"/>
              <w:sz w:val="24"/>
              <w:szCs w:val="24"/>
            </w:rPr>
            <m:t> </m:t>
          </m:r>
          <m:r>
            <m:rPr>
              <m:sty m:val="p"/>
            </m:rPr>
            <w:rPr>
              <w:rFonts w:ascii="Cambria Math" w:hAnsi="Cambria Math"/>
              <w:sz w:val="24"/>
              <w:szCs w:val="24"/>
            </w:rPr>
            <m:t>min</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j</m:t>
                  </m:r>
                  <m:r>
                    <m:rPr>
                      <m:sty m:val="p"/>
                    </m:rPr>
                    <w:rPr>
                      <w:rFonts w:ascii="Cambria Math" w:hAnsi="Cambria Math"/>
                      <w:sz w:val="24"/>
                      <w:szCs w:val="24"/>
                    </w:rPr>
                    <m:t>,</m:t>
                  </m:r>
                  <m:r>
                    <w:rPr>
                      <w:rFonts w:ascii="Cambria Math" w:hAnsi="Cambria Math"/>
                      <w:sz w:val="24"/>
                      <w:szCs w:val="24"/>
                    </w:rPr>
                    <m:t>t</m:t>
                  </m:r>
                </m:sub>
              </m:sSub>
              <m:r>
                <m:rPr>
                  <m:sty m:val="p"/>
                </m:rPr>
                <w:rPr>
                  <w:rFonts w:ascii="Cambria Math" w:hAnsi="Cambria Math"/>
                  <w:sz w:val="24"/>
                  <w:szCs w:val="24"/>
                </w:rPr>
                <m:t>-</m:t>
              </m:r>
              <m:r>
                <w:rPr>
                  <w:rFonts w:ascii="Cambria Math" w:hAnsi="Cambria Math"/>
                  <w:sz w:val="24"/>
                  <w:szCs w:val="24"/>
                </w:rPr>
                <m:t>τ</m:t>
              </m:r>
              <m:r>
                <m:rPr>
                  <m:sty m:val="p"/>
                </m:rPr>
                <w:rPr>
                  <w:rFonts w:ascii="Cambria Math" w:hAnsi="Cambria Math"/>
                  <w:sz w:val="24"/>
                  <w:szCs w:val="24"/>
                </w:rPr>
                <m:t>,</m:t>
              </m:r>
              <m:r>
                <w:rPr>
                  <w:rFonts w:ascii="Cambria Math" w:hAnsi="Cambria Math"/>
                  <w:sz w:val="24"/>
                  <w:szCs w:val="24"/>
                </w:rPr>
                <m:t> 0</m:t>
              </m:r>
            </m:e>
          </m:d>
          <m:r>
            <m:rPr>
              <m:sty m:val="p"/>
            </m:rPr>
            <w:rPr>
              <w:rFonts w:ascii="Cambria Math" w:hAnsi="Cambria Math"/>
              <w:sz w:val="24"/>
              <w:szCs w:val="24"/>
            </w:rPr>
            <m:t>.</m:t>
          </m:r>
        </m:oMath>
      </m:oMathPara>
    </w:p>
    <w:p w14:paraId="5D8FD022" w14:textId="77777777" w:rsidR="00B87BCF" w:rsidRPr="00C8154F" w:rsidRDefault="00B87BCF" w:rsidP="00F84BC6">
      <w:pPr>
        <w:spacing w:line="360" w:lineRule="auto"/>
        <w:jc w:val="both"/>
        <w:rPr>
          <w:sz w:val="24"/>
          <w:szCs w:val="24"/>
        </w:rPr>
      </w:pPr>
    </w:p>
    <w:p w14:paraId="07D76E8F" w14:textId="77777777" w:rsidR="00F84BC6" w:rsidRPr="00C8154F" w:rsidRDefault="00F84BC6" w:rsidP="00B87BCF">
      <w:pPr>
        <w:spacing w:line="360" w:lineRule="auto"/>
        <w:jc w:val="center"/>
        <w:rPr>
          <w:sz w:val="24"/>
          <w:szCs w:val="24"/>
        </w:rPr>
      </w:pPr>
      <w:bookmarkStart w:id="120" w:name="as-quatro-variantes-implementadas"/>
      <w:bookmarkEnd w:id="119"/>
      <w:r>
        <w:rPr>
          <w:sz w:val="24"/>
          <w:szCs w:val="24"/>
        </w:rPr>
        <w:t>As quatro variantes implementadas</w:t>
      </w:r>
    </w:p>
    <w:p w14:paraId="53BA2907" w14:textId="77777777" w:rsidR="00B87BCF" w:rsidRDefault="00B87BCF" w:rsidP="00F84BC6">
      <w:pPr>
        <w:spacing w:line="360" w:lineRule="auto"/>
        <w:jc w:val="both"/>
        <w:rPr>
          <w:sz w:val="24"/>
          <w:szCs w:val="24"/>
        </w:rPr>
      </w:pPr>
    </w:p>
    <w:p w14:paraId="6EB920A3" w14:textId="777B640C" w:rsidR="00F84BC6" w:rsidRPr="00C8154F" w:rsidRDefault="00F84BC6" w:rsidP="00B87BCF">
      <w:pPr>
        <w:spacing w:line="360" w:lineRule="auto"/>
        <w:ind w:firstLine="851"/>
        <w:jc w:val="both"/>
        <w:rPr>
          <w:sz w:val="24"/>
          <w:szCs w:val="24"/>
        </w:rPr>
      </w:pPr>
      <w:r>
        <w:rPr>
          <w:sz w:val="24"/>
          <w:szCs w:val="24"/>
        </w:rPr>
        <w:t xml:space="preserve">A combinação dos dois </w:t>
      </w:r>
      <w:r>
        <w:rPr>
          <w:i/>
          <w:iCs/>
          <w:sz w:val="24"/>
          <w:szCs w:val="24"/>
        </w:rPr>
        <w:t>priors</w:t>
      </w:r>
      <w:r>
        <w:rPr>
          <w:sz w:val="24"/>
          <w:szCs w:val="24"/>
        </w:rPr>
        <w:t xml:space="preserve"> (clássico e </w:t>
      </w:r>
      <w:r>
        <w:rPr>
          <w:i/>
          <w:iCs/>
          <w:sz w:val="24"/>
          <w:szCs w:val="24"/>
        </w:rPr>
        <w:t>downside</w:t>
      </w:r>
      <w:r>
        <w:rPr>
          <w:sz w:val="24"/>
          <w:szCs w:val="24"/>
        </w:rPr>
        <w:t>) com a presença ou ausência do teto de concentração gera os quatro modelos da família:</w:t>
      </w:r>
    </w:p>
    <w:p w14:paraId="4F26125D"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w:t>
      </w:r>
      <w:r>
        <w:rPr>
          <w:sz w:val="24"/>
          <w:szCs w:val="24"/>
        </w:rPr>
        <w:t xml:space="preserve"> — </w:t>
      </w:r>
      <w:r>
        <w:rPr>
          <w:i/>
          <w:iCs/>
          <w:sz w:val="24"/>
          <w:szCs w:val="24"/>
        </w:rPr>
        <w:t>prior</w:t>
      </w:r>
      <w:r>
        <w:rPr>
          <w:sz w:val="24"/>
          <w:szCs w:val="24"/>
        </w:rPr>
        <w:t xml:space="preserve"> de equilíbrio com </w:t>
      </w:r>
      <m:oMath>
        <m:r>
          <m:rPr>
            <m:sty m:val="b"/>
          </m:rPr>
          <w:rPr>
            <w:rFonts w:ascii="Cambria Math" w:hAnsi="Cambria Math"/>
            <w:sz w:val="24"/>
            <w:szCs w:val="24"/>
          </w:rPr>
          <m:t>Σ</m:t>
        </m:r>
      </m:oMath>
      <w:r>
        <w:rPr>
          <w:sz w:val="24"/>
          <w:szCs w:val="24"/>
        </w:rPr>
        <w:t xml:space="preserve"> de Ledoit-Wolf; sem teto;</w:t>
      </w:r>
    </w:p>
    <w:p w14:paraId="029B4B1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BL_classico_c10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p w14:paraId="1A9C418B"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w:t>
      </w:r>
      <w:r>
        <w:rPr>
          <w:sz w:val="24"/>
          <w:szCs w:val="24"/>
        </w:rPr>
        <w:t xml:space="preserve"> — </w:t>
      </w:r>
      <w:r>
        <w:rPr>
          <w:i/>
          <w:iCs/>
          <w:sz w:val="24"/>
          <w:szCs w:val="24"/>
        </w:rPr>
        <w:t>prior</w:t>
      </w:r>
      <w:r>
        <w:rPr>
          <w:sz w:val="24"/>
          <w:szCs w:val="24"/>
        </w:rPr>
        <w:t xml:space="preserve"> com a semicovariância de Estrada (2008); sem teto;</w:t>
      </w:r>
    </w:p>
    <w:p w14:paraId="778B2DF6" w14:textId="77777777" w:rsidR="00F84BC6" w:rsidRPr="00B87BCF" w:rsidRDefault="00F84BC6" w:rsidP="00B87BCF">
      <w:pPr>
        <w:pStyle w:val="PargrafodaLista"/>
        <w:numPr>
          <w:ilvl w:val="0"/>
          <w:numId w:val="59"/>
        </w:numPr>
        <w:spacing w:line="360" w:lineRule="auto"/>
        <w:jc w:val="both"/>
        <w:rPr>
          <w:sz w:val="24"/>
          <w:szCs w:val="24"/>
        </w:rPr>
      </w:pPr>
      <w:r>
        <w:rPr>
          <w:rStyle w:val="VerbatimChar"/>
          <w:rFonts w:ascii="Times New Roman" w:hAnsi="Times New Roman"/>
          <w:i w:val="0"/>
          <w:iCs w:val="0"/>
          <w:color w:val="auto"/>
          <w:sz w:val="24"/>
          <w:szCs w:val="24"/>
        </w:rPr>
        <w:t>BL_downside_c10</w:t>
      </w:r>
      <w:r>
        <w:rPr>
          <w:sz w:val="24"/>
          <w:szCs w:val="24"/>
        </w:rPr>
        <w:t xml:space="preserve"> — idem, com teto </w:t>
      </w:r>
      <m:oMath>
        <m:acc>
          <m:accPr>
            <m:chr m:val="‾"/>
            <m:ctrlPr>
              <w:rPr>
                <w:rFonts w:ascii="Cambria Math" w:hAnsi="Cambria Math"/>
                <w:sz w:val="24"/>
                <w:szCs w:val="24"/>
              </w:rPr>
            </m:ctrlPr>
          </m:accPr>
          <m:e>
            <m:r>
              <w:rPr>
                <w:rFonts w:ascii="Cambria Math" w:hAnsi="Cambria Math"/>
                <w:sz w:val="24"/>
                <w:szCs w:val="24"/>
              </w:rPr>
              <m:t>w</m:t>
            </m:r>
          </m:e>
        </m:acc>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10</m:t>
        </m:r>
      </m:oMath>
      <w:r>
        <w:rPr>
          <w:sz w:val="24"/>
          <w:szCs w:val="24"/>
        </w:rPr>
        <w:t>.</w:t>
      </w:r>
    </w:p>
    <w:bookmarkEnd w:id="115"/>
    <w:bookmarkEnd w:id="120"/>
    <w:p w14:paraId="42DC108A" w14:textId="77777777" w:rsidR="00B87BCF" w:rsidRPr="000815A7" w:rsidRDefault="00B87BCF" w:rsidP="00B87BCF">
      <w:pPr>
        <w:rPr>
          <w:bCs/>
          <w:sz w:val="24"/>
          <w:szCs w:val="24"/>
        </w:rPr>
      </w:pPr>
    </w:p>
    <w:p w14:paraId="0F736098" w14:textId="6F94E1AC" w:rsidR="00B87BCF" w:rsidRPr="00B87BCF" w:rsidRDefault="00B87BCF" w:rsidP="00B87BCF">
      <w:pPr>
        <w:pStyle w:val="Ttulo3"/>
        <w:numPr>
          <w:ilvl w:val="2"/>
          <w:numId w:val="1"/>
        </w:numPr>
        <w:rPr>
          <w:b w:val="0"/>
          <w:bCs w:val="0"/>
          <w:sz w:val="22"/>
        </w:rPr>
      </w:pPr>
      <w:r>
        <w:rPr>
          <w:b w:val="0"/>
          <w:bCs w:val="0"/>
        </w:rPr>
        <w:t xml:space="preserve">Síntese e Limitações Declaradas da Implementação </w:t>
      </w:r>
    </w:p>
    <w:p w14:paraId="584D4E41" w14:textId="77777777" w:rsidR="00B87BCF" w:rsidRDefault="00B87BCF" w:rsidP="00B87BCF">
      <w:pPr>
        <w:pStyle w:val="FirstParagraph"/>
        <w:spacing w:before="0" w:after="0" w:line="360" w:lineRule="auto"/>
        <w:jc w:val="both"/>
        <w:rPr>
          <w:lang w:val="pt-BR"/>
        </w:rPr>
      </w:pPr>
    </w:p>
    <w:p w14:paraId="139B84A2" w14:textId="77777777" w:rsidR="00F84BC6" w:rsidRPr="00C8154F" w:rsidRDefault="00F84BC6" w:rsidP="00B87BCF">
      <w:pPr>
        <w:spacing w:line="360" w:lineRule="auto"/>
        <w:ind w:firstLine="851"/>
        <w:jc w:val="both"/>
        <w:rPr>
          <w:sz w:val="24"/>
          <w:szCs w:val="24"/>
        </w:rPr>
      </w:pPr>
      <w:r>
        <w:rPr>
          <w:sz w:val="24"/>
          <w:szCs w:val="24"/>
        </w:rPr>
        <w:t>O Quadro a seguir consolida os quinze modelos, sua função objetivo e a medida de risco subjacente.</w:t>
      </w:r>
    </w:p>
    <w:p w14:paraId="7287578B" w14:textId="6868E44F" w:rsidR="00B87BCF" w:rsidRDefault="00B87BCF">
      <w:pPr>
        <w:rPr>
          <w:lang w:val="pt-BR"/>
        </w:rPr>
      </w:pPr>
      <w:r>
        <w:rPr>
          <w:lang w:val="pt-BR"/>
        </w:rPr>
        <w:br w:type="page"/>
      </w:r>
    </w:p>
    <w:p w14:paraId="239D822D" w14:textId="77777777" w:rsidR="00303D02" w:rsidRPr="00303D02" w:rsidRDefault="00303D02" w:rsidP="00303D02">
      <w:pPr>
        <w:pStyle w:val="Legenda"/>
        <w:keepNext/>
        <w:jc w:val="center"/>
        <w:rPr>
          <w:rFonts w:ascii="Times New Roman" w:hAnsi="Times New Roman" w:cs="Times New Roman"/>
          <w:i w:val="0"/>
          <w:color w:val="auto"/>
          <w:sz w:val="20"/>
        </w:rPr>
      </w:pPr>
      <w:bookmarkStart w:id="121" w:name="X22d8cf3fbb8eb4be67bd05c59bcadfc1312f905"/>
      <w:bookmarkEnd w:id="102"/>
      <w:bookmarkEnd w:id="105"/>
      <w:r>
        <w:rPr>
          <w:rFonts w:ascii="Times New Roman" w:hAnsi="Times New Roman" w:cs="Times New Roman"/>
          <w:i w:val="0"/>
          <w:color w:val="auto"/>
          <w:sz w:val="20"/>
        </w:rPr>
        <w:lastRenderedPageBreak/>
        <w:t xml:space="preserve">Table </w:t>
        <w:fldChar w:fldCharType="begin"/>
        <w:instrText xml:space="preserve"> SEQ Table \* ARABIC </w:instrText>
        <w:fldChar w:fldCharType="separate"/>
      </w:r>
      <w:r>
        <w:rPr>
          <w:rFonts w:ascii="Times New Roman" w:hAnsi="Times New Roman" w:cs="Times New Roman"/>
          <w:i w:val="0"/>
          <w:noProof/>
          <w:color w:val="auto"/>
          <w:sz w:val="20"/>
        </w:rPr>
        <w:t>1</w:t>
      </w:r>
      <w:r>
        <w:rPr>
          <w:rFonts w:ascii="Times New Roman" w:hAnsi="Times New Roman" w:cs="Times New Roman"/>
          <w:i w:val="0"/>
          <w:color w:val="auto"/>
          <w:sz w:val="20"/>
        </w:rPr>
        <w:fldChar w:fldCharType="end"/>
        <w:t xml:space="preserve"> - Quadro de Consolidação dos 15 modelos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7"/>
        <w:gridCol w:w="936"/>
        <w:gridCol w:w="2637"/>
        <w:gridCol w:w="2276"/>
        <w:gridCol w:w="668"/>
      </w:tblGrid>
      <w:tr w:rsidR="00303D02" w14:paraId="0DF23D95" w14:textId="77777777" w:rsidTr="00303D0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C97CA64" w14:textId="77777777" w:rsidR="00303D02" w:rsidRPr="00303D02" w:rsidRDefault="00303D02" w:rsidP="00303D02">
            <w:pPr>
              <w:pStyle w:val="Compact"/>
              <w:rPr>
                <w:b/>
              </w:rPr>
            </w:pPr>
            <w:r>
              <w:rPr>
                <w:b/>
              </w:rPr>
              <w:t>Modelo</w:t>
            </w:r>
          </w:p>
        </w:tc>
        <w:tc>
          <w:tcPr>
            <w:tcW w:w="0" w:type="auto"/>
            <w:tcBorders>
              <w:bottom w:val="none" w:sz="0" w:space="0" w:color="auto"/>
            </w:tcBorders>
          </w:tcPr>
          <w:p w14:paraId="163C5A90" w14:textId="77777777" w:rsidR="00303D02" w:rsidRPr="00303D02" w:rsidRDefault="00303D02" w:rsidP="00303D02">
            <w:pPr>
              <w:pStyle w:val="Compact"/>
              <w:rPr>
                <w:b/>
              </w:rPr>
            </w:pPr>
            <w:r>
              <w:rPr>
                <w:b/>
              </w:rPr>
              <w:t>Família</w:t>
            </w:r>
          </w:p>
        </w:tc>
        <w:tc>
          <w:tcPr>
            <w:tcW w:w="0" w:type="auto"/>
            <w:tcBorders>
              <w:bottom w:val="none" w:sz="0" w:space="0" w:color="auto"/>
            </w:tcBorders>
          </w:tcPr>
          <w:p w14:paraId="246B0016" w14:textId="77777777" w:rsidR="00303D02" w:rsidRPr="00303D02" w:rsidRDefault="00303D02" w:rsidP="00303D02">
            <w:pPr>
              <w:pStyle w:val="Compact"/>
              <w:rPr>
                <w:b/>
              </w:rPr>
            </w:pPr>
            <w:r>
              <w:rPr>
                <w:b/>
              </w:rPr>
              <w:t>Função objetivo</w:t>
            </w:r>
          </w:p>
        </w:tc>
        <w:tc>
          <w:tcPr>
            <w:tcW w:w="0" w:type="auto"/>
            <w:tcBorders>
              <w:bottom w:val="none" w:sz="0" w:space="0" w:color="auto"/>
            </w:tcBorders>
          </w:tcPr>
          <w:p w14:paraId="37EF0131" w14:textId="77777777" w:rsidR="00303D02" w:rsidRPr="00303D02" w:rsidRDefault="00303D02" w:rsidP="00303D02">
            <w:pPr>
              <w:pStyle w:val="Compact"/>
              <w:rPr>
                <w:b/>
              </w:rPr>
            </w:pPr>
            <w:r>
              <w:rPr>
                <w:b/>
              </w:rPr>
              <w:t>Medida de risco</w:t>
            </w:r>
          </w:p>
        </w:tc>
        <w:tc>
          <w:tcPr>
            <w:tcW w:w="0" w:type="auto"/>
            <w:tcBorders>
              <w:bottom w:val="none" w:sz="0" w:space="0" w:color="auto"/>
            </w:tcBorders>
          </w:tcPr>
          <w:p w14:paraId="670D8D4A" w14:textId="77777777" w:rsidR="00303D02" w:rsidRPr="00303D02" w:rsidRDefault="00303D02" w:rsidP="00303D02">
            <w:pPr>
              <w:pStyle w:val="Compact"/>
              <w:rPr>
                <w:b/>
              </w:rPr>
            </w:pPr>
            <w:r>
              <w:rPr>
                <w:b/>
              </w:rPr>
              <w:t>Teto</w:t>
            </w:r>
          </w:p>
        </w:tc>
      </w:tr>
      <w:tr w:rsidR="00303D02" w14:paraId="3A3DBE22" w14:textId="77777777" w:rsidTr="00303D02">
        <w:trPr>
          <w:jc w:val="center"/>
        </w:trPr>
        <w:tc>
          <w:tcPr>
            <w:tcW w:w="0" w:type="auto"/>
          </w:tcPr>
          <w:p w14:paraId="21312D9C" w14:textId="77777777" w:rsidR="00303D02" w:rsidRDefault="00303D02" w:rsidP="00303D02">
            <w:pPr>
              <w:pStyle w:val="Compact"/>
            </w:pPr>
            <w:r>
              <w:t>EqualWeight</w:t>
            </w:r>
          </w:p>
        </w:tc>
        <w:tc>
          <w:tcPr>
            <w:tcW w:w="0" w:type="auto"/>
          </w:tcPr>
          <w:p w14:paraId="76AF8127" w14:textId="77777777" w:rsidR="00303D02" w:rsidRDefault="00303D02" w:rsidP="00303D02">
            <w:pPr>
              <w:pStyle w:val="Compact"/>
            </w:pPr>
            <w:r>
              <w:t>MPT</w:t>
            </w:r>
          </w:p>
        </w:tc>
        <w:tc>
          <w:tcPr>
            <w:tcW w:w="0" w:type="auto"/>
          </w:tcPr>
          <w:p w14:paraId="45FA99F2" w14:textId="77777777" w:rsidR="00303D02" w:rsidRDefault="00303D02" w:rsidP="00303D02">
            <w:pPr>
              <w:pStyle w:val="Compact"/>
            </w:pPr>
            <w:r>
              <w:t xml:space="preserve">— (regra fixa </w:t>
            </w:r>
            <m:oMath>
              <m:r>
                <w:rPr>
                  <w:rFonts w:ascii="Cambria Math" w:hAnsi="Cambria Math"/>
                </w:rPr>
                <m:t>1</m:t>
              </m:r>
              <m:r>
                <m:rPr>
                  <m:sty m:val="p"/>
                </m:rPr>
                <w:rPr>
                  <w:rFonts w:ascii="Cambria Math" w:hAnsi="Cambria Math"/>
                </w:rPr>
                <m:t>/</m:t>
              </m:r>
              <m:r>
                <w:rPr>
                  <w:rFonts w:ascii="Cambria Math" w:hAnsi="Cambria Math"/>
                </w:rPr>
                <m:t>N</m:t>
              </m:r>
            </m:oMath>
            <w:r>
              <w:t>)</w:t>
            </w:r>
          </w:p>
        </w:tc>
        <w:tc>
          <w:tcPr>
            <w:tcW w:w="0" w:type="auto"/>
          </w:tcPr>
          <w:p w14:paraId="39F0BE98" w14:textId="77777777" w:rsidR="00303D02" w:rsidRDefault="00303D02" w:rsidP="00303D02">
            <w:pPr>
              <w:pStyle w:val="Compact"/>
            </w:pPr>
            <w:r>
              <w:t>—</w:t>
            </w:r>
          </w:p>
        </w:tc>
        <w:tc>
          <w:tcPr>
            <w:tcW w:w="0" w:type="auto"/>
          </w:tcPr>
          <w:p w14:paraId="63CC935A" w14:textId="77777777" w:rsidR="00303D02" w:rsidRDefault="00303D02" w:rsidP="00303D02">
            <w:pPr>
              <w:pStyle w:val="Compact"/>
            </w:pPr>
            <w:r>
              <w:t>—</w:t>
            </w:r>
          </w:p>
        </w:tc>
      </w:tr>
      <w:tr w:rsidR="00303D02" w14:paraId="05F92C11" w14:textId="77777777" w:rsidTr="00303D02">
        <w:trPr>
          <w:jc w:val="center"/>
        </w:trPr>
        <w:tc>
          <w:tcPr>
            <w:tcW w:w="0" w:type="auto"/>
          </w:tcPr>
          <w:p w14:paraId="6DB40168" w14:textId="77777777" w:rsidR="00303D02" w:rsidRDefault="00303D02" w:rsidP="00303D02">
            <w:pPr>
              <w:pStyle w:val="Compact"/>
            </w:pPr>
            <w:r>
              <w:t>InvVol</w:t>
            </w:r>
          </w:p>
        </w:tc>
        <w:tc>
          <w:tcPr>
            <w:tcW w:w="0" w:type="auto"/>
          </w:tcPr>
          <w:p w14:paraId="2DA6D191" w14:textId="77777777" w:rsidR="00303D02" w:rsidRDefault="00303D02" w:rsidP="00303D02">
            <w:pPr>
              <w:pStyle w:val="Compact"/>
            </w:pPr>
            <w:r>
              <w:t>MPT</w:t>
            </w:r>
          </w:p>
        </w:tc>
        <w:tc>
          <w:tcPr>
            <w:tcW w:w="0" w:type="auto"/>
          </w:tcPr>
          <w:p w14:paraId="73C278F8" w14:textId="77777777" w:rsidR="00303D02" w:rsidRDefault="00303D02" w:rsidP="00303D02">
            <w:pPr>
              <w:pStyle w:val="Compact"/>
            </w:pPr>
            <w:r>
              <w:t xml:space="preserve">— (regra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w:t>
            </w:r>
          </w:p>
        </w:tc>
        <w:tc>
          <w:tcPr>
            <w:tcW w:w="0" w:type="auto"/>
          </w:tcPr>
          <w:p w14:paraId="06A7C55F" w14:textId="77777777" w:rsidR="00303D02" w:rsidRDefault="00303D02" w:rsidP="00303D02">
            <w:pPr>
              <w:pStyle w:val="Compact"/>
            </w:pPr>
            <w:r>
              <w:t>Volatilidade individual</w:t>
            </w:r>
          </w:p>
        </w:tc>
        <w:tc>
          <w:tcPr>
            <w:tcW w:w="0" w:type="auto"/>
          </w:tcPr>
          <w:p w14:paraId="6D4B89FA" w14:textId="77777777" w:rsidR="00303D02" w:rsidRDefault="00303D02" w:rsidP="00303D02">
            <w:pPr>
              <w:pStyle w:val="Compact"/>
            </w:pPr>
            <w:r>
              <w:t>—</w:t>
            </w:r>
          </w:p>
        </w:tc>
      </w:tr>
      <w:tr w:rsidR="00303D02" w14:paraId="619569BE" w14:textId="77777777" w:rsidTr="00303D02">
        <w:trPr>
          <w:jc w:val="center"/>
        </w:trPr>
        <w:tc>
          <w:tcPr>
            <w:tcW w:w="0" w:type="auto"/>
          </w:tcPr>
          <w:p w14:paraId="431C3F8C" w14:textId="77777777" w:rsidR="00303D02" w:rsidRDefault="00303D02" w:rsidP="00303D02">
            <w:pPr>
              <w:pStyle w:val="Compact"/>
            </w:pPr>
            <w:r>
              <w:t>MinVar</w:t>
            </w:r>
          </w:p>
        </w:tc>
        <w:tc>
          <w:tcPr>
            <w:tcW w:w="0" w:type="auto"/>
          </w:tcPr>
          <w:p w14:paraId="2DBEC09E" w14:textId="77777777" w:rsidR="00303D02" w:rsidRDefault="00303D02" w:rsidP="00303D02">
            <w:pPr>
              <w:pStyle w:val="Compact"/>
            </w:pPr>
            <w:r>
              <w:t>MPT</w:t>
            </w:r>
          </w:p>
        </w:tc>
        <w:tc>
          <w:tcPr>
            <w:tcW w:w="0" w:type="auto"/>
          </w:tcPr>
          <w:p w14:paraId="09F03050" w14:textId="77777777" w:rsidR="00303D02" w:rsidRDefault="00303D02" w:rsidP="00303D02">
            <w:pPr>
              <w:pStyle w:val="Compact"/>
            </w:pPr>
            <w:r>
              <w:t>Min variância</w:t>
            </w:r>
          </w:p>
        </w:tc>
        <w:tc>
          <w:tcPr>
            <w:tcW w:w="0" w:type="auto"/>
          </w:tcPr>
          <w:p w14:paraId="5E7A2867"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0F6CF23B" w14:textId="77777777" w:rsidR="00303D02" w:rsidRDefault="00303D02" w:rsidP="00303D02">
            <w:pPr>
              <w:pStyle w:val="Compact"/>
            </w:pPr>
            <w:r>
              <w:t>Não</w:t>
            </w:r>
          </w:p>
        </w:tc>
      </w:tr>
      <w:tr w:rsidR="00303D02" w14:paraId="6861EC0F" w14:textId="77777777" w:rsidTr="00303D02">
        <w:trPr>
          <w:jc w:val="center"/>
        </w:trPr>
        <w:tc>
          <w:tcPr>
            <w:tcW w:w="0" w:type="auto"/>
          </w:tcPr>
          <w:p w14:paraId="3C069396" w14:textId="77777777" w:rsidR="00303D02" w:rsidRDefault="00303D02" w:rsidP="00303D02">
            <w:pPr>
              <w:pStyle w:val="Compact"/>
            </w:pPr>
            <w:r>
              <w:t>MinVar_c10</w:t>
            </w:r>
          </w:p>
        </w:tc>
        <w:tc>
          <w:tcPr>
            <w:tcW w:w="0" w:type="auto"/>
          </w:tcPr>
          <w:p w14:paraId="6358BB1B" w14:textId="77777777" w:rsidR="00303D02" w:rsidRDefault="00303D02" w:rsidP="00303D02">
            <w:pPr>
              <w:pStyle w:val="Compact"/>
            </w:pPr>
            <w:r>
              <w:t>MPT</w:t>
            </w:r>
          </w:p>
        </w:tc>
        <w:tc>
          <w:tcPr>
            <w:tcW w:w="0" w:type="auto"/>
          </w:tcPr>
          <w:p w14:paraId="5E0EDDF0" w14:textId="77777777" w:rsidR="00303D02" w:rsidRDefault="00303D02" w:rsidP="00303D02">
            <w:pPr>
              <w:pStyle w:val="Compact"/>
            </w:pPr>
            <w:r>
              <w:t>Min variância</w:t>
            </w:r>
          </w:p>
        </w:tc>
        <w:tc>
          <w:tcPr>
            <w:tcW w:w="0" w:type="auto"/>
          </w:tcPr>
          <w:p w14:paraId="7B6525F0" w14:textId="77777777" w:rsidR="00303D02" w:rsidRDefault="00000000" w:rsidP="00303D02">
            <w:pPr>
              <w:pStyle w:val="Compact"/>
            </w:pPr>
            <m:oMathPara>
              <m:oMath>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Σw</m:t>
                </m:r>
              </m:oMath>
            </m:oMathPara>
          </w:p>
        </w:tc>
        <w:tc>
          <w:tcPr>
            <w:tcW w:w="0" w:type="auto"/>
          </w:tcPr>
          <w:p w14:paraId="726D5BA6" w14:textId="77777777" w:rsidR="00303D02" w:rsidRDefault="00303D02" w:rsidP="00303D02">
            <w:pPr>
              <w:pStyle w:val="Compact"/>
            </w:pPr>
            <w:r>
              <w:t>10%</w:t>
            </w:r>
          </w:p>
        </w:tc>
      </w:tr>
      <w:tr w:rsidR="00303D02" w14:paraId="2132C7D2" w14:textId="77777777" w:rsidTr="00303D02">
        <w:trPr>
          <w:jc w:val="center"/>
        </w:trPr>
        <w:tc>
          <w:tcPr>
            <w:tcW w:w="0" w:type="auto"/>
          </w:tcPr>
          <w:p w14:paraId="0FA9E5ED" w14:textId="77777777" w:rsidR="00303D02" w:rsidRDefault="00303D02" w:rsidP="00303D02">
            <w:pPr>
              <w:pStyle w:val="Compact"/>
            </w:pPr>
            <w:r>
              <w:t>MaxSharpe</w:t>
            </w:r>
          </w:p>
        </w:tc>
        <w:tc>
          <w:tcPr>
            <w:tcW w:w="0" w:type="auto"/>
          </w:tcPr>
          <w:p w14:paraId="03E66CD9" w14:textId="77777777" w:rsidR="00303D02" w:rsidRDefault="00303D02" w:rsidP="00303D02">
            <w:pPr>
              <w:pStyle w:val="Compact"/>
            </w:pPr>
            <w:r>
              <w:t>MPT</w:t>
            </w:r>
          </w:p>
        </w:tc>
        <w:tc>
          <w:tcPr>
            <w:tcW w:w="0" w:type="auto"/>
          </w:tcPr>
          <w:p w14:paraId="39EA79B4"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734BC30F" w14:textId="77777777" w:rsidR="00303D02" w:rsidRDefault="00303D02" w:rsidP="00303D02">
            <w:pPr>
              <w:pStyle w:val="Compact"/>
            </w:pPr>
            <w:r>
              <w:t>Variância</w:t>
            </w:r>
          </w:p>
        </w:tc>
        <w:tc>
          <w:tcPr>
            <w:tcW w:w="0" w:type="auto"/>
          </w:tcPr>
          <w:p w14:paraId="3C86FA08" w14:textId="77777777" w:rsidR="00303D02" w:rsidRDefault="00303D02" w:rsidP="00303D02">
            <w:pPr>
              <w:pStyle w:val="Compact"/>
            </w:pPr>
            <w:r>
              <w:t>Não</w:t>
            </w:r>
          </w:p>
        </w:tc>
      </w:tr>
      <w:tr w:rsidR="00303D02" w14:paraId="0D3349A3" w14:textId="77777777" w:rsidTr="00303D02">
        <w:trPr>
          <w:jc w:val="center"/>
        </w:trPr>
        <w:tc>
          <w:tcPr>
            <w:tcW w:w="0" w:type="auto"/>
          </w:tcPr>
          <w:p w14:paraId="34287EA2" w14:textId="77777777" w:rsidR="00303D02" w:rsidRDefault="00303D02" w:rsidP="00303D02">
            <w:pPr>
              <w:pStyle w:val="Compact"/>
            </w:pPr>
            <w:r>
              <w:t>MaxSharpe_c10</w:t>
            </w:r>
          </w:p>
        </w:tc>
        <w:tc>
          <w:tcPr>
            <w:tcW w:w="0" w:type="auto"/>
          </w:tcPr>
          <w:p w14:paraId="108EE14D" w14:textId="77777777" w:rsidR="00303D02" w:rsidRDefault="00303D02" w:rsidP="00303D02">
            <w:pPr>
              <w:pStyle w:val="Compact"/>
            </w:pPr>
            <w:r>
              <w:t>MPT</w:t>
            </w:r>
          </w:p>
        </w:tc>
        <w:tc>
          <w:tcPr>
            <w:tcW w:w="0" w:type="auto"/>
          </w:tcPr>
          <w:p w14:paraId="5465EF48" w14:textId="77777777" w:rsidR="00303D02" w:rsidRDefault="00303D02" w:rsidP="00303D02">
            <w:pPr>
              <w:pStyle w:val="Compact"/>
            </w:pPr>
            <w:r>
              <w:t>Máx utilidade MV (</w:t>
            </w:r>
            <m:oMath>
              <m:r>
                <w:rPr>
                  <w:rFonts w:ascii="Cambria Math" w:hAnsi="Cambria Math"/>
                </w:rPr>
                <m:t>λ</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w:t>
            </w:r>
          </w:p>
        </w:tc>
        <w:tc>
          <w:tcPr>
            <w:tcW w:w="0" w:type="auto"/>
          </w:tcPr>
          <w:p w14:paraId="659992B7" w14:textId="77777777" w:rsidR="00303D02" w:rsidRDefault="00303D02" w:rsidP="00303D02">
            <w:pPr>
              <w:pStyle w:val="Compact"/>
            </w:pPr>
            <w:r>
              <w:t>Variância</w:t>
            </w:r>
          </w:p>
        </w:tc>
        <w:tc>
          <w:tcPr>
            <w:tcW w:w="0" w:type="auto"/>
          </w:tcPr>
          <w:p w14:paraId="4F9E7675" w14:textId="77777777" w:rsidR="00303D02" w:rsidRDefault="00303D02" w:rsidP="00303D02">
            <w:pPr>
              <w:pStyle w:val="Compact"/>
            </w:pPr>
            <w:r>
              <w:t>10%</w:t>
            </w:r>
          </w:p>
        </w:tc>
      </w:tr>
      <w:tr w:rsidR="00303D02" w14:paraId="45E0E3FE" w14:textId="77777777" w:rsidTr="00303D02">
        <w:trPr>
          <w:jc w:val="center"/>
        </w:trPr>
        <w:tc>
          <w:tcPr>
            <w:tcW w:w="0" w:type="auto"/>
          </w:tcPr>
          <w:p w14:paraId="039CB19C" w14:textId="77777777" w:rsidR="00303D02" w:rsidRDefault="00303D02" w:rsidP="00303D02">
            <w:pPr>
              <w:pStyle w:val="Compact"/>
            </w:pPr>
            <w:r>
              <w:t>MaxOmega</w:t>
            </w:r>
          </w:p>
        </w:tc>
        <w:tc>
          <w:tcPr>
            <w:tcW w:w="0" w:type="auto"/>
          </w:tcPr>
          <w:p w14:paraId="2D565469" w14:textId="77777777" w:rsidR="00303D02" w:rsidRDefault="00303D02" w:rsidP="00303D02">
            <w:pPr>
              <w:pStyle w:val="Compact"/>
            </w:pPr>
            <w:r>
              <w:t>PMPT</w:t>
            </w:r>
          </w:p>
        </w:tc>
        <w:tc>
          <w:tcPr>
            <w:tcW w:w="0" w:type="auto"/>
          </w:tcPr>
          <w:p w14:paraId="63F11676" w14:textId="77777777" w:rsidR="00303D02" w:rsidRDefault="00303D02" w:rsidP="00303D02">
            <w:pPr>
              <w:pStyle w:val="Compact"/>
            </w:pPr>
            <w:r>
              <w:t xml:space="preserve">Máx </w:t>
            </w:r>
            <m:oMath>
              <m:r>
                <w:rPr>
                  <w:rFonts w:ascii="Cambria Math" w:hAnsi="Cambria Math"/>
                </w:rPr>
                <m:t>Ω</m:t>
              </m:r>
              <m:d>
                <m:dPr>
                  <m:ctrlPr>
                    <w:rPr>
                      <w:rFonts w:ascii="Cambria Math" w:hAnsi="Cambria Math"/>
                    </w:rPr>
                  </m:ctrlPr>
                </m:dPr>
                <m:e>
                  <m:r>
                    <w:rPr>
                      <w:rFonts w:ascii="Cambria Math" w:hAnsi="Cambria Math"/>
                    </w:rPr>
                    <m:t>τ</m:t>
                  </m:r>
                </m:e>
              </m:d>
            </m:oMath>
          </w:p>
        </w:tc>
        <w:tc>
          <w:tcPr>
            <w:tcW w:w="0" w:type="auto"/>
          </w:tcPr>
          <w:p w14:paraId="32F7904C"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1</m:t>
                    </m:r>
                  </m:sub>
                </m:sSub>
              </m:oMath>
            </m:oMathPara>
          </w:p>
        </w:tc>
        <w:tc>
          <w:tcPr>
            <w:tcW w:w="0" w:type="auto"/>
          </w:tcPr>
          <w:p w14:paraId="5E678EDF" w14:textId="77777777" w:rsidR="00303D02" w:rsidRDefault="00303D02" w:rsidP="00303D02">
            <w:pPr>
              <w:pStyle w:val="Compact"/>
            </w:pPr>
            <w:r>
              <w:t>Não</w:t>
            </w:r>
          </w:p>
        </w:tc>
      </w:tr>
      <w:tr w:rsidR="00303D02" w14:paraId="43BF1A61" w14:textId="77777777" w:rsidTr="00303D02">
        <w:trPr>
          <w:jc w:val="center"/>
        </w:trPr>
        <w:tc>
          <w:tcPr>
            <w:tcW w:w="0" w:type="auto"/>
          </w:tcPr>
          <w:p w14:paraId="5F975F16" w14:textId="77777777" w:rsidR="00303D02" w:rsidRDefault="00303D02" w:rsidP="00303D02">
            <w:pPr>
              <w:pStyle w:val="Compact"/>
            </w:pPr>
            <w:r>
              <w:t>MaxSortino</w:t>
            </w:r>
          </w:p>
        </w:tc>
        <w:tc>
          <w:tcPr>
            <w:tcW w:w="0" w:type="auto"/>
          </w:tcPr>
          <w:p w14:paraId="4D27CAB3" w14:textId="77777777" w:rsidR="00303D02" w:rsidRDefault="00303D02" w:rsidP="00303D02">
            <w:pPr>
              <w:pStyle w:val="Compact"/>
            </w:pPr>
            <w:r>
              <w:t>PMPT</w:t>
            </w:r>
          </w:p>
        </w:tc>
        <w:tc>
          <w:tcPr>
            <w:tcW w:w="0" w:type="auto"/>
          </w:tcPr>
          <w:p w14:paraId="0A980A99" w14:textId="77777777" w:rsidR="00303D02" w:rsidRDefault="00303D02" w:rsidP="00303D02">
            <w:pPr>
              <w:pStyle w:val="Compact"/>
            </w:pPr>
            <w:r>
              <w:t>Máx Sortino</w:t>
            </w:r>
          </w:p>
        </w:tc>
        <w:tc>
          <w:tcPr>
            <w:tcW w:w="0" w:type="auto"/>
          </w:tcPr>
          <w:p w14:paraId="05DB53B2"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2</m:t>
                    </m:r>
                  </m:sub>
                </m:sSub>
              </m:oMath>
            </m:oMathPara>
          </w:p>
        </w:tc>
        <w:tc>
          <w:tcPr>
            <w:tcW w:w="0" w:type="auto"/>
          </w:tcPr>
          <w:p w14:paraId="4A268B69" w14:textId="77777777" w:rsidR="00303D02" w:rsidRDefault="00303D02" w:rsidP="00303D02">
            <w:pPr>
              <w:pStyle w:val="Compact"/>
            </w:pPr>
            <w:r>
              <w:t>Não</w:t>
            </w:r>
          </w:p>
        </w:tc>
      </w:tr>
      <w:tr w:rsidR="00303D02" w14:paraId="5F4DBFEB" w14:textId="77777777" w:rsidTr="00303D02">
        <w:trPr>
          <w:jc w:val="center"/>
        </w:trPr>
        <w:tc>
          <w:tcPr>
            <w:tcW w:w="0" w:type="auto"/>
          </w:tcPr>
          <w:p w14:paraId="1563CFE9" w14:textId="77777777" w:rsidR="00303D02" w:rsidRDefault="00303D02" w:rsidP="00303D02">
            <w:pPr>
              <w:pStyle w:val="Compact"/>
            </w:pPr>
            <w:r>
              <w:t>MaxKappa3</w:t>
            </w:r>
          </w:p>
        </w:tc>
        <w:tc>
          <w:tcPr>
            <w:tcW w:w="0" w:type="auto"/>
          </w:tcPr>
          <w:p w14:paraId="312BDADD" w14:textId="77777777" w:rsidR="00303D02" w:rsidRDefault="00303D02" w:rsidP="00303D02">
            <w:pPr>
              <w:pStyle w:val="Compact"/>
            </w:pPr>
            <w:r>
              <w:t>PMPT</w:t>
            </w:r>
          </w:p>
        </w:tc>
        <w:tc>
          <w:tcPr>
            <w:tcW w:w="0" w:type="auto"/>
          </w:tcPr>
          <w:p w14:paraId="7A78131E" w14:textId="77777777" w:rsidR="00303D02" w:rsidRDefault="00303D02" w:rsidP="00303D02">
            <w:pPr>
              <w:pStyle w:val="Compact"/>
            </w:pPr>
            <w:r>
              <w:t xml:space="preserve">Máx </w:t>
            </w:r>
            <m:oMath>
              <m:sSub>
                <m:sSubPr>
                  <m:ctrlPr>
                    <w:rPr>
                      <w:rFonts w:ascii="Cambria Math" w:hAnsi="Cambria Math"/>
                    </w:rPr>
                  </m:ctrlPr>
                </m:sSubPr>
                <m:e>
                  <m:r>
                    <w:rPr>
                      <w:rFonts w:ascii="Cambria Math" w:hAnsi="Cambria Math"/>
                    </w:rPr>
                    <m:t>κ</m:t>
                  </m:r>
                </m:e>
                <m:sub>
                  <m:r>
                    <w:rPr>
                      <w:rFonts w:ascii="Cambria Math" w:hAnsi="Cambria Math"/>
                    </w:rPr>
                    <m:t>3</m:t>
                  </m:r>
                </m:sub>
              </m:sSub>
              <m:d>
                <m:dPr>
                  <m:ctrlPr>
                    <w:rPr>
                      <w:rFonts w:ascii="Cambria Math" w:hAnsi="Cambria Math"/>
                    </w:rPr>
                  </m:ctrlPr>
                </m:dPr>
                <m:e>
                  <m:r>
                    <w:rPr>
                      <w:rFonts w:ascii="Cambria Math" w:hAnsi="Cambria Math"/>
                    </w:rPr>
                    <m:t>τ</m:t>
                  </m:r>
                </m:e>
              </m:d>
            </m:oMath>
          </w:p>
        </w:tc>
        <w:tc>
          <w:tcPr>
            <w:tcW w:w="0" w:type="auto"/>
          </w:tcPr>
          <w:p w14:paraId="6B8266FF" w14:textId="77777777" w:rsidR="00303D02" w:rsidRDefault="00000000" w:rsidP="00303D02">
            <w:pPr>
              <w:pStyle w:val="Compact"/>
            </w:pPr>
            <m:oMathPara>
              <m:oMath>
                <m:sSub>
                  <m:sSubPr>
                    <m:ctrlPr>
                      <w:rPr>
                        <w:rFonts w:ascii="Cambria Math" w:hAnsi="Cambria Math"/>
                      </w:rPr>
                    </m:ctrlPr>
                  </m:sSubPr>
                  <m:e>
                    <m:r>
                      <m:rPr>
                        <m:sty m:val="p"/>
                      </m:rPr>
                      <w:rPr>
                        <w:rFonts w:ascii="Cambria Math" w:hAnsi="Cambria Math"/>
                      </w:rPr>
                      <m:t>LPM</m:t>
                    </m:r>
                  </m:e>
                  <m:sub>
                    <m:r>
                      <w:rPr>
                        <w:rFonts w:ascii="Cambria Math" w:hAnsi="Cambria Math"/>
                      </w:rPr>
                      <m:t>3</m:t>
                    </m:r>
                  </m:sub>
                </m:sSub>
              </m:oMath>
            </m:oMathPara>
          </w:p>
        </w:tc>
        <w:tc>
          <w:tcPr>
            <w:tcW w:w="0" w:type="auto"/>
          </w:tcPr>
          <w:p w14:paraId="04B643A5" w14:textId="77777777" w:rsidR="00303D02" w:rsidRDefault="00303D02" w:rsidP="00303D02">
            <w:pPr>
              <w:pStyle w:val="Compact"/>
            </w:pPr>
            <w:r>
              <w:t>Não</w:t>
            </w:r>
          </w:p>
        </w:tc>
      </w:tr>
      <w:tr w:rsidR="00303D02" w14:paraId="20BC1D94" w14:textId="77777777" w:rsidTr="00303D02">
        <w:trPr>
          <w:jc w:val="center"/>
        </w:trPr>
        <w:tc>
          <w:tcPr>
            <w:tcW w:w="0" w:type="auto"/>
          </w:tcPr>
          <w:p w14:paraId="44C8964D" w14:textId="77777777" w:rsidR="00303D02" w:rsidRDefault="00303D02" w:rsidP="00303D02">
            <w:pPr>
              <w:pStyle w:val="Compact"/>
            </w:pPr>
            <w:r>
              <w:t>MinCVaR</w:t>
            </w:r>
          </w:p>
        </w:tc>
        <w:tc>
          <w:tcPr>
            <w:tcW w:w="0" w:type="auto"/>
          </w:tcPr>
          <w:p w14:paraId="5E3AF272" w14:textId="77777777" w:rsidR="00303D02" w:rsidRDefault="00303D02" w:rsidP="00303D02">
            <w:pPr>
              <w:pStyle w:val="Compact"/>
            </w:pPr>
            <w:r>
              <w:t>PMPT</w:t>
            </w:r>
          </w:p>
        </w:tc>
        <w:tc>
          <w:tcPr>
            <w:tcW w:w="0" w:type="auto"/>
          </w:tcPr>
          <w:p w14:paraId="1673DD87" w14:textId="77777777" w:rsidR="00303D02" w:rsidRDefault="00303D02" w:rsidP="00303D02">
            <w:pPr>
              <w:pStyle w:val="Compact"/>
            </w:pPr>
            <w:r>
              <w:t>Min CVaR (95%)</w:t>
            </w:r>
          </w:p>
        </w:tc>
        <w:tc>
          <w:tcPr>
            <w:tcW w:w="0" w:type="auto"/>
          </w:tcPr>
          <w:p w14:paraId="76063CE9" w14:textId="77777777" w:rsidR="00303D02" w:rsidRDefault="00303D02" w:rsidP="00303D02">
            <w:pPr>
              <w:pStyle w:val="Compact"/>
            </w:pPr>
            <w:r>
              <w:t>Cauda de retornos</w:t>
            </w:r>
          </w:p>
        </w:tc>
        <w:tc>
          <w:tcPr>
            <w:tcW w:w="0" w:type="auto"/>
          </w:tcPr>
          <w:p w14:paraId="685BB1AD" w14:textId="77777777" w:rsidR="00303D02" w:rsidRDefault="00303D02" w:rsidP="00303D02">
            <w:pPr>
              <w:pStyle w:val="Compact"/>
            </w:pPr>
            <w:r>
              <w:t>Não</w:t>
            </w:r>
          </w:p>
        </w:tc>
      </w:tr>
      <w:tr w:rsidR="00303D02" w14:paraId="229F5907" w14:textId="77777777" w:rsidTr="00303D02">
        <w:trPr>
          <w:jc w:val="center"/>
        </w:trPr>
        <w:tc>
          <w:tcPr>
            <w:tcW w:w="0" w:type="auto"/>
          </w:tcPr>
          <w:p w14:paraId="6BC78789" w14:textId="77777777" w:rsidR="00303D02" w:rsidRDefault="00303D02" w:rsidP="00303D02">
            <w:pPr>
              <w:pStyle w:val="Compact"/>
            </w:pPr>
            <w:r>
              <w:t>MinCDaR</w:t>
            </w:r>
          </w:p>
        </w:tc>
        <w:tc>
          <w:tcPr>
            <w:tcW w:w="0" w:type="auto"/>
          </w:tcPr>
          <w:p w14:paraId="60A78BA1" w14:textId="77777777" w:rsidR="00303D02" w:rsidRDefault="00303D02" w:rsidP="00303D02">
            <w:pPr>
              <w:pStyle w:val="Compact"/>
            </w:pPr>
            <w:r>
              <w:t>PMPT</w:t>
            </w:r>
          </w:p>
        </w:tc>
        <w:tc>
          <w:tcPr>
            <w:tcW w:w="0" w:type="auto"/>
          </w:tcPr>
          <w:p w14:paraId="16A478E1" w14:textId="77777777" w:rsidR="00303D02" w:rsidRDefault="00303D02" w:rsidP="00303D02">
            <w:pPr>
              <w:pStyle w:val="Compact"/>
            </w:pPr>
            <w:r>
              <w:t>Min CDaR (95%)</w:t>
            </w:r>
          </w:p>
        </w:tc>
        <w:tc>
          <w:tcPr>
            <w:tcW w:w="0" w:type="auto"/>
          </w:tcPr>
          <w:p w14:paraId="3EBE1DF7" w14:textId="77777777" w:rsidR="00303D02" w:rsidRDefault="00303D02" w:rsidP="00303D02">
            <w:pPr>
              <w:pStyle w:val="Compact"/>
            </w:pPr>
            <w:r>
              <w:t>Cauda de drawdowns</w:t>
            </w:r>
          </w:p>
        </w:tc>
        <w:tc>
          <w:tcPr>
            <w:tcW w:w="0" w:type="auto"/>
          </w:tcPr>
          <w:p w14:paraId="1E90587C" w14:textId="77777777" w:rsidR="00303D02" w:rsidRDefault="00303D02" w:rsidP="00303D02">
            <w:pPr>
              <w:pStyle w:val="Compact"/>
            </w:pPr>
            <w:r>
              <w:t>Não</w:t>
            </w:r>
          </w:p>
        </w:tc>
      </w:tr>
      <w:tr w:rsidR="00303D02" w14:paraId="76ECA7D6" w14:textId="77777777" w:rsidTr="00303D02">
        <w:trPr>
          <w:jc w:val="center"/>
        </w:trPr>
        <w:tc>
          <w:tcPr>
            <w:tcW w:w="0" w:type="auto"/>
          </w:tcPr>
          <w:p w14:paraId="56271C10" w14:textId="77777777" w:rsidR="00303D02" w:rsidRDefault="00303D02" w:rsidP="00303D02">
            <w:pPr>
              <w:pStyle w:val="Compact"/>
            </w:pPr>
            <w:r>
              <w:t>BL_classico</w:t>
            </w:r>
          </w:p>
        </w:tc>
        <w:tc>
          <w:tcPr>
            <w:tcW w:w="0" w:type="auto"/>
          </w:tcPr>
          <w:p w14:paraId="356C6655" w14:textId="77777777" w:rsidR="00303D02" w:rsidRDefault="00303D02" w:rsidP="00303D02">
            <w:pPr>
              <w:pStyle w:val="Compact"/>
            </w:pPr>
            <w:r>
              <w:t>BL</w:t>
            </w:r>
          </w:p>
        </w:tc>
        <w:tc>
          <w:tcPr>
            <w:tcW w:w="0" w:type="auto"/>
          </w:tcPr>
          <w:p w14:paraId="1A9EA086"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280FFC2" w14:textId="77777777" w:rsidR="00303D02" w:rsidRDefault="00303D02" w:rsidP="00303D02">
            <w:pPr>
              <w:pStyle w:val="Compact"/>
            </w:pPr>
            <w:r>
              <w:t>Variância</w:t>
            </w:r>
          </w:p>
        </w:tc>
        <w:tc>
          <w:tcPr>
            <w:tcW w:w="0" w:type="auto"/>
          </w:tcPr>
          <w:p w14:paraId="39E08F77" w14:textId="77777777" w:rsidR="00303D02" w:rsidRDefault="00303D02" w:rsidP="00303D02">
            <w:pPr>
              <w:pStyle w:val="Compact"/>
            </w:pPr>
            <w:r>
              <w:t>Não</w:t>
            </w:r>
          </w:p>
        </w:tc>
      </w:tr>
      <w:tr w:rsidR="00303D02" w14:paraId="27282F36" w14:textId="77777777" w:rsidTr="00303D02">
        <w:trPr>
          <w:jc w:val="center"/>
        </w:trPr>
        <w:tc>
          <w:tcPr>
            <w:tcW w:w="0" w:type="auto"/>
          </w:tcPr>
          <w:p w14:paraId="6FEFB440" w14:textId="77777777" w:rsidR="00303D02" w:rsidRDefault="00303D02" w:rsidP="00303D02">
            <w:pPr>
              <w:pStyle w:val="Compact"/>
            </w:pPr>
            <w:r>
              <w:t>BL_classico_c10</w:t>
            </w:r>
          </w:p>
        </w:tc>
        <w:tc>
          <w:tcPr>
            <w:tcW w:w="0" w:type="auto"/>
          </w:tcPr>
          <w:p w14:paraId="59E2F0A9" w14:textId="77777777" w:rsidR="00303D02" w:rsidRDefault="00303D02" w:rsidP="00303D02">
            <w:pPr>
              <w:pStyle w:val="Compact"/>
            </w:pPr>
            <w:r>
              <w:t>BL</w:t>
            </w:r>
          </w:p>
        </w:tc>
        <w:tc>
          <w:tcPr>
            <w:tcW w:w="0" w:type="auto"/>
          </w:tcPr>
          <w:p w14:paraId="72377582"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54A3EE91" w14:textId="77777777" w:rsidR="00303D02" w:rsidRDefault="00303D02" w:rsidP="00303D02">
            <w:pPr>
              <w:pStyle w:val="Compact"/>
            </w:pPr>
            <w:r>
              <w:t>Variância</w:t>
            </w:r>
          </w:p>
        </w:tc>
        <w:tc>
          <w:tcPr>
            <w:tcW w:w="0" w:type="auto"/>
          </w:tcPr>
          <w:p w14:paraId="300411B6" w14:textId="77777777" w:rsidR="00303D02" w:rsidRDefault="00303D02" w:rsidP="00303D02">
            <w:pPr>
              <w:pStyle w:val="Compact"/>
            </w:pPr>
            <w:r>
              <w:t>10%</w:t>
            </w:r>
          </w:p>
        </w:tc>
      </w:tr>
      <w:tr w:rsidR="00303D02" w14:paraId="15649EDB" w14:textId="77777777" w:rsidTr="00303D02">
        <w:trPr>
          <w:jc w:val="center"/>
        </w:trPr>
        <w:tc>
          <w:tcPr>
            <w:tcW w:w="0" w:type="auto"/>
          </w:tcPr>
          <w:p w14:paraId="4BA7F805" w14:textId="77777777" w:rsidR="00303D02" w:rsidRDefault="00303D02" w:rsidP="00303D02">
            <w:pPr>
              <w:pStyle w:val="Compact"/>
            </w:pPr>
            <w:r>
              <w:t>BL_downside</w:t>
            </w:r>
          </w:p>
        </w:tc>
        <w:tc>
          <w:tcPr>
            <w:tcW w:w="0" w:type="auto"/>
          </w:tcPr>
          <w:p w14:paraId="05E2A3A6" w14:textId="77777777" w:rsidR="00303D02" w:rsidRDefault="00303D02" w:rsidP="00303D02">
            <w:pPr>
              <w:pStyle w:val="Compact"/>
            </w:pPr>
            <w:r>
              <w:t>BL</w:t>
            </w:r>
          </w:p>
        </w:tc>
        <w:tc>
          <w:tcPr>
            <w:tcW w:w="0" w:type="auto"/>
          </w:tcPr>
          <w:p w14:paraId="62ACC3E3"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18E3B83B" w14:textId="77777777" w:rsidR="00303D02" w:rsidRDefault="00303D02" w:rsidP="00303D02">
            <w:pPr>
              <w:pStyle w:val="Compact"/>
            </w:pPr>
            <w:r>
              <w:t>Semicovariância</w:t>
            </w:r>
          </w:p>
        </w:tc>
        <w:tc>
          <w:tcPr>
            <w:tcW w:w="0" w:type="auto"/>
          </w:tcPr>
          <w:p w14:paraId="731F5DF6" w14:textId="77777777" w:rsidR="00303D02" w:rsidRDefault="00303D02" w:rsidP="00303D02">
            <w:pPr>
              <w:pStyle w:val="Compact"/>
            </w:pPr>
            <w:r>
              <w:t>Não</w:t>
            </w:r>
          </w:p>
        </w:tc>
      </w:tr>
      <w:tr w:rsidR="00303D02" w14:paraId="667E9C98" w14:textId="77777777" w:rsidTr="00303D02">
        <w:trPr>
          <w:jc w:val="center"/>
        </w:trPr>
        <w:tc>
          <w:tcPr>
            <w:tcW w:w="0" w:type="auto"/>
          </w:tcPr>
          <w:p w14:paraId="502EEE08" w14:textId="77777777" w:rsidR="00303D02" w:rsidRDefault="00303D02" w:rsidP="00303D02">
            <w:pPr>
              <w:pStyle w:val="Compact"/>
            </w:pPr>
            <w:r>
              <w:t>BL_downside_c10</w:t>
            </w:r>
          </w:p>
        </w:tc>
        <w:tc>
          <w:tcPr>
            <w:tcW w:w="0" w:type="auto"/>
          </w:tcPr>
          <w:p w14:paraId="336E84C5" w14:textId="77777777" w:rsidR="00303D02" w:rsidRDefault="00303D02" w:rsidP="00303D02">
            <w:pPr>
              <w:pStyle w:val="Compact"/>
            </w:pPr>
            <w:r>
              <w:t>BL</w:t>
            </w:r>
          </w:p>
        </w:tc>
        <w:tc>
          <w:tcPr>
            <w:tcW w:w="0" w:type="auto"/>
          </w:tcPr>
          <w:p w14:paraId="31E84791" w14:textId="77777777" w:rsidR="00303D02" w:rsidRPr="009C7B5F" w:rsidRDefault="00303D02" w:rsidP="00303D02">
            <w:pPr>
              <w:pStyle w:val="Compact"/>
              <w:rPr>
                <w:lang w:val="pt-BR"/>
              </w:rPr>
            </w:pPr>
            <w:r>
              <w:rPr>
                <w:lang w:val="pt-BR"/>
              </w:rPr>
              <w:t xml:space="preserve">Máx utilidade MV sobre </w:t>
            </w:r>
            <m:oMath>
              <m:sSub>
                <m:sSubPr>
                  <m:ctrlPr>
                    <w:rPr>
                      <w:rFonts w:ascii="Cambria Math" w:hAnsi="Cambria Math"/>
                    </w:rPr>
                  </m:ctrlPr>
                </m:sSubPr>
                <m:e>
                  <m:r>
                    <m:rPr>
                      <m:sty m:val="b"/>
                    </m:rPr>
                    <w:rPr>
                      <w:rFonts w:ascii="Cambria Math" w:hAnsi="Cambria Math"/>
                    </w:rPr>
                    <m:t>μ</m:t>
                  </m:r>
                </m:e>
                <m:sub>
                  <m:r>
                    <m:rPr>
                      <m:sty m:val="p"/>
                    </m:rPr>
                    <w:rPr>
                      <w:rFonts w:ascii="Cambria Math" w:hAnsi="Cambria Math"/>
                      <w:lang w:val="pt-BR"/>
                    </w:rPr>
                    <m:t>BL</m:t>
                  </m:r>
                </m:sub>
              </m:sSub>
            </m:oMath>
          </w:p>
        </w:tc>
        <w:tc>
          <w:tcPr>
            <w:tcW w:w="0" w:type="auto"/>
          </w:tcPr>
          <w:p w14:paraId="370E62E3" w14:textId="77777777" w:rsidR="00303D02" w:rsidRDefault="00303D02" w:rsidP="00303D02">
            <w:pPr>
              <w:pStyle w:val="Compact"/>
            </w:pPr>
            <w:r>
              <w:t>Semicovariância</w:t>
            </w:r>
          </w:p>
        </w:tc>
        <w:tc>
          <w:tcPr>
            <w:tcW w:w="0" w:type="auto"/>
          </w:tcPr>
          <w:p w14:paraId="3DF476CE" w14:textId="77777777" w:rsidR="00303D02" w:rsidRDefault="00303D02" w:rsidP="00303D02">
            <w:pPr>
              <w:pStyle w:val="Compact"/>
            </w:pPr>
            <w:r>
              <w:t>10%</w:t>
            </w:r>
          </w:p>
        </w:tc>
      </w:tr>
    </w:tbl>
    <w:p w14:paraId="224A524E" w14:textId="77777777" w:rsidR="00303D02" w:rsidRPr="00303D02" w:rsidRDefault="00303D02" w:rsidP="00303D02">
      <w:pPr>
        <w:pStyle w:val="Corpodetexto"/>
        <w:jc w:val="center"/>
        <w:rPr>
          <w:sz w:val="18"/>
        </w:rPr>
      </w:pPr>
      <w:r>
        <w:rPr>
          <w:sz w:val="20"/>
        </w:rPr>
        <w:t>Fonte: elaboração própria.</w:t>
      </w:r>
    </w:p>
    <w:p w14:paraId="18444112" w14:textId="77777777" w:rsidR="00303D02" w:rsidRDefault="00303D02" w:rsidP="00303D02">
      <w:pPr>
        <w:pStyle w:val="Corpodetexto"/>
        <w:rPr>
          <w:lang w:val="pt-BR"/>
        </w:rPr>
      </w:pPr>
    </w:p>
    <w:bookmarkEnd w:id="121"/>
    <w:p w14:paraId="272EB431" w14:textId="77777777" w:rsidR="00E61085" w:rsidRDefault="00E61085" w:rsidP="00E61085">
      <w:pPr>
        <w:pStyle w:val="Corpodetexto"/>
        <w:spacing w:line="360" w:lineRule="auto"/>
        <w:ind w:firstLine="851"/>
        <w:jc w:val="both"/>
      </w:pPr>
      <w:r>
        <w:t xml:space="preserve">Três limitações de implementação são declaradas para preservar a integridade metodológica do estudo. Primeiro, o coeficiente de aversão ao risco </w:t>
      </w:r>
      <m:oMath>
        <m:r>
          <w:rPr>
            <w:rFonts w:ascii="Cambria Math" w:hAnsi="Cambria Math"/>
          </w:rPr>
          <m:t>δ</m:t>
        </m:r>
      </m:oMath>
      <w:r>
        <w:t xml:space="preserve"> do modelo Black-Litterman, quando estimado por otimização reversa sobre a amostra completa, resultou em valor negativo — economicamente inválido por implicar propensão ao risco —, em razão de subperíodos com prêmio de risco do IBOVESPA negativo; adotou-se o valor convencional </w:t>
      </w:r>
      <m:oMath>
        <m:r>
          <w:rPr>
            <w:rFonts w:ascii="Cambria Math" w:hAnsi="Cambria Math"/>
          </w:rPr>
          <m:t>δ</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de He e Litterman (1999), cuja adequação ao mercado brasileiro permanece uma hipótese a ser testada. Segundo, na ausência de dados de capitalização de mercado para a totalidade do painel, adotou-se a carteira equiponderada (1/N) como portfólio de referência do prior, em lugar da carteira de mercado por capitalização preconizada pela formulação canônica do CAPM reverso; embora essa escolha atenue a interpretação estrita de retornos de equilíbrio, ela tem a vantagem metodológica de </w:t>
        <w:lastRenderedPageBreak/>
        <w:t xml:space="preserve">eliminar o viés de antecipação que o uso de capitalizações de mercado correntes introduziria no prior. Terceiro, o custo transacional é modelado como uma taxa proporcional fixa de </w:t>
      </w:r>
      <m:oMath>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sobre o giro, não capturando </w:t>
      </w:r>
      <w:r>
        <w:rPr>
          <w:i/>
          <w:iCs/>
        </w:rPr>
        <w:t>spreads</w:t>
      </w:r>
      <w:r>
        <w:t xml:space="preserve"> de compra e venda específicos por ativo, por indisponibilidade de dados de microestrutura.</w:t>
      </w:r>
    </w:p>
    <w:p w14:paraId="27E49B58" w14:textId="0111E945" w:rsidR="00780A74" w:rsidRPr="00853490" w:rsidRDefault="00D75844" w:rsidP="00853490">
      <w:pPr>
        <w:pStyle w:val="Corpodetexto"/>
        <w:tabs>
          <w:tab w:val="left" w:pos="993"/>
        </w:tabs>
        <w:spacing w:line="360" w:lineRule="auto"/>
        <w:ind w:firstLine="851"/>
        <w:jc w:val="both"/>
      </w:pPr>
      <w:r>
        <w:br w:type="page"/>
      </w:r>
    </w:p>
    <w:p w14:paraId="47B42402" w14:textId="3F2522D1" w:rsidR="00853490" w:rsidRPr="00853490" w:rsidRDefault="00853490" w:rsidP="00853490">
      <w:pPr>
        <w:pStyle w:val="Ttulo1"/>
        <w:numPr>
          <w:ilvl w:val="0"/>
          <w:numId w:val="1"/>
        </w:numPr>
        <w:tabs>
          <w:tab w:val="left" w:pos="480"/>
        </w:tabs>
        <w:spacing w:line="360" w:lineRule="auto"/>
        <w:jc w:val="both"/>
        <w:rPr>
          <w:b w:val="0"/>
        </w:rPr>
      </w:pPr>
      <w:r>
        <w:lastRenderedPageBreak/>
        <w:t xml:space="preserve">CAPÍTULO 4 — </w:t>
      </w:r>
      <w:bookmarkStart w:id="122" w:name="_Toc230857071"/>
      <w:r>
        <w:t>RESULTADOS E DISCUSSÃO</w:t>
      </w:r>
      <w:bookmarkEnd w:id="122"/>
      <w:r>
        <w:t xml:space="preserve"> </w:t>
      </w:r>
    </w:p>
    <w:p w14:paraId="08284987" w14:textId="77777777" w:rsidR="00043795" w:rsidRDefault="00043795" w:rsidP="00043795">
      <w:pPr>
        <w:rPr>
          <w:sz w:val="24"/>
        </w:rPr>
      </w:pPr>
    </w:p>
    <w:p w14:paraId="0C996942" w14:textId="77777777" w:rsidR="00043795" w:rsidRDefault="00043795" w:rsidP="00043795">
      <w:pPr>
        <w:rPr>
          <w:sz w:val="24"/>
          <w:szCs w:val="24"/>
        </w:rPr>
      </w:pPr>
    </w:p>
    <w:p w14:paraId="7467B8B4" w14:textId="77777777" w:rsidR="00780A74" w:rsidRPr="00114688" w:rsidRDefault="00043795" w:rsidP="00853490">
      <w:pPr>
        <w:pStyle w:val="Ttulo2"/>
        <w:numPr>
          <w:ilvl w:val="1"/>
          <w:numId w:val="1"/>
        </w:numPr>
        <w:jc w:val="left"/>
        <w:rPr>
          <w:sz w:val="22"/>
          <w:szCs w:val="24"/>
        </w:rPr>
      </w:pPr>
      <w:bookmarkStart w:id="123" w:name="_Toc230857072"/>
      <w:r>
        <w:rPr>
          <w:sz w:val="24"/>
        </w:rPr>
        <w:t>Estatísticas Descritivas e Diagnóstico Econométrico</w:t>
      </w:r>
      <w:bookmarkEnd w:id="123"/>
    </w:p>
    <w:p w14:paraId="4A25C647" w14:textId="77777777" w:rsidR="00043795" w:rsidRPr="000815A7" w:rsidRDefault="00043795" w:rsidP="00043795">
      <w:pPr>
        <w:rPr>
          <w:bCs/>
          <w:sz w:val="24"/>
          <w:szCs w:val="24"/>
        </w:rPr>
      </w:pPr>
    </w:p>
    <w:p w14:paraId="2634796C" w14:textId="77777777" w:rsidR="00043795" w:rsidRPr="00D75844" w:rsidRDefault="00043795" w:rsidP="00853490">
      <w:pPr>
        <w:pStyle w:val="Ttulo3"/>
        <w:numPr>
          <w:ilvl w:val="2"/>
          <w:numId w:val="1"/>
        </w:numPr>
        <w:ind w:left="0" w:firstLine="0"/>
        <w:rPr>
          <w:b w:val="0"/>
          <w:sz w:val="22"/>
        </w:rPr>
      </w:pPr>
      <w:bookmarkStart w:id="124" w:name="_Toc230857073"/>
      <w:r>
        <w:rPr>
          <w:b w:val="0"/>
        </w:rPr>
        <w:r>
          <w:rPr>
            <w:color w:val="000000"/>
            <w:sz w:val="24"/>
            <w:szCs w:val="24"/>
            <w:lang w:val="pt-BR" w:eastAsia="pt-BR"/>
          </w:rPr>
          <w:t>Modelo Black-Litterman com Visões de Momentum 12-1</w:t>
        </w:r>
      </w:r>
      <w:bookmarkEnd w:id="124"/>
    </w:p>
    <w:p w14:paraId="4622DFBA" w14:textId="77777777" w:rsidR="00043795" w:rsidRPr="000815A7" w:rsidRDefault="00043795" w:rsidP="00043795"/>
    <w:p w14:paraId="42EDC4F4" w14:textId="77777777" w:rsidR="00780A74" w:rsidRPr="00780A74" w:rsidRDefault="00780A74" w:rsidP="00043795">
      <w:pPr>
        <w:rPr>
          <w:sz w:val="24"/>
          <w:szCs w:val="24"/>
        </w:rPr>
      </w:pPr>
    </w:p>
    <w:p w14:paraId="36A98B13" w14:textId="2EE0E701" w:rsidR="00FB05AC" w:rsidRDefault="00043795" w:rsidP="00043795">
      <w:pPr>
        <w:spacing w:line="360" w:lineRule="auto"/>
        <w:ind w:firstLine="851"/>
        <w:jc w:val="both"/>
      </w:pPr>
      <w:r>
        <w:t xml:space="preserve">A amostra final é composta por </w:t>
      </w:r>
      <w:r>
        <w:rPr>
          <w:rStyle w:val="Forte"/>
        </w:rPr>
        <w:t>118 ativos</w:t>
      </w:r>
      <w:r>
        <w:t xml:space="preserve"> da B3 com presença mínima de 95% dos pregões entre janeiro de 2010 e dezembro de 2025, resultando em 3.967 observações diárias válidas por ativo. A distribuição setorial está apresentada na Tabela 4.1.</w:t>
      </w:r>
    </w:p>
    <w:p w14:paraId="214927DA" w14:textId="77777777" w:rsidR="00043795" w:rsidRDefault="00043795" w:rsidP="00114688">
      <w:pPr>
        <w:spacing w:line="360" w:lineRule="auto"/>
        <w:jc w:val="both"/>
      </w:pPr>
    </w:p>
    <w:p w14:paraId="0E8AA8C5" w14:textId="3FA4295C" w:rsidR="00043795" w:rsidRPr="00043795" w:rsidRDefault="00043795" w:rsidP="00043795">
      <w:pPr>
        <w:pStyle w:val="Legenda"/>
        <w:keepNext/>
        <w:jc w:val="center"/>
        <w:rPr>
          <w:i w:val="0"/>
          <w:color w:val="auto"/>
          <w:sz w:val="22"/>
        </w:rPr>
      </w:pPr>
      <w:bookmarkStart w:id="125" w:name="_Toc230853330"/>
      <w:r>
        <w:rPr>
          <w:i w:val="0"/>
          <w:color w:val="auto"/>
          <w:sz w:val="22"/>
        </w:rPr>
        <w:t xml:space="preserve">Tabela </w:t>
        <w:fldChar w:fldCharType="begin"/>
        <w:instrText xml:space="preserve"> SEQ Tabela \* ARABIC </w:instrText>
        <w:fldChar w:fldCharType="separate"/>
      </w:r>
      <w:r>
        <w:rPr>
          <w:i w:val="0"/>
          <w:noProof/>
          <w:color w:val="auto"/>
          <w:sz w:val="22"/>
        </w:rPr>
        <w:t>4</w:t>
      </w:r>
      <w:r>
        <w:rPr>
          <w:i w:val="0"/>
          <w:color w:val="auto"/>
          <w:sz w:val="22"/>
        </w:rPr>
        <w:fldChar w:fldCharType="end"/>
        <w:t xml:space="preserve"> - Distribuição Setorial da Amostra</w:t>
      </w:r>
      <w:bookmarkEnd w:id="125"/>
    </w:p>
    <w:tbl>
      <w:tblPr>
        <w:tblStyle w:val="Tabelacomgrade"/>
        <w:tblW w:w="7590" w:type="dxa"/>
        <w:tblLook w:val="04A0" w:firstRow="1" w:lastRow="0" w:firstColumn="1" w:lastColumn="0" w:noHBand="0" w:noVBand="1"/>
      </w:tblPr>
      <w:tblGrid>
        <w:gridCol w:w="4390"/>
        <w:gridCol w:w="1600"/>
        <w:gridCol w:w="1600"/>
      </w:tblGrid>
      <w:tr w:rsidR="001E4C51" w14:paraId="31F9932F" w14:textId="77777777" w:rsidTr="00E32C36">
        <w:tc>
          <w:tcPr>
            <w:tcW w:w="4390" w:type="dxa"/>
          </w:tcPr>
          <w:p w14:paraId="30C9D6F3" w14:textId="77777777" w:rsidR="001E4C51" w:rsidRPr="00E32C36" w:rsidRDefault="001E4C51" w:rsidP="00E32C36">
            <w:pPr>
              <w:jc w:val="center"/>
            </w:pPr>
            <w:r>
              <w:rPr>
                <w:b/>
                <w:bCs/>
              </w:rPr>
              <w:t>Setor econômico (B3)</w:t>
            </w:r>
          </w:p>
        </w:tc>
        <w:tc>
          <w:tcPr>
            <w:tcW w:w="1600" w:type="dxa"/>
          </w:tcPr>
          <w:p w14:paraId="4A47EE69" w14:textId="77777777" w:rsidR="001E4C51" w:rsidRPr="00E32C36" w:rsidRDefault="001E4C51" w:rsidP="00E32C36">
            <w:pPr>
              <w:jc w:val="center"/>
            </w:pPr>
            <w:r>
              <w:rPr>
                <w:b/>
                <w:bCs/>
              </w:rPr>
              <w:t>Nº de ativos</w:t>
            </w:r>
          </w:p>
        </w:tc>
        <w:tc>
          <w:tcPr>
            <w:tcW w:w="1600" w:type="dxa"/>
          </w:tcPr>
          <w:p w14:paraId="44920C95" w14:textId="77777777" w:rsidR="001E4C51" w:rsidRPr="00E32C36" w:rsidRDefault="001E4C51" w:rsidP="00E32C36">
            <w:pPr>
              <w:jc w:val="center"/>
            </w:pPr>
            <w:r>
              <w:rPr>
                <w:b/>
                <w:bCs/>
              </w:rPr>
              <w:t>% do universo</w:t>
            </w:r>
          </w:p>
        </w:tc>
      </w:tr>
      <w:tr w:rsidR="001E4C51" w14:paraId="7DD8348D" w14:textId="77777777" w:rsidTr="00E32C36">
        <w:tc>
          <w:tcPr>
            <w:tcW w:w="4390" w:type="dxa"/>
          </w:tcPr>
          <w:p w14:paraId="4E9050DC" w14:textId="77777777" w:rsidR="001E4C51" w:rsidRDefault="001E4C51" w:rsidP="00EC3D61">
            <w:r>
              <w:rPr>
                <w:sz w:val="18"/>
                <w:szCs w:val="18"/>
              </w:rPr>
              <w:t>Consumo Cíclico</w:t>
            </w:r>
          </w:p>
        </w:tc>
        <w:tc>
          <w:tcPr>
            <w:tcW w:w="1600" w:type="dxa"/>
          </w:tcPr>
          <w:p w14:paraId="117AD926" w14:textId="77777777" w:rsidR="001E4C51" w:rsidRDefault="001E4C51" w:rsidP="00EC3D61">
            <w:pPr>
              <w:jc w:val="center"/>
            </w:pPr>
            <w:r>
              <w:rPr>
                <w:sz w:val="18"/>
                <w:szCs w:val="18"/>
              </w:rPr>
              <w:t>27</w:t>
            </w:r>
          </w:p>
        </w:tc>
        <w:tc>
          <w:tcPr>
            <w:tcW w:w="1600" w:type="dxa"/>
          </w:tcPr>
          <w:p w14:paraId="30E93663" w14:textId="77777777" w:rsidR="001E4C51" w:rsidRDefault="001E4C51" w:rsidP="00EC3D61">
            <w:pPr>
              <w:jc w:val="center"/>
            </w:pPr>
            <w:r>
              <w:rPr>
                <w:sz w:val="18"/>
                <w:szCs w:val="18"/>
              </w:rPr>
              <w:t>22,9%</w:t>
            </w:r>
          </w:p>
        </w:tc>
      </w:tr>
      <w:tr w:rsidR="001E4C51" w14:paraId="0A849C6C" w14:textId="77777777" w:rsidTr="00E32C36">
        <w:tc>
          <w:tcPr>
            <w:tcW w:w="4390" w:type="dxa"/>
          </w:tcPr>
          <w:p w14:paraId="6A64F517" w14:textId="77777777" w:rsidR="001E4C51" w:rsidRDefault="001E4C51" w:rsidP="00EC3D61">
            <w:r>
              <w:rPr>
                <w:sz w:val="18"/>
                <w:szCs w:val="18"/>
              </w:rPr>
              <w:t>Materiais Básicos</w:t>
            </w:r>
          </w:p>
        </w:tc>
        <w:tc>
          <w:tcPr>
            <w:tcW w:w="1600" w:type="dxa"/>
          </w:tcPr>
          <w:p w14:paraId="3E1B548A" w14:textId="77777777" w:rsidR="001E4C51" w:rsidRDefault="001E4C51" w:rsidP="00EC3D61">
            <w:pPr>
              <w:jc w:val="center"/>
            </w:pPr>
            <w:r>
              <w:rPr>
                <w:sz w:val="18"/>
                <w:szCs w:val="18"/>
              </w:rPr>
              <w:t>18</w:t>
            </w:r>
          </w:p>
        </w:tc>
        <w:tc>
          <w:tcPr>
            <w:tcW w:w="1600" w:type="dxa"/>
          </w:tcPr>
          <w:p w14:paraId="3986FC2A" w14:textId="77777777" w:rsidR="001E4C51" w:rsidRDefault="001E4C51" w:rsidP="00EC3D61">
            <w:pPr>
              <w:jc w:val="center"/>
            </w:pPr>
            <w:r>
              <w:rPr>
                <w:sz w:val="18"/>
                <w:szCs w:val="18"/>
              </w:rPr>
              <w:t>15,3%</w:t>
            </w:r>
          </w:p>
        </w:tc>
      </w:tr>
      <w:tr w:rsidR="001E4C51" w14:paraId="7C21C143" w14:textId="77777777" w:rsidTr="00E32C36">
        <w:tc>
          <w:tcPr>
            <w:tcW w:w="4390" w:type="dxa"/>
          </w:tcPr>
          <w:p w14:paraId="1C718173" w14:textId="77777777" w:rsidR="001E4C51" w:rsidRDefault="001E4C51" w:rsidP="00EC3D61">
            <w:r>
              <w:rPr>
                <w:sz w:val="18"/>
                <w:szCs w:val="18"/>
              </w:rPr>
              <w:t>Utilidade Pública</w:t>
            </w:r>
          </w:p>
        </w:tc>
        <w:tc>
          <w:tcPr>
            <w:tcW w:w="1600" w:type="dxa"/>
          </w:tcPr>
          <w:p w14:paraId="497FE4AE" w14:textId="77777777" w:rsidR="001E4C51" w:rsidRDefault="001E4C51" w:rsidP="00EC3D61">
            <w:pPr>
              <w:jc w:val="center"/>
            </w:pPr>
            <w:r>
              <w:rPr>
                <w:sz w:val="18"/>
                <w:szCs w:val="18"/>
              </w:rPr>
              <w:t>17</w:t>
            </w:r>
          </w:p>
        </w:tc>
        <w:tc>
          <w:tcPr>
            <w:tcW w:w="1600" w:type="dxa"/>
          </w:tcPr>
          <w:p w14:paraId="4A74C120" w14:textId="77777777" w:rsidR="001E4C51" w:rsidRDefault="001E4C51" w:rsidP="00EC3D61">
            <w:pPr>
              <w:jc w:val="center"/>
            </w:pPr>
            <w:r>
              <w:rPr>
                <w:sz w:val="18"/>
                <w:szCs w:val="18"/>
              </w:rPr>
              <w:t>14,4%</w:t>
            </w:r>
          </w:p>
        </w:tc>
      </w:tr>
      <w:tr w:rsidR="001E4C51" w14:paraId="320150BB" w14:textId="77777777" w:rsidTr="00E32C36">
        <w:tc>
          <w:tcPr>
            <w:tcW w:w="4390" w:type="dxa"/>
          </w:tcPr>
          <w:p w14:paraId="360022F9" w14:textId="77777777" w:rsidR="001E4C51" w:rsidRDefault="001E4C51" w:rsidP="00EC3D61">
            <w:r>
              <w:rPr>
                <w:sz w:val="18"/>
                <w:szCs w:val="18"/>
              </w:rPr>
              <w:t>Financeiro</w:t>
            </w:r>
          </w:p>
        </w:tc>
        <w:tc>
          <w:tcPr>
            <w:tcW w:w="1600" w:type="dxa"/>
          </w:tcPr>
          <w:p w14:paraId="3E4A7935" w14:textId="77777777" w:rsidR="001E4C51" w:rsidRDefault="001E4C51" w:rsidP="00EC3D61">
            <w:pPr>
              <w:jc w:val="center"/>
            </w:pPr>
            <w:r>
              <w:rPr>
                <w:sz w:val="18"/>
                <w:szCs w:val="18"/>
              </w:rPr>
              <w:t>14</w:t>
            </w:r>
          </w:p>
        </w:tc>
        <w:tc>
          <w:tcPr>
            <w:tcW w:w="1600" w:type="dxa"/>
          </w:tcPr>
          <w:p w14:paraId="4A18BC6C" w14:textId="77777777" w:rsidR="001E4C51" w:rsidRDefault="001E4C51" w:rsidP="00EC3D61">
            <w:pPr>
              <w:jc w:val="center"/>
            </w:pPr>
            <w:r>
              <w:rPr>
                <w:sz w:val="18"/>
                <w:szCs w:val="18"/>
              </w:rPr>
              <w:t>11,9%</w:t>
            </w:r>
          </w:p>
        </w:tc>
      </w:tr>
      <w:tr w:rsidR="001E4C51" w14:paraId="70177CC0" w14:textId="77777777" w:rsidTr="00E32C36">
        <w:tc>
          <w:tcPr>
            <w:tcW w:w="4390" w:type="dxa"/>
          </w:tcPr>
          <w:p w14:paraId="7782D312" w14:textId="77777777" w:rsidR="001E4C51" w:rsidRDefault="001E4C51" w:rsidP="00EC3D61">
            <w:r>
              <w:rPr>
                <w:sz w:val="18"/>
                <w:szCs w:val="18"/>
              </w:rPr>
              <w:t>Bens Industriais</w:t>
            </w:r>
          </w:p>
        </w:tc>
        <w:tc>
          <w:tcPr>
            <w:tcW w:w="1600" w:type="dxa"/>
          </w:tcPr>
          <w:p w14:paraId="70E86221" w14:textId="77777777" w:rsidR="001E4C51" w:rsidRDefault="001E4C51" w:rsidP="00EC3D61">
            <w:pPr>
              <w:jc w:val="center"/>
            </w:pPr>
            <w:r>
              <w:rPr>
                <w:sz w:val="18"/>
                <w:szCs w:val="18"/>
              </w:rPr>
              <w:t>11</w:t>
            </w:r>
          </w:p>
        </w:tc>
        <w:tc>
          <w:tcPr>
            <w:tcW w:w="1600" w:type="dxa"/>
          </w:tcPr>
          <w:p w14:paraId="1E09914A" w14:textId="77777777" w:rsidR="001E4C51" w:rsidRDefault="001E4C51" w:rsidP="00EC3D61">
            <w:pPr>
              <w:jc w:val="center"/>
            </w:pPr>
            <w:r>
              <w:rPr>
                <w:sz w:val="18"/>
                <w:szCs w:val="18"/>
              </w:rPr>
              <w:t>9,3%</w:t>
            </w:r>
          </w:p>
        </w:tc>
      </w:tr>
      <w:tr w:rsidR="001E4C51" w14:paraId="07CC2B29" w14:textId="77777777" w:rsidTr="00E32C36">
        <w:tc>
          <w:tcPr>
            <w:tcW w:w="4390" w:type="dxa"/>
          </w:tcPr>
          <w:p w14:paraId="5019CCC8" w14:textId="77777777" w:rsidR="001E4C51" w:rsidRDefault="001E4C51" w:rsidP="00EC3D61">
            <w:r>
              <w:rPr>
                <w:sz w:val="18"/>
                <w:szCs w:val="18"/>
              </w:rPr>
              <w:t>Consumo Não Cíclico</w:t>
            </w:r>
          </w:p>
        </w:tc>
        <w:tc>
          <w:tcPr>
            <w:tcW w:w="1600" w:type="dxa"/>
          </w:tcPr>
          <w:p w14:paraId="08D1F864" w14:textId="77777777" w:rsidR="001E4C51" w:rsidRDefault="001E4C51" w:rsidP="00EC3D61">
            <w:pPr>
              <w:jc w:val="center"/>
            </w:pPr>
            <w:r>
              <w:rPr>
                <w:sz w:val="18"/>
                <w:szCs w:val="18"/>
              </w:rPr>
              <w:t>10</w:t>
            </w:r>
          </w:p>
        </w:tc>
        <w:tc>
          <w:tcPr>
            <w:tcW w:w="1600" w:type="dxa"/>
          </w:tcPr>
          <w:p w14:paraId="7A32BEBC" w14:textId="77777777" w:rsidR="001E4C51" w:rsidRDefault="001E4C51" w:rsidP="00EC3D61">
            <w:pPr>
              <w:jc w:val="center"/>
            </w:pPr>
            <w:r>
              <w:rPr>
                <w:sz w:val="18"/>
                <w:szCs w:val="18"/>
              </w:rPr>
              <w:t>8,5%</w:t>
            </w:r>
          </w:p>
        </w:tc>
      </w:tr>
      <w:tr w:rsidR="001E4C51" w14:paraId="3014E73E" w14:textId="77777777" w:rsidTr="00E32C36">
        <w:tc>
          <w:tcPr>
            <w:tcW w:w="4390" w:type="dxa"/>
          </w:tcPr>
          <w:p w14:paraId="3EA076EC" w14:textId="77777777" w:rsidR="001E4C51" w:rsidRDefault="001E4C51" w:rsidP="00EC3D61">
            <w:r>
              <w:rPr>
                <w:sz w:val="18"/>
                <w:szCs w:val="18"/>
              </w:rPr>
              <w:t>Comunicações</w:t>
            </w:r>
          </w:p>
        </w:tc>
        <w:tc>
          <w:tcPr>
            <w:tcW w:w="1600" w:type="dxa"/>
          </w:tcPr>
          <w:p w14:paraId="2CFF09F6" w14:textId="77777777" w:rsidR="001E4C51" w:rsidRDefault="001E4C51" w:rsidP="00EC3D61">
            <w:pPr>
              <w:jc w:val="center"/>
            </w:pPr>
            <w:r>
              <w:rPr>
                <w:sz w:val="18"/>
                <w:szCs w:val="18"/>
              </w:rPr>
              <w:t>7</w:t>
            </w:r>
          </w:p>
        </w:tc>
        <w:tc>
          <w:tcPr>
            <w:tcW w:w="1600" w:type="dxa"/>
          </w:tcPr>
          <w:p w14:paraId="4F2DEE1E" w14:textId="77777777" w:rsidR="001E4C51" w:rsidRDefault="001E4C51" w:rsidP="00EC3D61">
            <w:pPr>
              <w:jc w:val="center"/>
            </w:pPr>
            <w:r>
              <w:rPr>
                <w:sz w:val="18"/>
                <w:szCs w:val="18"/>
              </w:rPr>
              <w:t>5,9%</w:t>
            </w:r>
          </w:p>
        </w:tc>
      </w:tr>
      <w:tr w:rsidR="001E4C51" w14:paraId="26123BA9" w14:textId="77777777" w:rsidTr="00E32C36">
        <w:tc>
          <w:tcPr>
            <w:tcW w:w="4390" w:type="dxa"/>
          </w:tcPr>
          <w:p w14:paraId="2CF7F00B" w14:textId="77777777" w:rsidR="001E4C51" w:rsidRDefault="001E4C51" w:rsidP="00EC3D61">
            <w:r>
              <w:rPr>
                <w:sz w:val="18"/>
                <w:szCs w:val="18"/>
              </w:rPr>
              <w:t>Petróleo, Gás e Biocombustíveis</w:t>
            </w:r>
          </w:p>
        </w:tc>
        <w:tc>
          <w:tcPr>
            <w:tcW w:w="1600" w:type="dxa"/>
          </w:tcPr>
          <w:p w14:paraId="3EC0AA84" w14:textId="77777777" w:rsidR="001E4C51" w:rsidRDefault="001E4C51" w:rsidP="00EC3D61">
            <w:pPr>
              <w:jc w:val="center"/>
            </w:pPr>
            <w:r>
              <w:rPr>
                <w:sz w:val="18"/>
                <w:szCs w:val="18"/>
              </w:rPr>
              <w:t>5</w:t>
            </w:r>
          </w:p>
        </w:tc>
        <w:tc>
          <w:tcPr>
            <w:tcW w:w="1600" w:type="dxa"/>
          </w:tcPr>
          <w:p w14:paraId="005A5F9A" w14:textId="77777777" w:rsidR="001E4C51" w:rsidRDefault="001E4C51" w:rsidP="00EC3D61">
            <w:pPr>
              <w:jc w:val="center"/>
            </w:pPr>
            <w:r>
              <w:rPr>
                <w:sz w:val="18"/>
                <w:szCs w:val="18"/>
              </w:rPr>
              <w:t>4,2%</w:t>
            </w:r>
          </w:p>
        </w:tc>
      </w:tr>
      <w:tr w:rsidR="001E4C51" w14:paraId="4FBE342F" w14:textId="77777777" w:rsidTr="00E32C36">
        <w:tc>
          <w:tcPr>
            <w:tcW w:w="4390" w:type="dxa"/>
          </w:tcPr>
          <w:p w14:paraId="24879C63" w14:textId="77777777" w:rsidR="001E4C51" w:rsidRDefault="001E4C51" w:rsidP="00EC3D61">
            <w:r>
              <w:rPr>
                <w:sz w:val="18"/>
                <w:szCs w:val="18"/>
              </w:rPr>
              <w:t>Saúde</w:t>
            </w:r>
          </w:p>
        </w:tc>
        <w:tc>
          <w:tcPr>
            <w:tcW w:w="1600" w:type="dxa"/>
          </w:tcPr>
          <w:p w14:paraId="0187499A" w14:textId="77777777" w:rsidR="001E4C51" w:rsidRDefault="001E4C51" w:rsidP="00EC3D61">
            <w:pPr>
              <w:jc w:val="center"/>
            </w:pPr>
            <w:r>
              <w:rPr>
                <w:sz w:val="18"/>
                <w:szCs w:val="18"/>
              </w:rPr>
              <w:t>5</w:t>
            </w:r>
          </w:p>
        </w:tc>
        <w:tc>
          <w:tcPr>
            <w:tcW w:w="1600" w:type="dxa"/>
          </w:tcPr>
          <w:p w14:paraId="3E1F3EEF" w14:textId="77777777" w:rsidR="001E4C51" w:rsidRDefault="001E4C51" w:rsidP="00EC3D61">
            <w:pPr>
              <w:jc w:val="center"/>
            </w:pPr>
            <w:r>
              <w:rPr>
                <w:sz w:val="18"/>
                <w:szCs w:val="18"/>
              </w:rPr>
              <w:t>4,2%</w:t>
            </w:r>
          </w:p>
        </w:tc>
      </w:tr>
      <w:tr w:rsidR="001E4C51" w14:paraId="4A91E8DA" w14:textId="77777777" w:rsidTr="00E32C36">
        <w:tc>
          <w:tcPr>
            <w:tcW w:w="4390" w:type="dxa"/>
          </w:tcPr>
          <w:p w14:paraId="4EE4E0D1" w14:textId="77777777" w:rsidR="001E4C51" w:rsidRDefault="001E4C51" w:rsidP="00EC3D61">
            <w:r>
              <w:rPr>
                <w:sz w:val="18"/>
                <w:szCs w:val="18"/>
              </w:rPr>
              <w:t>Tecnologia da Informação</w:t>
            </w:r>
          </w:p>
        </w:tc>
        <w:tc>
          <w:tcPr>
            <w:tcW w:w="1600" w:type="dxa"/>
          </w:tcPr>
          <w:p w14:paraId="3D91816D" w14:textId="77777777" w:rsidR="001E4C51" w:rsidRDefault="001E4C51" w:rsidP="00EC3D61">
            <w:pPr>
              <w:jc w:val="center"/>
            </w:pPr>
            <w:r>
              <w:rPr>
                <w:sz w:val="18"/>
                <w:szCs w:val="18"/>
              </w:rPr>
              <w:t>4</w:t>
            </w:r>
          </w:p>
        </w:tc>
        <w:tc>
          <w:tcPr>
            <w:tcW w:w="1600" w:type="dxa"/>
          </w:tcPr>
          <w:p w14:paraId="121F01BA" w14:textId="77777777" w:rsidR="001E4C51" w:rsidRDefault="001E4C51" w:rsidP="00EC3D61">
            <w:pPr>
              <w:jc w:val="center"/>
            </w:pPr>
            <w:r>
              <w:rPr>
                <w:sz w:val="18"/>
                <w:szCs w:val="18"/>
              </w:rPr>
              <w:t>3,4%</w:t>
            </w:r>
          </w:p>
        </w:tc>
      </w:tr>
      <w:tr w:rsidR="001E4C51" w14:paraId="643D5912" w14:textId="77777777" w:rsidTr="00E32C36">
        <w:tc>
          <w:tcPr>
            <w:tcW w:w="4390" w:type="dxa"/>
          </w:tcPr>
          <w:p w14:paraId="5A9EDA72" w14:textId="77777777" w:rsidR="001E4C51" w:rsidRDefault="001E4C51" w:rsidP="00EC3D61">
            <w:r>
              <w:rPr>
                <w:b/>
                <w:bCs/>
                <w:sz w:val="18"/>
                <w:szCs w:val="18"/>
              </w:rPr>
              <w:t>Total</w:t>
            </w:r>
          </w:p>
        </w:tc>
        <w:tc>
          <w:tcPr>
            <w:tcW w:w="1600" w:type="dxa"/>
          </w:tcPr>
          <w:p w14:paraId="1B2F2CCB" w14:textId="77777777" w:rsidR="001E4C51" w:rsidRDefault="001E4C51" w:rsidP="00EC3D61">
            <w:pPr>
              <w:jc w:val="center"/>
            </w:pPr>
            <w:r>
              <w:rPr>
                <w:b/>
                <w:bCs/>
                <w:sz w:val="18"/>
                <w:szCs w:val="18"/>
              </w:rPr>
              <w:t>118</w:t>
            </w:r>
          </w:p>
        </w:tc>
        <w:tc>
          <w:tcPr>
            <w:tcW w:w="1600" w:type="dxa"/>
          </w:tcPr>
          <w:p w14:paraId="7BD6385E" w14:textId="77777777" w:rsidR="001E4C51" w:rsidRDefault="001E4C51" w:rsidP="00EC3D61">
            <w:pPr>
              <w:jc w:val="center"/>
            </w:pPr>
            <w:r>
              <w:rPr>
                <w:b/>
                <w:bCs/>
                <w:sz w:val="18"/>
                <w:szCs w:val="18"/>
              </w:rPr>
              <w:t>100,0%</w:t>
            </w:r>
          </w:p>
        </w:tc>
      </w:tr>
    </w:tbl>
    <w:p w14:paraId="3767AD57" w14:textId="77777777" w:rsidR="00043795" w:rsidRDefault="00043795" w:rsidP="00043795">
      <w:pPr>
        <w:spacing w:line="360" w:lineRule="auto"/>
        <w:ind w:firstLine="851"/>
        <w:jc w:val="both"/>
      </w:pPr>
      <w:r>
        <w:t>Fonte: elaboração própria com base nos dados da Economática (2026).</w:t>
      </w:r>
    </w:p>
    <w:p w14:paraId="1F71C643" w14:textId="77777777" w:rsidR="00114688" w:rsidRPr="000815A7" w:rsidRDefault="00114688" w:rsidP="00114688">
      <w:pPr>
        <w:rPr>
          <w:bCs/>
          <w:sz w:val="24"/>
          <w:szCs w:val="24"/>
        </w:rPr>
      </w:pPr>
    </w:p>
    <w:p w14:paraId="6ACFC224" w14:textId="77777777" w:rsidR="00114688" w:rsidRPr="00D75844" w:rsidRDefault="00114688" w:rsidP="00853490">
      <w:pPr>
        <w:pStyle w:val="Ttulo3"/>
        <w:numPr>
          <w:ilvl w:val="2"/>
          <w:numId w:val="1"/>
        </w:numPr>
        <w:ind w:left="0" w:firstLine="0"/>
        <w:rPr>
          <w:b w:val="0"/>
          <w:sz w:val="22"/>
        </w:rPr>
      </w:pPr>
      <w:bookmarkStart w:id="126" w:name="_Toc230857074"/>
      <w:r>
        <w:t>Distribuição dos Retornos — Evidência de Não-Normalidade</w:t>
      </w:r>
      <w:bookmarkEnd w:id="126"/>
    </w:p>
    <w:p w14:paraId="3F57DC0F" w14:textId="77777777" w:rsidR="00114688" w:rsidRPr="00114688" w:rsidRDefault="00114688" w:rsidP="00114688">
      <w:pPr>
        <w:rPr>
          <w:b/>
          <w:sz w:val="24"/>
        </w:rPr>
      </w:pPr>
    </w:p>
    <w:p w14:paraId="28A20464" w14:textId="6A7A6302" w:rsidR="00114688" w:rsidRPr="00114688" w:rsidRDefault="00114688" w:rsidP="00114688">
      <w:pPr>
        <w:pStyle w:val="Legenda"/>
        <w:keepNext/>
        <w:jc w:val="center"/>
        <w:rPr>
          <w:rFonts w:ascii="Times New Roman" w:hAnsi="Times New Roman" w:cs="Times New Roman"/>
          <w:i w:val="0"/>
          <w:color w:val="auto"/>
          <w:sz w:val="22"/>
        </w:rPr>
      </w:pPr>
      <w:bookmarkStart w:id="127" w:name="_Toc230853331"/>
      <w:r>
        <w:rPr>
          <w:rFonts w:ascii="Times New Roman" w:hAnsi="Times New Roman" w:cs="Times New Roman"/>
          <w:i w:val="0"/>
          <w:color w:val="auto"/>
          <w:sz w:val="22"/>
        </w:rPr>
        <w:t xml:space="preserve">Tabela </w:t>
        <w:fldChar w:fldCharType="begin"/>
        <w:instrText xml:space="preserve"> SEQ Tabela \* ARABIC </w:instrText>
        <w:fldChar w:fldCharType="separate"/>
      </w:r>
      <w:r>
        <w:rPr>
          <w:rFonts w:ascii="Times New Roman" w:hAnsi="Times New Roman" w:cs="Times New Roman"/>
          <w:i w:val="0"/>
          <w:noProof/>
          <w:color w:val="auto"/>
          <w:sz w:val="22"/>
        </w:rPr>
        <w:t>5</w:t>
      </w:r>
      <w:r>
        <w:rPr>
          <w:rFonts w:ascii="Times New Roman" w:hAnsi="Times New Roman" w:cs="Times New Roman"/>
          <w:i w:val="0"/>
          <w:color w:val="auto"/>
          <w:sz w:val="22"/>
        </w:rPr>
        <w:fldChar w:fldCharType="end"/>
        <w:t xml:space="preserve"> - Estatísticas Descritivas dos Log-Retornos Diários (130 ativos)</w:t>
      </w:r>
      <w:bookmarkEnd w:id="127"/>
    </w:p>
    <w:tbl>
      <w:tblPr>
        <w:tblW w:w="9014" w:type="dxa"/>
        <w:jc w:val="center"/>
        <w:tblCellMar>
          <w:left w:w="70" w:type="dxa"/>
          <w:right w:w="70" w:type="dxa"/>
        </w:tblCellMar>
        <w:tblLook w:val="04A0" w:firstRow="1" w:lastRow="0" w:firstColumn="1" w:lastColumn="0" w:noHBand="0" w:noVBand="1"/>
      </w:tblPr>
      <w:tblGrid>
        <w:gridCol w:w="3280"/>
        <w:gridCol w:w="1760"/>
        <w:gridCol w:w="2020"/>
        <w:gridCol w:w="1060"/>
        <w:gridCol w:w="894"/>
      </w:tblGrid>
      <w:tr w:rsidR="00114688" w:rsidRPr="00114688" w14:paraId="3A6AAAC5" w14:textId="77777777" w:rsidTr="00114688">
        <w:trPr>
          <w:trHeight w:val="300"/>
          <w:jc w:val="center"/>
        </w:trPr>
        <w:tc>
          <w:tcPr>
            <w:tcW w:w="328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A8F3B1B"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Estatística</w:t>
            </w:r>
          </w:p>
        </w:tc>
        <w:tc>
          <w:tcPr>
            <w:tcW w:w="1760" w:type="dxa"/>
            <w:tcBorders>
              <w:top w:val="single" w:sz="8" w:space="0" w:color="auto"/>
              <w:left w:val="nil"/>
              <w:bottom w:val="single" w:sz="4" w:space="0" w:color="auto"/>
              <w:right w:val="single" w:sz="4" w:space="0" w:color="auto"/>
            </w:tcBorders>
            <w:shd w:val="clear" w:color="auto" w:fill="auto"/>
            <w:noWrap/>
            <w:vAlign w:val="center"/>
            <w:hideMark/>
          </w:tcPr>
          <w:p w14:paraId="13DB5F4A"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Média transversal</w:t>
            </w:r>
          </w:p>
        </w:tc>
        <w:tc>
          <w:tcPr>
            <w:tcW w:w="2020" w:type="dxa"/>
            <w:tcBorders>
              <w:top w:val="single" w:sz="8" w:space="0" w:color="auto"/>
              <w:left w:val="nil"/>
              <w:bottom w:val="single" w:sz="4" w:space="0" w:color="auto"/>
              <w:right w:val="single" w:sz="4" w:space="0" w:color="auto"/>
            </w:tcBorders>
            <w:shd w:val="clear" w:color="auto" w:fill="auto"/>
            <w:noWrap/>
            <w:vAlign w:val="center"/>
            <w:hideMark/>
          </w:tcPr>
          <w:p w14:paraId="61E3639C"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Mediana transversal</w:t>
            </w:r>
          </w:p>
        </w:tc>
        <w:tc>
          <w:tcPr>
            <w:tcW w:w="1060" w:type="dxa"/>
            <w:tcBorders>
              <w:top w:val="single" w:sz="8" w:space="0" w:color="auto"/>
              <w:left w:val="nil"/>
              <w:bottom w:val="single" w:sz="4" w:space="0" w:color="auto"/>
              <w:right w:val="single" w:sz="4" w:space="0" w:color="auto"/>
            </w:tcBorders>
            <w:shd w:val="clear" w:color="auto" w:fill="auto"/>
            <w:noWrap/>
            <w:vAlign w:val="center"/>
            <w:hideMark/>
          </w:tcPr>
          <w:p w14:paraId="6B714DAE"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Mínimo</w:t>
            </w:r>
          </w:p>
        </w:tc>
        <w:tc>
          <w:tcPr>
            <w:tcW w:w="894" w:type="dxa"/>
            <w:tcBorders>
              <w:top w:val="single" w:sz="8" w:space="0" w:color="auto"/>
              <w:left w:val="nil"/>
              <w:bottom w:val="single" w:sz="4" w:space="0" w:color="auto"/>
              <w:right w:val="single" w:sz="8" w:space="0" w:color="auto"/>
            </w:tcBorders>
            <w:shd w:val="clear" w:color="auto" w:fill="auto"/>
            <w:noWrap/>
            <w:vAlign w:val="center"/>
            <w:hideMark/>
          </w:tcPr>
          <w:p w14:paraId="74BE0FA2" w14:textId="77777777" w:rsidR="00114688" w:rsidRPr="00114688" w:rsidRDefault="00114688" w:rsidP="00114688">
            <w:pPr>
              <w:widowControl/>
              <w:autoSpaceDE/>
              <w:autoSpaceDN/>
              <w:jc w:val="center"/>
              <w:rPr>
                <w:rFonts w:ascii="Calibri" w:hAnsi="Calibri" w:cs="Calibri"/>
                <w:b/>
                <w:bCs/>
                <w:color w:val="000000"/>
                <w:lang w:val="pt-BR" w:eastAsia="pt-BR"/>
              </w:rPr>
            </w:pPr>
            <w:r>
              <w:rPr>
                <w:rFonts w:ascii="Calibri" w:hAnsi="Calibri" w:cs="Calibri"/>
                <w:b/>
                <w:bCs/>
                <w:color w:val="000000"/>
                <w:lang w:val="pt-BR" w:eastAsia="pt-BR"/>
              </w:rPr>
              <w:t>Máximo</w:t>
            </w:r>
          </w:p>
        </w:tc>
      </w:tr>
      <w:tr w:rsidR="00114688" w:rsidRPr="00114688" w14:paraId="1C8DB703"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29261738"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Retorno médio diário</w:t>
            </w:r>
          </w:p>
        </w:tc>
        <w:tc>
          <w:tcPr>
            <w:tcW w:w="1760" w:type="dxa"/>
            <w:tcBorders>
              <w:top w:val="nil"/>
              <w:left w:val="nil"/>
              <w:bottom w:val="single" w:sz="4" w:space="0" w:color="auto"/>
              <w:right w:val="single" w:sz="4" w:space="0" w:color="auto"/>
            </w:tcBorders>
            <w:shd w:val="clear" w:color="auto" w:fill="auto"/>
            <w:noWrap/>
            <w:vAlign w:val="bottom"/>
            <w:hideMark/>
          </w:tcPr>
          <w:p w14:paraId="3555760B"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0,049%</w:t>
            </w:r>
          </w:p>
        </w:tc>
        <w:tc>
          <w:tcPr>
            <w:tcW w:w="2020" w:type="dxa"/>
            <w:tcBorders>
              <w:top w:val="nil"/>
              <w:left w:val="nil"/>
              <w:bottom w:val="single" w:sz="4" w:space="0" w:color="auto"/>
              <w:right w:val="single" w:sz="4" w:space="0" w:color="auto"/>
            </w:tcBorders>
            <w:shd w:val="clear" w:color="auto" w:fill="auto"/>
            <w:noWrap/>
            <w:vAlign w:val="bottom"/>
            <w:hideMark/>
          </w:tcPr>
          <w:p w14:paraId="2A9E4E67"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0,038%</w:t>
            </w:r>
          </w:p>
        </w:tc>
        <w:tc>
          <w:tcPr>
            <w:tcW w:w="1060" w:type="dxa"/>
            <w:tcBorders>
              <w:top w:val="nil"/>
              <w:left w:val="nil"/>
              <w:bottom w:val="single" w:sz="4" w:space="0" w:color="auto"/>
              <w:right w:val="single" w:sz="4" w:space="0" w:color="auto"/>
            </w:tcBorders>
            <w:shd w:val="clear" w:color="auto" w:fill="auto"/>
            <w:noWrap/>
            <w:vAlign w:val="bottom"/>
            <w:hideMark/>
          </w:tcPr>
          <w:p w14:paraId="1632870F"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-0,021%</w:t>
            </w:r>
          </w:p>
        </w:tc>
        <w:tc>
          <w:tcPr>
            <w:tcW w:w="894" w:type="dxa"/>
            <w:tcBorders>
              <w:top w:val="nil"/>
              <w:left w:val="nil"/>
              <w:bottom w:val="single" w:sz="4" w:space="0" w:color="auto"/>
              <w:right w:val="single" w:sz="8" w:space="0" w:color="auto"/>
            </w:tcBorders>
            <w:shd w:val="clear" w:color="auto" w:fill="auto"/>
            <w:noWrap/>
            <w:vAlign w:val="bottom"/>
            <w:hideMark/>
          </w:tcPr>
          <w:p w14:paraId="2B74026C"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0,241%</w:t>
            </w:r>
          </w:p>
        </w:tc>
      </w:tr>
      <w:tr w:rsidR="00114688" w:rsidRPr="00114688" w14:paraId="27431621"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03B2B666"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Volatilidade anualizada</w:t>
            </w:r>
          </w:p>
        </w:tc>
        <w:tc>
          <w:tcPr>
            <w:tcW w:w="1760" w:type="dxa"/>
            <w:tcBorders>
              <w:top w:val="nil"/>
              <w:left w:val="nil"/>
              <w:bottom w:val="single" w:sz="4" w:space="0" w:color="auto"/>
              <w:right w:val="single" w:sz="4" w:space="0" w:color="auto"/>
            </w:tcBorders>
            <w:shd w:val="clear" w:color="auto" w:fill="auto"/>
            <w:noWrap/>
            <w:vAlign w:val="bottom"/>
            <w:hideMark/>
          </w:tcPr>
          <w:p w14:paraId="7A0C2564"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38,40%</w:t>
            </w:r>
          </w:p>
        </w:tc>
        <w:tc>
          <w:tcPr>
            <w:tcW w:w="2020" w:type="dxa"/>
            <w:tcBorders>
              <w:top w:val="nil"/>
              <w:left w:val="nil"/>
              <w:bottom w:val="single" w:sz="4" w:space="0" w:color="auto"/>
              <w:right w:val="single" w:sz="4" w:space="0" w:color="auto"/>
            </w:tcBorders>
            <w:shd w:val="clear" w:color="auto" w:fill="auto"/>
            <w:noWrap/>
            <w:vAlign w:val="bottom"/>
            <w:hideMark/>
          </w:tcPr>
          <w:p w14:paraId="3F037254"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35,10%</w:t>
            </w:r>
          </w:p>
        </w:tc>
        <w:tc>
          <w:tcPr>
            <w:tcW w:w="1060" w:type="dxa"/>
            <w:tcBorders>
              <w:top w:val="nil"/>
              <w:left w:val="nil"/>
              <w:bottom w:val="single" w:sz="4" w:space="0" w:color="auto"/>
              <w:right w:val="single" w:sz="4" w:space="0" w:color="auto"/>
            </w:tcBorders>
            <w:shd w:val="clear" w:color="auto" w:fill="auto"/>
            <w:noWrap/>
            <w:vAlign w:val="bottom"/>
            <w:hideMark/>
          </w:tcPr>
          <w:p w14:paraId="0245C3E1"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14,20%</w:t>
            </w:r>
          </w:p>
        </w:tc>
        <w:tc>
          <w:tcPr>
            <w:tcW w:w="894" w:type="dxa"/>
            <w:tcBorders>
              <w:top w:val="nil"/>
              <w:left w:val="nil"/>
              <w:bottom w:val="single" w:sz="4" w:space="0" w:color="auto"/>
              <w:right w:val="single" w:sz="8" w:space="0" w:color="auto"/>
            </w:tcBorders>
            <w:shd w:val="clear" w:color="auto" w:fill="auto"/>
            <w:noWrap/>
            <w:vAlign w:val="bottom"/>
            <w:hideMark/>
          </w:tcPr>
          <w:p w14:paraId="49784D87"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94,70%</w:t>
            </w:r>
          </w:p>
        </w:tc>
      </w:tr>
      <w:tr w:rsidR="00114688" w:rsidRPr="00114688" w14:paraId="009DD096"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53B4B18D"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Assimetria</w:t>
            </w:r>
          </w:p>
        </w:tc>
        <w:tc>
          <w:tcPr>
            <w:tcW w:w="1760" w:type="dxa"/>
            <w:tcBorders>
              <w:top w:val="nil"/>
              <w:left w:val="nil"/>
              <w:bottom w:val="single" w:sz="4" w:space="0" w:color="auto"/>
              <w:right w:val="single" w:sz="4" w:space="0" w:color="auto"/>
            </w:tcBorders>
            <w:shd w:val="clear" w:color="auto" w:fill="auto"/>
            <w:noWrap/>
            <w:vAlign w:val="bottom"/>
            <w:hideMark/>
          </w:tcPr>
          <w:p w14:paraId="560C4597"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+ 0,12</w:t>
            </w:r>
          </w:p>
        </w:tc>
        <w:tc>
          <w:tcPr>
            <w:tcW w:w="2020" w:type="dxa"/>
            <w:tcBorders>
              <w:top w:val="nil"/>
              <w:left w:val="nil"/>
              <w:bottom w:val="single" w:sz="4" w:space="0" w:color="auto"/>
              <w:right w:val="single" w:sz="4" w:space="0" w:color="auto"/>
            </w:tcBorders>
            <w:shd w:val="clear" w:color="auto" w:fill="auto"/>
            <w:noWrap/>
            <w:vAlign w:val="bottom"/>
            <w:hideMark/>
          </w:tcPr>
          <w:p w14:paraId="2FD683C1"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+ 0,08</w:t>
            </w:r>
          </w:p>
        </w:tc>
        <w:tc>
          <w:tcPr>
            <w:tcW w:w="1060" w:type="dxa"/>
            <w:tcBorders>
              <w:top w:val="nil"/>
              <w:left w:val="nil"/>
              <w:bottom w:val="single" w:sz="4" w:space="0" w:color="auto"/>
              <w:right w:val="single" w:sz="4" w:space="0" w:color="auto"/>
            </w:tcBorders>
            <w:shd w:val="clear" w:color="auto" w:fill="auto"/>
            <w:noWrap/>
            <w:vAlign w:val="bottom"/>
            <w:hideMark/>
          </w:tcPr>
          <w:p w14:paraId="53894B0B"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-3,21</w:t>
            </w:r>
          </w:p>
        </w:tc>
        <w:tc>
          <w:tcPr>
            <w:tcW w:w="894" w:type="dxa"/>
            <w:tcBorders>
              <w:top w:val="nil"/>
              <w:left w:val="nil"/>
              <w:bottom w:val="single" w:sz="4" w:space="0" w:color="auto"/>
              <w:right w:val="single" w:sz="8" w:space="0" w:color="auto"/>
            </w:tcBorders>
            <w:shd w:val="clear" w:color="auto" w:fill="auto"/>
            <w:noWrap/>
            <w:vAlign w:val="bottom"/>
            <w:hideMark/>
          </w:tcPr>
          <w:p w14:paraId="5510CD38"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+ 4,47</w:t>
            </w:r>
          </w:p>
        </w:tc>
      </w:tr>
      <w:tr w:rsidR="00114688" w:rsidRPr="00114688" w14:paraId="74917F37" w14:textId="77777777" w:rsidTr="00114688">
        <w:trPr>
          <w:trHeight w:val="300"/>
          <w:jc w:val="center"/>
        </w:trPr>
        <w:tc>
          <w:tcPr>
            <w:tcW w:w="3280" w:type="dxa"/>
            <w:tcBorders>
              <w:top w:val="nil"/>
              <w:left w:val="single" w:sz="8" w:space="0" w:color="auto"/>
              <w:bottom w:val="single" w:sz="4" w:space="0" w:color="auto"/>
              <w:right w:val="single" w:sz="4" w:space="0" w:color="auto"/>
            </w:tcBorders>
            <w:shd w:val="clear" w:color="auto" w:fill="auto"/>
            <w:noWrap/>
            <w:vAlign w:val="bottom"/>
            <w:hideMark/>
          </w:tcPr>
          <w:p w14:paraId="4157CBE8"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Curtose excedente</w:t>
            </w:r>
          </w:p>
        </w:tc>
        <w:tc>
          <w:tcPr>
            <w:tcW w:w="1760" w:type="dxa"/>
            <w:tcBorders>
              <w:top w:val="nil"/>
              <w:left w:val="nil"/>
              <w:bottom w:val="single" w:sz="4" w:space="0" w:color="auto"/>
              <w:right w:val="single" w:sz="4" w:space="0" w:color="auto"/>
            </w:tcBorders>
            <w:shd w:val="clear" w:color="auto" w:fill="auto"/>
            <w:noWrap/>
            <w:vAlign w:val="bottom"/>
            <w:hideMark/>
          </w:tcPr>
          <w:p w14:paraId="60364CB6"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19,0</w:t>
            </w:r>
          </w:p>
        </w:tc>
        <w:tc>
          <w:tcPr>
            <w:tcW w:w="2020" w:type="dxa"/>
            <w:tcBorders>
              <w:top w:val="nil"/>
              <w:left w:val="nil"/>
              <w:bottom w:val="single" w:sz="4" w:space="0" w:color="auto"/>
              <w:right w:val="single" w:sz="4" w:space="0" w:color="auto"/>
            </w:tcBorders>
            <w:shd w:val="clear" w:color="auto" w:fill="auto"/>
            <w:noWrap/>
            <w:vAlign w:val="bottom"/>
            <w:hideMark/>
          </w:tcPr>
          <w:p w14:paraId="1E29C7B9"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8,69</w:t>
            </w:r>
          </w:p>
        </w:tc>
        <w:tc>
          <w:tcPr>
            <w:tcW w:w="1060" w:type="dxa"/>
            <w:tcBorders>
              <w:top w:val="nil"/>
              <w:left w:val="nil"/>
              <w:bottom w:val="single" w:sz="4" w:space="0" w:color="auto"/>
              <w:right w:val="single" w:sz="4" w:space="0" w:color="auto"/>
            </w:tcBorders>
            <w:shd w:val="clear" w:color="auto" w:fill="auto"/>
            <w:noWrap/>
            <w:vAlign w:val="bottom"/>
            <w:hideMark/>
          </w:tcPr>
          <w:p w14:paraId="43DFC35F"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1,42</w:t>
            </w:r>
          </w:p>
        </w:tc>
        <w:tc>
          <w:tcPr>
            <w:tcW w:w="894" w:type="dxa"/>
            <w:tcBorders>
              <w:top w:val="nil"/>
              <w:left w:val="nil"/>
              <w:bottom w:val="single" w:sz="4" w:space="0" w:color="auto"/>
              <w:right w:val="single" w:sz="8" w:space="0" w:color="auto"/>
            </w:tcBorders>
            <w:shd w:val="clear" w:color="auto" w:fill="auto"/>
            <w:noWrap/>
            <w:vAlign w:val="bottom"/>
            <w:hideMark/>
          </w:tcPr>
          <w:p w14:paraId="7A56F211"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640</w:t>
            </w:r>
          </w:p>
        </w:tc>
      </w:tr>
      <w:tr w:rsidR="00114688" w:rsidRPr="00114688" w14:paraId="15331439" w14:textId="77777777" w:rsidTr="00114688">
        <w:trPr>
          <w:trHeight w:val="315"/>
          <w:jc w:val="center"/>
        </w:trPr>
        <w:tc>
          <w:tcPr>
            <w:tcW w:w="3280" w:type="dxa"/>
            <w:tcBorders>
              <w:top w:val="nil"/>
              <w:left w:val="single" w:sz="8" w:space="0" w:color="auto"/>
              <w:bottom w:val="single" w:sz="8" w:space="0" w:color="auto"/>
              <w:right w:val="single" w:sz="4" w:space="0" w:color="auto"/>
            </w:tcBorders>
            <w:shd w:val="clear" w:color="auto" w:fill="auto"/>
            <w:noWrap/>
            <w:vAlign w:val="bottom"/>
            <w:hideMark/>
          </w:tcPr>
          <w:p w14:paraId="0CCA69BA"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Ativos com curtose &gt; 3</w:t>
            </w:r>
          </w:p>
        </w:tc>
        <w:tc>
          <w:tcPr>
            <w:tcW w:w="1760" w:type="dxa"/>
            <w:tcBorders>
              <w:top w:val="nil"/>
              <w:left w:val="nil"/>
              <w:bottom w:val="single" w:sz="8" w:space="0" w:color="auto"/>
              <w:right w:val="single" w:sz="4" w:space="0" w:color="auto"/>
            </w:tcBorders>
            <w:shd w:val="clear" w:color="auto" w:fill="auto"/>
            <w:noWrap/>
            <w:vAlign w:val="bottom"/>
            <w:hideMark/>
          </w:tcPr>
          <w:p w14:paraId="4C46CB14" w14:textId="77777777" w:rsidR="00114688" w:rsidRPr="00114688" w:rsidRDefault="00114688" w:rsidP="00114688">
            <w:pPr>
              <w:widowControl/>
              <w:autoSpaceDE/>
              <w:autoSpaceDN/>
              <w:jc w:val="right"/>
              <w:rPr>
                <w:rFonts w:ascii="Calibri" w:hAnsi="Calibri" w:cs="Calibri"/>
                <w:color w:val="000000"/>
                <w:lang w:val="pt-BR" w:eastAsia="pt-BR"/>
              </w:rPr>
            </w:pPr>
            <w:r>
              <w:rPr>
                <w:rFonts w:ascii="Calibri" w:hAnsi="Calibri" w:cs="Calibri"/>
                <w:color w:val="000000"/>
                <w:lang w:val="pt-BR" w:eastAsia="pt-BR"/>
              </w:rPr>
              <w:t>125/130 (96,2%)</w:t>
            </w:r>
          </w:p>
        </w:tc>
        <w:tc>
          <w:tcPr>
            <w:tcW w:w="2020" w:type="dxa"/>
            <w:tcBorders>
              <w:top w:val="nil"/>
              <w:left w:val="nil"/>
              <w:bottom w:val="single" w:sz="8" w:space="0" w:color="auto"/>
              <w:right w:val="single" w:sz="4" w:space="0" w:color="auto"/>
            </w:tcBorders>
            <w:shd w:val="clear" w:color="auto" w:fill="auto"/>
            <w:noWrap/>
            <w:vAlign w:val="bottom"/>
            <w:hideMark/>
          </w:tcPr>
          <w:p w14:paraId="52E9952E"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r>
                <w:rPr>
                  <w:color w:val="000000"/>
                  <w:sz w:val="20"/>
                  <w:szCs w:val="20"/>
                  <w:lang w:val="pt-BR" w:eastAsia="pt-BR"/>
                </w:rPr>
                <w:t>—</w:t>
              </w:r>
            </w:r>
          </w:p>
        </w:tc>
        <w:tc>
          <w:tcPr>
            <w:tcW w:w="1060" w:type="dxa"/>
            <w:tcBorders>
              <w:top w:val="nil"/>
              <w:left w:val="nil"/>
              <w:bottom w:val="single" w:sz="8" w:space="0" w:color="auto"/>
              <w:right w:val="single" w:sz="4" w:space="0" w:color="auto"/>
            </w:tcBorders>
            <w:shd w:val="clear" w:color="auto" w:fill="auto"/>
            <w:noWrap/>
            <w:vAlign w:val="bottom"/>
            <w:hideMark/>
          </w:tcPr>
          <w:p w14:paraId="660CFA86"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c>
          <w:tcPr>
            <w:tcW w:w="894" w:type="dxa"/>
            <w:tcBorders>
              <w:top w:val="nil"/>
              <w:left w:val="nil"/>
              <w:bottom w:val="single" w:sz="8" w:space="0" w:color="auto"/>
              <w:right w:val="single" w:sz="8" w:space="0" w:color="auto"/>
            </w:tcBorders>
            <w:shd w:val="clear" w:color="auto" w:fill="auto"/>
            <w:noWrap/>
            <w:vAlign w:val="bottom"/>
            <w:hideMark/>
          </w:tcPr>
          <w:p w14:paraId="1AF3C757"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w:t>
            </w:r>
          </w:p>
        </w:tc>
      </w:tr>
    </w:tbl>
    <w:p w14:paraId="639B8A59" w14:textId="77777777" w:rsidR="00043795" w:rsidRPr="00114688" w:rsidRDefault="00114688" w:rsidP="00114688">
      <w:pPr>
        <w:spacing w:line="360" w:lineRule="auto"/>
        <w:jc w:val="both"/>
        <w:rPr>
          <w:b/>
          <w:sz w:val="24"/>
        </w:rPr>
      </w:pPr>
      <w:r>
        <w:t>Fonte: elaboração própria.</w:t>
      </w:r>
    </w:p>
    <w:p w14:paraId="611768A6" w14:textId="77777777" w:rsidR="00114688" w:rsidRDefault="00114688" w:rsidP="00114688">
      <w:pPr>
        <w:pStyle w:val="font-claude-response-body"/>
        <w:spacing w:before="0" w:beforeAutospacing="0" w:after="0" w:afterAutospacing="0" w:line="360" w:lineRule="auto"/>
        <w:ind w:firstLine="851"/>
        <w:jc w:val="both"/>
      </w:pPr>
      <w:r>
        <w:t xml:space="preserve">Os resultados confirmam, de forma conclusiva, a inadequação da hipótese de normalidade para a totalidade da amostra. A curtose excedente mediana de 8,69 indica que a distribuição empírica dos retornos brasileiros é aproximadamente 4,5 vezes mais leptocúrtica do que a distribuição normal, o que implica frequência significativamente maior de eventos extremos — tanto ganhos quanto perdas — em relação ao previsto pelo modelo gaussiano. Esse fenômeno é documentado para mercados emergentes por Damodaran (2007) e constitui uma das principais motivações para o emprego de métricas </w:t>
        <w:lastRenderedPageBreak/>
        <w:t>de risco assimétricas, como o CVaR e o índice de Sortino, abordadas no referencial teórico.</w:t>
      </w:r>
    </w:p>
    <w:p w14:paraId="5A168CDB" w14:textId="77777777" w:rsidR="00114688" w:rsidRDefault="00114688" w:rsidP="00114688">
      <w:pPr>
        <w:pStyle w:val="font-claude-response-body"/>
        <w:spacing w:before="0" w:beforeAutospacing="0" w:after="0" w:afterAutospacing="0" w:line="360" w:lineRule="auto"/>
        <w:ind w:firstLine="851"/>
        <w:jc w:val="both"/>
      </w:pPr>
      <w:r>
        <w:t>A assimetria média ligeiramente positiva (+0,12) mascara heterogeneidade relevante: 78 dos 130 ativos (60,0%) apresentaram assimetria negativa, indicando que perdas extremas são mais frequentes do que ganhos de mesma magnitude — comportamento consistente com a aversão à perda descrita pela Teoria da Perspectiva de Kahneman e Tversky (1979).</w:t>
      </w:r>
    </w:p>
    <w:p w14:paraId="2E26A49F" w14:textId="77777777" w:rsidR="00114688" w:rsidRPr="000815A7" w:rsidRDefault="00114688" w:rsidP="00114688">
      <w:pPr>
        <w:rPr>
          <w:bCs/>
          <w:sz w:val="24"/>
          <w:szCs w:val="24"/>
        </w:rPr>
      </w:pPr>
    </w:p>
    <w:p w14:paraId="1B86334B" w14:textId="77777777" w:rsidR="00114688" w:rsidRPr="00D75844" w:rsidRDefault="00114688" w:rsidP="00853490">
      <w:pPr>
        <w:pStyle w:val="Ttulo3"/>
        <w:numPr>
          <w:ilvl w:val="2"/>
          <w:numId w:val="1"/>
        </w:numPr>
        <w:ind w:left="0" w:firstLine="0"/>
        <w:rPr>
          <w:b w:val="0"/>
          <w:sz w:val="22"/>
        </w:rPr>
      </w:pPr>
      <w:bookmarkStart w:id="128" w:name="_Toc230857075"/>
      <w:r>
        <w:t>Comportamento da Volatilidade por Subperíodo</w:t>
      </w:r>
      <w:bookmarkEnd w:id="128"/>
    </w:p>
    <w:p w14:paraId="066A7B52" w14:textId="77777777" w:rsidR="00114688" w:rsidRPr="00114688" w:rsidRDefault="00114688" w:rsidP="00114688">
      <w:pPr>
        <w:rPr>
          <w:b/>
          <w:sz w:val="24"/>
        </w:rPr>
      </w:pPr>
    </w:p>
    <w:p w14:paraId="3E09BFAC" w14:textId="77777777" w:rsidR="00043795" w:rsidRDefault="00114688" w:rsidP="00114688">
      <w:pPr>
        <w:spacing w:line="360" w:lineRule="auto"/>
        <w:ind w:firstLine="851"/>
        <w:jc w:val="both"/>
      </w:pPr>
      <w:r>
        <w:t>A Tabela 4.3 apresenta a volatilidade média anualizada da amostra por ano calendário, revelando a presença de múltiplos regimes de volatilidade no período.</w:t>
      </w:r>
    </w:p>
    <w:p w14:paraId="170AFCE2" w14:textId="77777777" w:rsidR="00114688" w:rsidRPr="00114688" w:rsidRDefault="00114688" w:rsidP="00043795">
      <w:pPr>
        <w:rPr>
          <w:sz w:val="24"/>
        </w:rPr>
      </w:pPr>
    </w:p>
    <w:p w14:paraId="1B9423F3" w14:textId="77777777" w:rsidR="00114688" w:rsidRPr="00114688" w:rsidRDefault="00114688" w:rsidP="00043795">
      <w:pPr>
        <w:rPr>
          <w:sz w:val="24"/>
          <w:szCs w:val="24"/>
        </w:rPr>
      </w:pPr>
    </w:p>
    <w:p w14:paraId="1D33DD72" w14:textId="67868864" w:rsidR="00114688" w:rsidRPr="00114688" w:rsidRDefault="00114688" w:rsidP="00114688">
      <w:pPr>
        <w:pStyle w:val="Legenda"/>
        <w:keepNext/>
        <w:jc w:val="center"/>
        <w:rPr>
          <w:rFonts w:ascii="Times New Roman" w:hAnsi="Times New Roman" w:cs="Times New Roman"/>
          <w:i w:val="0"/>
          <w:color w:val="auto"/>
          <w:sz w:val="24"/>
        </w:rPr>
      </w:pPr>
      <w:bookmarkStart w:id="129" w:name="_Toc230853332"/>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6</w:t>
      </w:r>
      <w:r>
        <w:rPr>
          <w:rFonts w:ascii="Times New Roman" w:hAnsi="Times New Roman" w:cs="Times New Roman"/>
          <w:i w:val="0"/>
          <w:color w:val="auto"/>
          <w:sz w:val="24"/>
        </w:rPr>
        <w:fldChar w:fldCharType="end"/>
        <w:t xml:space="preserve"> - Tabela 4.3 — Volatilidade Média Anualizada por Ano (cross-section de 130 ativos)</w:t>
      </w:r>
      <w:bookmarkEnd w:id="129"/>
    </w:p>
    <w:tbl>
      <w:tblPr>
        <w:tblW w:w="7660" w:type="dxa"/>
        <w:jc w:val="center"/>
        <w:tblCellMar>
          <w:left w:w="70" w:type="dxa"/>
          <w:right w:w="70" w:type="dxa"/>
        </w:tblCellMar>
        <w:tblLook w:val="04A0" w:firstRow="1" w:lastRow="0" w:firstColumn="1" w:lastColumn="0" w:noHBand="0" w:noVBand="1"/>
      </w:tblPr>
      <w:tblGrid>
        <w:gridCol w:w="1360"/>
        <w:gridCol w:w="1480"/>
        <w:gridCol w:w="4820"/>
      </w:tblGrid>
      <w:tr w:rsidR="00114688" w:rsidRPr="00114688" w14:paraId="63C03E11" w14:textId="77777777" w:rsidTr="00114688">
        <w:trPr>
          <w:trHeight w:val="315"/>
          <w:jc w:val="center"/>
        </w:trPr>
        <w:tc>
          <w:tcPr>
            <w:tcW w:w="1360"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69C332C8"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Ano</w:t>
            </w:r>
          </w:p>
        </w:tc>
        <w:tc>
          <w:tcPr>
            <w:tcW w:w="1480" w:type="dxa"/>
            <w:tcBorders>
              <w:top w:val="single" w:sz="8" w:space="0" w:color="auto"/>
              <w:left w:val="nil"/>
              <w:bottom w:val="single" w:sz="4" w:space="0" w:color="auto"/>
              <w:right w:val="single" w:sz="4" w:space="0" w:color="auto"/>
            </w:tcBorders>
            <w:shd w:val="clear" w:color="auto" w:fill="auto"/>
            <w:noWrap/>
            <w:vAlign w:val="center"/>
            <w:hideMark/>
          </w:tcPr>
          <w:p w14:paraId="008010BB"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Vol. Média</w:t>
            </w:r>
          </w:p>
        </w:tc>
        <w:tc>
          <w:tcPr>
            <w:tcW w:w="4820" w:type="dxa"/>
            <w:tcBorders>
              <w:top w:val="single" w:sz="8" w:space="0" w:color="auto"/>
              <w:left w:val="nil"/>
              <w:bottom w:val="single" w:sz="4" w:space="0" w:color="auto"/>
              <w:right w:val="single" w:sz="8" w:space="0" w:color="auto"/>
            </w:tcBorders>
            <w:shd w:val="clear" w:color="auto" w:fill="auto"/>
            <w:noWrap/>
            <w:vAlign w:val="center"/>
            <w:hideMark/>
          </w:tcPr>
          <w:p w14:paraId="4C0E82E4" w14:textId="77777777" w:rsidR="00114688" w:rsidRPr="00114688" w:rsidRDefault="00114688" w:rsidP="00114688">
            <w:pPr>
              <w:widowControl/>
              <w:autoSpaceDE/>
              <w:autoSpaceDN/>
              <w:jc w:val="center"/>
              <w:rPr>
                <w:b/>
                <w:bCs/>
                <w:color w:val="000000"/>
                <w:sz w:val="24"/>
                <w:szCs w:val="24"/>
                <w:lang w:val="pt-BR" w:eastAsia="pt-BR"/>
              </w:rPr>
            </w:pPr>
            <w:r>
              <w:rPr>
                <w:b/>
                <w:bCs/>
                <w:color w:val="000000"/>
                <w:sz w:val="24"/>
                <w:szCs w:val="24"/>
                <w:lang w:val="pt-BR" w:eastAsia="pt-BR"/>
              </w:rPr>
              <w:t>Evento Relevante</w:t>
            </w:r>
          </w:p>
        </w:tc>
      </w:tr>
      <w:tr w:rsidR="00114688" w:rsidRPr="00114688" w14:paraId="5FF3795F"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611A044A"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2010–2013</w:t>
            </w:r>
          </w:p>
        </w:tc>
        <w:tc>
          <w:tcPr>
            <w:tcW w:w="1480" w:type="dxa"/>
            <w:tcBorders>
              <w:top w:val="nil"/>
              <w:left w:val="nil"/>
              <w:bottom w:val="single" w:sz="4" w:space="0" w:color="auto"/>
              <w:right w:val="single" w:sz="4" w:space="0" w:color="auto"/>
            </w:tcBorders>
            <w:shd w:val="clear" w:color="auto" w:fill="auto"/>
            <w:noWrap/>
            <w:vAlign w:val="bottom"/>
            <w:hideMark/>
          </w:tcPr>
          <w:p w14:paraId="3E237D39"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28,30%</w:t>
            </w:r>
          </w:p>
        </w:tc>
        <w:tc>
          <w:tcPr>
            <w:tcW w:w="4820" w:type="dxa"/>
            <w:tcBorders>
              <w:top w:val="nil"/>
              <w:left w:val="nil"/>
              <w:bottom w:val="single" w:sz="4" w:space="0" w:color="auto"/>
              <w:right w:val="single" w:sz="8" w:space="0" w:color="auto"/>
            </w:tcBorders>
            <w:shd w:val="clear" w:color="auto" w:fill="auto"/>
            <w:noWrap/>
            <w:vAlign w:val="bottom"/>
            <w:hideMark/>
          </w:tcPr>
          <w:p w14:paraId="7287D496"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Período de expansão econômica</w:t>
            </w:r>
          </w:p>
        </w:tc>
      </w:tr>
      <w:tr w:rsidR="00114688" w:rsidRPr="00114688" w14:paraId="76BCA0D1"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1A842D85"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2014–2016</w:t>
            </w:r>
          </w:p>
        </w:tc>
        <w:tc>
          <w:tcPr>
            <w:tcW w:w="1480" w:type="dxa"/>
            <w:tcBorders>
              <w:top w:val="nil"/>
              <w:left w:val="nil"/>
              <w:bottom w:val="single" w:sz="4" w:space="0" w:color="auto"/>
              <w:right w:val="single" w:sz="4" w:space="0" w:color="auto"/>
            </w:tcBorders>
            <w:shd w:val="clear" w:color="auto" w:fill="auto"/>
            <w:noWrap/>
            <w:vAlign w:val="bottom"/>
            <w:hideMark/>
          </w:tcPr>
          <w:p w14:paraId="5BD31265"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38,70%</w:t>
            </w:r>
          </w:p>
        </w:tc>
        <w:tc>
          <w:tcPr>
            <w:tcW w:w="4820" w:type="dxa"/>
            <w:tcBorders>
              <w:top w:val="nil"/>
              <w:left w:val="nil"/>
              <w:bottom w:val="single" w:sz="4" w:space="0" w:color="auto"/>
              <w:right w:val="single" w:sz="8" w:space="0" w:color="auto"/>
            </w:tcBorders>
            <w:shd w:val="clear" w:color="auto" w:fill="auto"/>
            <w:noWrap/>
            <w:vAlign w:val="bottom"/>
            <w:hideMark/>
          </w:tcPr>
          <w:p w14:paraId="4B7586AE"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Recessão + crise política + Lava-Jato</w:t>
            </w:r>
          </w:p>
        </w:tc>
      </w:tr>
      <w:tr w:rsidR="00114688" w:rsidRPr="00114688" w14:paraId="7F78509C"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3D726970"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2017–2019</w:t>
            </w:r>
          </w:p>
        </w:tc>
        <w:tc>
          <w:tcPr>
            <w:tcW w:w="1480" w:type="dxa"/>
            <w:tcBorders>
              <w:top w:val="nil"/>
              <w:left w:val="nil"/>
              <w:bottom w:val="single" w:sz="4" w:space="0" w:color="auto"/>
              <w:right w:val="single" w:sz="4" w:space="0" w:color="auto"/>
            </w:tcBorders>
            <w:shd w:val="clear" w:color="auto" w:fill="auto"/>
            <w:noWrap/>
            <w:vAlign w:val="bottom"/>
            <w:hideMark/>
          </w:tcPr>
          <w:p w14:paraId="6943BCBC"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29,10%</w:t>
            </w:r>
          </w:p>
        </w:tc>
        <w:tc>
          <w:tcPr>
            <w:tcW w:w="4820" w:type="dxa"/>
            <w:tcBorders>
              <w:top w:val="nil"/>
              <w:left w:val="nil"/>
              <w:bottom w:val="single" w:sz="4" w:space="0" w:color="auto"/>
              <w:right w:val="single" w:sz="8" w:space="0" w:color="auto"/>
            </w:tcBorders>
            <w:shd w:val="clear" w:color="auto" w:fill="auto"/>
            <w:noWrap/>
            <w:vAlign w:val="bottom"/>
            <w:hideMark/>
          </w:tcPr>
          <w:p w14:paraId="66AC6A56"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Recuperação gradual</w:t>
            </w:r>
          </w:p>
        </w:tc>
      </w:tr>
      <w:tr w:rsidR="00114688" w:rsidRPr="00114688" w14:paraId="07061E57"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45B97C0A"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2020</w:t>
            </w:r>
          </w:p>
        </w:tc>
        <w:tc>
          <w:tcPr>
            <w:tcW w:w="1480" w:type="dxa"/>
            <w:tcBorders>
              <w:top w:val="nil"/>
              <w:left w:val="nil"/>
              <w:bottom w:val="single" w:sz="4" w:space="0" w:color="auto"/>
              <w:right w:val="single" w:sz="4" w:space="0" w:color="auto"/>
            </w:tcBorders>
            <w:shd w:val="clear" w:color="auto" w:fill="auto"/>
            <w:noWrap/>
            <w:vAlign w:val="bottom"/>
            <w:hideMark/>
          </w:tcPr>
          <w:p w14:paraId="77D85FC6"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55,20%</w:t>
            </w:r>
          </w:p>
        </w:tc>
        <w:tc>
          <w:tcPr>
            <w:tcW w:w="4820" w:type="dxa"/>
            <w:tcBorders>
              <w:top w:val="nil"/>
              <w:left w:val="nil"/>
              <w:bottom w:val="single" w:sz="4" w:space="0" w:color="auto"/>
              <w:right w:val="single" w:sz="8" w:space="0" w:color="auto"/>
            </w:tcBorders>
            <w:shd w:val="clear" w:color="auto" w:fill="auto"/>
            <w:noWrap/>
            <w:vAlign w:val="bottom"/>
            <w:hideMark/>
          </w:tcPr>
          <w:p w14:paraId="42DF2E75" w14:textId="77777777" w:rsidR="00114688" w:rsidRPr="00114688" w:rsidRDefault="00114688" w:rsidP="00114688">
            <w:pPr>
              <w:widowControl/>
              <w:autoSpaceDE/>
              <w:autoSpaceDN/>
              <w:rPr>
                <w:rFonts w:ascii="Calibri" w:hAnsi="Calibri" w:cs="Calibri"/>
                <w:i/>
                <w:iCs/>
                <w:color w:val="000000"/>
                <w:lang w:val="pt-BR" w:eastAsia="pt-BR"/>
              </w:rPr>
            </w:pPr>
            <w:r>
              <w:rPr>
                <w:rFonts w:ascii="Calibri" w:hAnsi="Calibri" w:cs="Calibri"/>
                <w:i/>
                <w:iCs/>
                <w:color w:val="000000"/>
                <w:lang w:val="pt-BR" w:eastAsia="pt-BR"/>
              </w:rPr>
              <w:t>Crash</w:t>
            </w:r>
            <w:r>
              <w:rPr>
                <w:rFonts w:ascii="Calibri" w:hAnsi="Calibri" w:cs="Calibri"/>
                <w:color w:val="000000"/>
                <w:lang w:val="pt-BR" w:eastAsia="pt-BR"/>
              </w:rPr>
              <w:t xml:space="preserve"> COVID-19 (março: pico de 93,7% em PETR4)</w:t>
            </w:r>
          </w:p>
        </w:tc>
      </w:tr>
      <w:tr w:rsidR="00114688" w:rsidRPr="00114688" w14:paraId="595CE40F" w14:textId="77777777" w:rsidTr="00114688">
        <w:trPr>
          <w:trHeight w:val="300"/>
          <w:jc w:val="center"/>
        </w:trPr>
        <w:tc>
          <w:tcPr>
            <w:tcW w:w="1360" w:type="dxa"/>
            <w:tcBorders>
              <w:top w:val="nil"/>
              <w:left w:val="single" w:sz="8" w:space="0" w:color="auto"/>
              <w:bottom w:val="single" w:sz="4" w:space="0" w:color="auto"/>
              <w:right w:val="single" w:sz="4" w:space="0" w:color="auto"/>
            </w:tcBorders>
            <w:shd w:val="clear" w:color="auto" w:fill="auto"/>
            <w:noWrap/>
            <w:vAlign w:val="bottom"/>
            <w:hideMark/>
          </w:tcPr>
          <w:p w14:paraId="10C6AF4C"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2021–2022</w:t>
            </w:r>
          </w:p>
        </w:tc>
        <w:tc>
          <w:tcPr>
            <w:tcW w:w="1480" w:type="dxa"/>
            <w:tcBorders>
              <w:top w:val="nil"/>
              <w:left w:val="nil"/>
              <w:bottom w:val="single" w:sz="4" w:space="0" w:color="auto"/>
              <w:right w:val="single" w:sz="4" w:space="0" w:color="auto"/>
            </w:tcBorders>
            <w:shd w:val="clear" w:color="auto" w:fill="auto"/>
            <w:noWrap/>
            <w:vAlign w:val="bottom"/>
            <w:hideMark/>
          </w:tcPr>
          <w:p w14:paraId="313FB939"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34,60%</w:t>
            </w:r>
          </w:p>
        </w:tc>
        <w:tc>
          <w:tcPr>
            <w:tcW w:w="4820" w:type="dxa"/>
            <w:tcBorders>
              <w:top w:val="nil"/>
              <w:left w:val="nil"/>
              <w:bottom w:val="single" w:sz="4" w:space="0" w:color="auto"/>
              <w:right w:val="single" w:sz="8" w:space="0" w:color="auto"/>
            </w:tcBorders>
            <w:shd w:val="clear" w:color="auto" w:fill="auto"/>
            <w:noWrap/>
            <w:vAlign w:val="bottom"/>
            <w:hideMark/>
          </w:tcPr>
          <w:p w14:paraId="74B1858A"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Ciclo de juros extremo (Selic &gt; 13%)</w:t>
            </w:r>
          </w:p>
        </w:tc>
      </w:tr>
      <w:tr w:rsidR="00114688" w:rsidRPr="00114688" w14:paraId="3C5673CC" w14:textId="77777777" w:rsidTr="00114688">
        <w:trPr>
          <w:trHeight w:val="315"/>
          <w:jc w:val="center"/>
        </w:trPr>
        <w:tc>
          <w:tcPr>
            <w:tcW w:w="1360" w:type="dxa"/>
            <w:tcBorders>
              <w:top w:val="nil"/>
              <w:left w:val="single" w:sz="8" w:space="0" w:color="auto"/>
              <w:bottom w:val="single" w:sz="8" w:space="0" w:color="auto"/>
              <w:right w:val="single" w:sz="4" w:space="0" w:color="auto"/>
            </w:tcBorders>
            <w:shd w:val="clear" w:color="auto" w:fill="auto"/>
            <w:noWrap/>
            <w:vAlign w:val="bottom"/>
            <w:hideMark/>
          </w:tcPr>
          <w:p w14:paraId="5BA60710"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2023–2025</w:t>
            </w:r>
          </w:p>
        </w:tc>
        <w:tc>
          <w:tcPr>
            <w:tcW w:w="1480" w:type="dxa"/>
            <w:tcBorders>
              <w:top w:val="nil"/>
              <w:left w:val="nil"/>
              <w:bottom w:val="single" w:sz="8" w:space="0" w:color="auto"/>
              <w:right w:val="single" w:sz="4" w:space="0" w:color="auto"/>
            </w:tcBorders>
            <w:shd w:val="clear" w:color="auto" w:fill="auto"/>
            <w:noWrap/>
            <w:vAlign w:val="bottom"/>
            <w:hideMark/>
          </w:tcPr>
          <w:p w14:paraId="0B69D512" w14:textId="77777777" w:rsidR="00114688" w:rsidRPr="00114688" w:rsidRDefault="00114688" w:rsidP="00114688">
            <w:pPr>
              <w:widowControl/>
              <w:autoSpaceDE/>
              <w:autoSpaceDN/>
              <w:jc w:val="center"/>
              <w:rPr>
                <w:rFonts w:ascii="Calibri" w:hAnsi="Calibri" w:cs="Calibri"/>
                <w:color w:val="000000"/>
                <w:lang w:val="pt-BR" w:eastAsia="pt-BR"/>
              </w:rPr>
            </w:pPr>
            <w:r>
              <w:rPr>
                <w:rFonts w:ascii="Calibri" w:hAnsi="Calibri" w:cs="Calibri"/>
                <w:color w:val="000000"/>
                <w:lang w:val="pt-BR" w:eastAsia="pt-BR"/>
              </w:rPr>
              <w:t>30,80%</w:t>
            </w:r>
          </w:p>
        </w:tc>
        <w:tc>
          <w:tcPr>
            <w:tcW w:w="4820" w:type="dxa"/>
            <w:tcBorders>
              <w:top w:val="nil"/>
              <w:left w:val="nil"/>
              <w:bottom w:val="single" w:sz="8" w:space="0" w:color="auto"/>
              <w:right w:val="single" w:sz="8" w:space="0" w:color="auto"/>
            </w:tcBorders>
            <w:shd w:val="clear" w:color="auto" w:fill="auto"/>
            <w:noWrap/>
            <w:vAlign w:val="bottom"/>
            <w:hideMark/>
          </w:tcPr>
          <w:p w14:paraId="761FC85C" w14:textId="77777777" w:rsidR="00114688" w:rsidRPr="00114688" w:rsidRDefault="00114688" w:rsidP="00114688">
            <w:pPr>
              <w:widowControl/>
              <w:autoSpaceDE/>
              <w:autoSpaceDN/>
              <w:rPr>
                <w:rFonts w:ascii="Calibri" w:hAnsi="Calibri" w:cs="Calibri"/>
                <w:color w:val="000000"/>
                <w:lang w:val="pt-BR" w:eastAsia="pt-BR"/>
              </w:rPr>
            </w:pPr>
            <w:r>
              <w:rPr>
                <w:rFonts w:ascii="Calibri" w:hAnsi="Calibri" w:cs="Calibri"/>
                <w:color w:val="000000"/>
                <w:lang w:val="pt-BR" w:eastAsia="pt-BR"/>
              </w:rPr>
              <w:t>Normalização relativa</w:t>
            </w:r>
          </w:p>
        </w:tc>
      </w:tr>
    </w:tbl>
    <w:p w14:paraId="5BA5350C" w14:textId="77777777" w:rsidR="00114688" w:rsidRPr="00114688" w:rsidRDefault="00114688" w:rsidP="00114688">
      <w:pPr>
        <w:jc w:val="center"/>
        <w:rPr>
          <w:sz w:val="24"/>
          <w:szCs w:val="24"/>
        </w:rPr>
      </w:pPr>
      <w:r>
        <w:t>Fonte: elaboração própria.</w:t>
      </w:r>
    </w:p>
    <w:p w14:paraId="6BF0E253" w14:textId="77777777" w:rsidR="00114688" w:rsidRDefault="00114688" w:rsidP="00043795"/>
    <w:p w14:paraId="1327899C" w14:textId="77777777" w:rsidR="00114688" w:rsidRPr="00114688" w:rsidRDefault="00114688" w:rsidP="00114688">
      <w:pPr>
        <w:spacing w:line="360" w:lineRule="auto"/>
        <w:ind w:firstLine="851"/>
        <w:jc w:val="both"/>
        <w:rPr>
          <w:sz w:val="24"/>
          <w:szCs w:val="24"/>
        </w:rPr>
      </w:pPr>
      <w:r>
        <w:t xml:space="preserve">A variabilidade da volatilidade entre subperíodos — com a volatilidade média do </w:t>
      </w:r>
      <w:r>
        <w:rPr>
          <w:rStyle w:val="nfase"/>
        </w:rPr>
        <w:t>crash</w:t>
      </w:r>
      <w:r>
        <w:t xml:space="preserve"> COVID representando 1,95 vezes a volatilidade do período pré-crise — constitui evidência empírica direta de que a hipótese de variância constante, implícita no modelo de Markowitz clássico, é violada sistematicamente. A quebra estrutural está na </w:t>
      </w:r>
      <w:r>
        <w:rPr>
          <w:rStyle w:val="Forte"/>
        </w:rPr>
        <w:t>variância</w:t>
      </w:r>
      <w:r>
        <w:t xml:space="preserve"> e não na média dos retornos, o que fundamenta a superioridade metodológica de abordagens que modelam dinamicamente a covariância ou que penalizam o risco de cauda.</w:t>
      </w:r>
    </w:p>
    <w:p w14:paraId="6ED6D819" w14:textId="77777777" w:rsidR="00310893" w:rsidRPr="000815A7" w:rsidRDefault="00310893" w:rsidP="00310893">
      <w:pPr>
        <w:rPr>
          <w:bCs/>
          <w:sz w:val="24"/>
          <w:szCs w:val="24"/>
        </w:rPr>
      </w:pPr>
    </w:p>
    <w:p w14:paraId="432D1A4A" w14:textId="77777777" w:rsidR="00310893" w:rsidRPr="00D75844" w:rsidRDefault="00310893" w:rsidP="00853490">
      <w:pPr>
        <w:pStyle w:val="Ttulo3"/>
        <w:numPr>
          <w:ilvl w:val="2"/>
          <w:numId w:val="1"/>
        </w:numPr>
        <w:ind w:left="0" w:firstLine="0"/>
        <w:rPr>
          <w:b w:val="0"/>
          <w:sz w:val="22"/>
        </w:rPr>
      </w:pPr>
      <w:bookmarkStart w:id="130" w:name="_Toc230857076"/>
      <w:r>
        <w:t>Estrutura de Correlação</w:t>
      </w:r>
      <w:bookmarkEnd w:id="130"/>
    </w:p>
    <w:p w14:paraId="34564F3E" w14:textId="77777777" w:rsidR="00310893" w:rsidRPr="00114688" w:rsidRDefault="00310893" w:rsidP="00310893">
      <w:pPr>
        <w:rPr>
          <w:b/>
          <w:sz w:val="24"/>
        </w:rPr>
      </w:pPr>
    </w:p>
    <w:p w14:paraId="6E2AC680" w14:textId="77777777" w:rsidR="00310893" w:rsidRDefault="00310893" w:rsidP="00310893">
      <w:pPr>
        <w:pStyle w:val="font-claude-response-body"/>
        <w:spacing w:before="0" w:beforeAutospacing="0" w:after="0" w:afterAutospacing="0" w:line="360" w:lineRule="auto"/>
        <w:ind w:firstLine="851"/>
        <w:jc w:val="both"/>
      </w:pPr>
      <w:r>
        <w:t xml:space="preserve">A correlação média de Pearson entre os pares de ativos da amostra, calculada sobre os retornos em excesso diários do período completo, foi de </w:t>
      </w:r>
      <w:r>
        <w:rPr>
          <w:rStyle w:val="Forte"/>
        </w:rPr>
        <w:t>0,2058</w:t>
      </w:r>
      <w:r>
        <w:t>. Esse valor é inferior à correlação média documentada para o S&amp;P 500 no mesmo período (aproximadamente 0,30–0,40), sugerindo maiores oportunidades de diversificação no mercado brasileiro em condições normais.</w:t>
      </w:r>
    </w:p>
    <w:p w14:paraId="7A0E198D" w14:textId="77777777" w:rsidR="00310893" w:rsidRDefault="00310893" w:rsidP="00310893">
      <w:pPr>
        <w:pStyle w:val="font-claude-response-body"/>
        <w:spacing w:before="0" w:beforeAutospacing="0" w:after="0" w:afterAutospacing="0" w:line="360" w:lineRule="auto"/>
        <w:ind w:firstLine="851"/>
        <w:jc w:val="both"/>
      </w:pPr>
      <w:r>
        <w:lastRenderedPageBreak/>
        <w:t xml:space="preserve">Contudo, a análise da covariância revelou que apenas </w:t>
      </w:r>
      <w:r>
        <w:rPr>
          <w:rStyle w:val="Forte"/>
        </w:rPr>
        <w:t>1 par dentre os 8.385 cruzamentos possíveis</w:t>
      </w:r>
      <w:r>
        <w:t xml:space="preserve"> — RCSL4 e GOLL54 — apresentou covariância estritamente negativa (-0,0159). A quase totalidade das correlações é positiva, reflexo do elevado risco sistemático do mercado brasileiro, no qual choques macroeconômicos (variações da Selic, câmbio e ciclos políticos) afetam simultaneamente todos os ativos. Em períodos de crise, as correlações convergem para valores próximos de 1, eliminando os benefícios de diversificação precisamente quando são mais necessários.</w:t>
      </w:r>
    </w:p>
    <w:p w14:paraId="09F73C93" w14:textId="77777777" w:rsidR="00310893" w:rsidRPr="000815A7" w:rsidRDefault="00310893" w:rsidP="00310893">
      <w:pPr>
        <w:rPr>
          <w:bCs/>
          <w:sz w:val="24"/>
          <w:szCs w:val="24"/>
        </w:rPr>
      </w:pPr>
    </w:p>
    <w:p w14:paraId="6CDB7ABD" w14:textId="77777777" w:rsidR="00310893" w:rsidRPr="00D75844" w:rsidRDefault="00310893" w:rsidP="00853490">
      <w:pPr>
        <w:pStyle w:val="Ttulo3"/>
        <w:numPr>
          <w:ilvl w:val="2"/>
          <w:numId w:val="1"/>
        </w:numPr>
        <w:ind w:left="0" w:firstLine="0"/>
        <w:rPr>
          <w:b w:val="0"/>
          <w:sz w:val="22"/>
        </w:rPr>
      </w:pPr>
      <w:bookmarkStart w:id="131" w:name="_Toc230857077"/>
      <w:r>
        <w:t>Síntese do Diagnóstico Econométrico</w:t>
      </w:r>
      <w:bookmarkEnd w:id="131"/>
    </w:p>
    <w:p w14:paraId="3B008C5D" w14:textId="77777777" w:rsidR="00310893" w:rsidRDefault="00310893" w:rsidP="00310893">
      <w:pPr>
        <w:rPr>
          <w:sz w:val="24"/>
        </w:rPr>
      </w:pPr>
    </w:p>
    <w:p w14:paraId="1F158E40" w14:textId="77777777" w:rsidR="00310893" w:rsidRPr="00310893" w:rsidRDefault="00310893" w:rsidP="00310893">
      <w:pPr>
        <w:rPr>
          <w:sz w:val="24"/>
        </w:rPr>
      </w:pPr>
    </w:p>
    <w:p w14:paraId="18FEE526" w14:textId="359210EE" w:rsidR="00310893" w:rsidRPr="00310893" w:rsidRDefault="00310893" w:rsidP="00310893">
      <w:pPr>
        <w:pStyle w:val="Legenda"/>
        <w:keepNext/>
        <w:jc w:val="center"/>
        <w:rPr>
          <w:rFonts w:ascii="Times New Roman" w:hAnsi="Times New Roman" w:cs="Times New Roman"/>
          <w:i w:val="0"/>
          <w:color w:val="auto"/>
          <w:sz w:val="24"/>
        </w:rPr>
      </w:pPr>
      <w:bookmarkStart w:id="132" w:name="_Toc230853333"/>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7</w:t>
      </w:r>
      <w:r>
        <w:rPr>
          <w:rFonts w:ascii="Times New Roman" w:hAnsi="Times New Roman" w:cs="Times New Roman"/>
          <w:i w:val="0"/>
          <w:color w:val="auto"/>
          <w:sz w:val="24"/>
        </w:rPr>
        <w:fldChar w:fldCharType="end"/>
        <w:t xml:space="preserve"> - Resultados Consolidados dos Testes Econométricos (135 ativos)</w:t>
      </w:r>
      <w:bookmarkEnd w:id="132"/>
    </w:p>
    <w:tbl>
      <w:tblPr>
        <w:tblW w:w="8240" w:type="dxa"/>
        <w:jc w:val="center"/>
        <w:tblCellMar>
          <w:left w:w="70" w:type="dxa"/>
          <w:right w:w="70" w:type="dxa"/>
        </w:tblCellMar>
        <w:tblLook w:val="04A0" w:firstRow="1" w:lastRow="0" w:firstColumn="1" w:lastColumn="0" w:noHBand="0" w:noVBand="1"/>
      </w:tblPr>
      <w:tblGrid>
        <w:gridCol w:w="2920"/>
        <w:gridCol w:w="2400"/>
        <w:gridCol w:w="2920"/>
      </w:tblGrid>
      <w:tr w:rsidR="00310893" w:rsidRPr="00310893" w14:paraId="00263F53" w14:textId="77777777" w:rsidTr="00310893">
        <w:trPr>
          <w:trHeight w:val="315"/>
          <w:jc w:val="center"/>
        </w:trPr>
        <w:tc>
          <w:tcPr>
            <w:tcW w:w="292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05A9A99E"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Teste</w:t>
            </w:r>
          </w:p>
        </w:tc>
        <w:tc>
          <w:tcPr>
            <w:tcW w:w="2400" w:type="dxa"/>
            <w:tcBorders>
              <w:top w:val="single" w:sz="8" w:space="0" w:color="auto"/>
              <w:left w:val="nil"/>
              <w:bottom w:val="single" w:sz="4" w:space="0" w:color="auto"/>
              <w:right w:val="single" w:sz="4" w:space="0" w:color="auto"/>
            </w:tcBorders>
            <w:shd w:val="clear" w:color="auto" w:fill="auto"/>
            <w:noWrap/>
            <w:vAlign w:val="center"/>
            <w:hideMark/>
          </w:tcPr>
          <w:p w14:paraId="58DCB876"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H₀</w:t>
            </w:r>
          </w:p>
        </w:tc>
        <w:tc>
          <w:tcPr>
            <w:tcW w:w="2920" w:type="dxa"/>
            <w:tcBorders>
              <w:top w:val="single" w:sz="8" w:space="0" w:color="auto"/>
              <w:left w:val="nil"/>
              <w:bottom w:val="single" w:sz="4" w:space="0" w:color="auto"/>
              <w:right w:val="single" w:sz="8" w:space="0" w:color="auto"/>
            </w:tcBorders>
            <w:shd w:val="clear" w:color="auto" w:fill="auto"/>
            <w:noWrap/>
            <w:vAlign w:val="center"/>
            <w:hideMark/>
          </w:tcPr>
          <w:p w14:paraId="269D6B33" w14:textId="77777777" w:rsidR="00310893" w:rsidRPr="00310893" w:rsidRDefault="00310893" w:rsidP="00310893">
            <w:pPr>
              <w:widowControl/>
              <w:autoSpaceDE/>
              <w:autoSpaceDN/>
              <w:jc w:val="center"/>
              <w:rPr>
                <w:b/>
                <w:bCs/>
                <w:color w:val="000000"/>
                <w:sz w:val="24"/>
                <w:szCs w:val="24"/>
                <w:lang w:val="pt-BR" w:eastAsia="pt-BR"/>
              </w:rPr>
            </w:pPr>
            <w:r>
              <w:rPr>
                <w:b/>
                <w:bCs/>
                <w:color w:val="000000"/>
                <w:sz w:val="24"/>
                <w:szCs w:val="24"/>
                <w:lang w:val="pt-BR" w:eastAsia="pt-BR"/>
              </w:rPr>
              <w:t>Resultado</w:t>
            </w:r>
          </w:p>
        </w:tc>
      </w:tr>
      <w:tr w:rsidR="00310893" w:rsidRPr="00310893" w14:paraId="7A2DE6A4"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565804AE"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ADF (log-retornos)</w:t>
            </w:r>
          </w:p>
        </w:tc>
        <w:tc>
          <w:tcPr>
            <w:tcW w:w="2400" w:type="dxa"/>
            <w:tcBorders>
              <w:top w:val="nil"/>
              <w:left w:val="nil"/>
              <w:bottom w:val="single" w:sz="4" w:space="0" w:color="auto"/>
              <w:right w:val="single" w:sz="4" w:space="0" w:color="auto"/>
            </w:tcBorders>
            <w:shd w:val="clear" w:color="auto" w:fill="auto"/>
            <w:noWrap/>
            <w:vAlign w:val="center"/>
            <w:hideMark/>
          </w:tcPr>
          <w:p w14:paraId="09B86387"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Raiz unitária</w:t>
            </w:r>
          </w:p>
        </w:tc>
        <w:tc>
          <w:tcPr>
            <w:tcW w:w="2920" w:type="dxa"/>
            <w:tcBorders>
              <w:top w:val="nil"/>
              <w:left w:val="nil"/>
              <w:bottom w:val="single" w:sz="4" w:space="0" w:color="auto"/>
              <w:right w:val="single" w:sz="8" w:space="0" w:color="auto"/>
            </w:tcBorders>
            <w:shd w:val="clear" w:color="auto" w:fill="auto"/>
            <w:noWrap/>
            <w:vAlign w:val="center"/>
            <w:hideMark/>
          </w:tcPr>
          <w:p w14:paraId="01CEEB84"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Estacionário em 130/130 </w:t>
            </w:r>
            <w:r>
              <w:rPr>
                <w:rFonts w:ascii="Segoe UI Symbol" w:hAnsi="Segoe UI Symbol" w:cs="Segoe UI Symbol"/>
                <w:color w:val="000000"/>
                <w:lang w:val="pt-BR" w:eastAsia="pt-BR"/>
              </w:rPr>
              <w:t>✓</w:t>
            </w:r>
          </w:p>
        </w:tc>
      </w:tr>
      <w:tr w:rsidR="00310893" w:rsidRPr="00310893" w14:paraId="1E40023C"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4DF60A8E"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Ljung-Box Q(10) nos retornos</w:t>
            </w:r>
          </w:p>
        </w:tc>
        <w:tc>
          <w:tcPr>
            <w:tcW w:w="2400" w:type="dxa"/>
            <w:tcBorders>
              <w:top w:val="nil"/>
              <w:left w:val="nil"/>
              <w:bottom w:val="single" w:sz="4" w:space="0" w:color="auto"/>
              <w:right w:val="single" w:sz="4" w:space="0" w:color="auto"/>
            </w:tcBorders>
            <w:shd w:val="clear" w:color="auto" w:fill="auto"/>
            <w:noWrap/>
            <w:vAlign w:val="center"/>
            <w:hideMark/>
          </w:tcPr>
          <w:p w14:paraId="72FFC66B"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autocorrelação</w:t>
            </w:r>
          </w:p>
        </w:tc>
        <w:tc>
          <w:tcPr>
            <w:tcW w:w="2920" w:type="dxa"/>
            <w:tcBorders>
              <w:top w:val="nil"/>
              <w:left w:val="nil"/>
              <w:bottom w:val="single" w:sz="4" w:space="0" w:color="auto"/>
              <w:right w:val="single" w:sz="8" w:space="0" w:color="auto"/>
            </w:tcBorders>
            <w:shd w:val="clear" w:color="auto" w:fill="auto"/>
            <w:noWrap/>
            <w:vAlign w:val="center"/>
            <w:hideMark/>
          </w:tcPr>
          <w:p w14:paraId="596BF918"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Rejeitada em 115/130</w:t>
            </w:r>
          </w:p>
        </w:tc>
      </w:tr>
      <w:tr w:rsidR="00310893" w:rsidRPr="00310893" w14:paraId="61B662CE"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18A27C95"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Ljung-Box Q(10) nos retornos²</w:t>
            </w:r>
          </w:p>
        </w:tc>
        <w:tc>
          <w:tcPr>
            <w:tcW w:w="2400" w:type="dxa"/>
            <w:tcBorders>
              <w:top w:val="nil"/>
              <w:left w:val="nil"/>
              <w:bottom w:val="single" w:sz="4" w:space="0" w:color="auto"/>
              <w:right w:val="single" w:sz="4" w:space="0" w:color="auto"/>
            </w:tcBorders>
            <w:shd w:val="clear" w:color="auto" w:fill="auto"/>
            <w:noWrap/>
            <w:vAlign w:val="center"/>
            <w:hideMark/>
          </w:tcPr>
          <w:p w14:paraId="2C92303B"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efeito ARCH</w:t>
            </w:r>
          </w:p>
        </w:tc>
        <w:tc>
          <w:tcPr>
            <w:tcW w:w="2920" w:type="dxa"/>
            <w:tcBorders>
              <w:top w:val="nil"/>
              <w:left w:val="nil"/>
              <w:bottom w:val="single" w:sz="4" w:space="0" w:color="auto"/>
              <w:right w:val="single" w:sz="8" w:space="0" w:color="auto"/>
            </w:tcBorders>
            <w:shd w:val="clear" w:color="auto" w:fill="auto"/>
            <w:noWrap/>
            <w:vAlign w:val="center"/>
            <w:hideMark/>
          </w:tcPr>
          <w:p w14:paraId="7F510193"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15CEEDAA" w14:textId="77777777" w:rsidTr="00310893">
        <w:trPr>
          <w:trHeight w:val="315"/>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2CF96329"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ARCH LM (10 defasagens)</w:t>
            </w:r>
          </w:p>
        </w:tc>
        <w:tc>
          <w:tcPr>
            <w:tcW w:w="2400" w:type="dxa"/>
            <w:tcBorders>
              <w:top w:val="nil"/>
              <w:left w:val="nil"/>
              <w:bottom w:val="single" w:sz="4" w:space="0" w:color="auto"/>
              <w:right w:val="single" w:sz="4" w:space="0" w:color="auto"/>
            </w:tcBorders>
            <w:shd w:val="clear" w:color="auto" w:fill="auto"/>
            <w:noWrap/>
            <w:vAlign w:val="center"/>
            <w:hideMark/>
          </w:tcPr>
          <w:p w14:paraId="765DEC11"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Variância constante</w:t>
            </w:r>
          </w:p>
        </w:tc>
        <w:tc>
          <w:tcPr>
            <w:tcW w:w="2920" w:type="dxa"/>
            <w:tcBorders>
              <w:top w:val="nil"/>
              <w:left w:val="nil"/>
              <w:bottom w:val="single" w:sz="4" w:space="0" w:color="auto"/>
              <w:right w:val="single" w:sz="8" w:space="0" w:color="auto"/>
            </w:tcBorders>
            <w:shd w:val="clear" w:color="auto" w:fill="auto"/>
            <w:noWrap/>
            <w:vAlign w:val="center"/>
            <w:hideMark/>
          </w:tcPr>
          <w:p w14:paraId="0C362FA8"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0E80CB0D" w14:textId="77777777" w:rsidTr="00310893">
        <w:trPr>
          <w:trHeight w:val="33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3E805DFC"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Jarque-Bera</w:t>
            </w:r>
          </w:p>
        </w:tc>
        <w:tc>
          <w:tcPr>
            <w:tcW w:w="2400" w:type="dxa"/>
            <w:tcBorders>
              <w:top w:val="nil"/>
              <w:left w:val="nil"/>
              <w:bottom w:val="single" w:sz="4" w:space="0" w:color="auto"/>
              <w:right w:val="single" w:sz="4" w:space="0" w:color="auto"/>
            </w:tcBorders>
            <w:shd w:val="clear" w:color="auto" w:fill="auto"/>
            <w:noWrap/>
            <w:vAlign w:val="center"/>
            <w:hideMark/>
          </w:tcPr>
          <w:p w14:paraId="5DA27479"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Normalidade</w:t>
            </w:r>
          </w:p>
        </w:tc>
        <w:tc>
          <w:tcPr>
            <w:tcW w:w="2920" w:type="dxa"/>
            <w:tcBorders>
              <w:top w:val="nil"/>
              <w:left w:val="nil"/>
              <w:bottom w:val="single" w:sz="4" w:space="0" w:color="auto"/>
              <w:right w:val="single" w:sz="8" w:space="0" w:color="auto"/>
            </w:tcBorders>
            <w:shd w:val="clear" w:color="auto" w:fill="auto"/>
            <w:noWrap/>
            <w:vAlign w:val="center"/>
            <w:hideMark/>
          </w:tcPr>
          <w:p w14:paraId="3C5B1D53"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Rejeitada em 130/130 </w:t>
            </w:r>
            <w:r>
              <w:rPr>
                <w:rFonts w:ascii="Segoe UI Symbol" w:hAnsi="Segoe UI Symbol" w:cs="Segoe UI Symbol"/>
                <w:color w:val="000000"/>
                <w:lang w:val="pt-BR" w:eastAsia="pt-BR"/>
              </w:rPr>
              <w:t>✗</w:t>
            </w:r>
          </w:p>
        </w:tc>
      </w:tr>
      <w:tr w:rsidR="00310893" w:rsidRPr="00310893" w14:paraId="3C8E74D3" w14:textId="77777777" w:rsidTr="00310893">
        <w:trPr>
          <w:trHeight w:val="300"/>
          <w:jc w:val="center"/>
        </w:trPr>
        <w:tc>
          <w:tcPr>
            <w:tcW w:w="2920" w:type="dxa"/>
            <w:tcBorders>
              <w:top w:val="nil"/>
              <w:left w:val="single" w:sz="8" w:space="0" w:color="auto"/>
              <w:bottom w:val="single" w:sz="4" w:space="0" w:color="auto"/>
              <w:right w:val="single" w:sz="4" w:space="0" w:color="auto"/>
            </w:tcBorders>
            <w:shd w:val="clear" w:color="auto" w:fill="auto"/>
            <w:noWrap/>
            <w:vAlign w:val="center"/>
            <w:hideMark/>
          </w:tcPr>
          <w:p w14:paraId="7DFA79A6"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Chow (média, 4 datas)</w:t>
            </w:r>
          </w:p>
        </w:tc>
        <w:tc>
          <w:tcPr>
            <w:tcW w:w="2400" w:type="dxa"/>
            <w:tcBorders>
              <w:top w:val="nil"/>
              <w:left w:val="nil"/>
              <w:bottom w:val="single" w:sz="4" w:space="0" w:color="auto"/>
              <w:right w:val="single" w:sz="4" w:space="0" w:color="auto"/>
            </w:tcBorders>
            <w:shd w:val="clear" w:color="auto" w:fill="auto"/>
            <w:noWrap/>
            <w:vAlign w:val="center"/>
            <w:hideMark/>
          </w:tcPr>
          <w:p w14:paraId="0D19E3E6"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quebra na média</w:t>
            </w:r>
          </w:p>
        </w:tc>
        <w:tc>
          <w:tcPr>
            <w:tcW w:w="2920" w:type="dxa"/>
            <w:tcBorders>
              <w:top w:val="nil"/>
              <w:left w:val="nil"/>
              <w:bottom w:val="single" w:sz="4" w:space="0" w:color="auto"/>
              <w:right w:val="single" w:sz="8" w:space="0" w:color="auto"/>
            </w:tcBorders>
            <w:shd w:val="clear" w:color="auto" w:fill="auto"/>
            <w:noWrap/>
            <w:vAlign w:val="center"/>
            <w:hideMark/>
          </w:tcPr>
          <w:p w14:paraId="35489525"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Não rejeitada em &gt;92% </w:t>
            </w:r>
            <w:r>
              <w:rPr>
                <w:rFonts w:ascii="Segoe UI Symbol" w:hAnsi="Segoe UI Symbol" w:cs="Segoe UI Symbol"/>
                <w:color w:val="000000"/>
                <w:lang w:val="pt-BR" w:eastAsia="pt-BR"/>
              </w:rPr>
              <w:t>✓</w:t>
            </w:r>
          </w:p>
        </w:tc>
      </w:tr>
      <w:tr w:rsidR="00310893" w:rsidRPr="00310893" w14:paraId="0D52E282" w14:textId="77777777" w:rsidTr="00310893">
        <w:trPr>
          <w:trHeight w:val="315"/>
          <w:jc w:val="center"/>
        </w:trPr>
        <w:tc>
          <w:tcPr>
            <w:tcW w:w="2920" w:type="dxa"/>
            <w:tcBorders>
              <w:top w:val="nil"/>
              <w:left w:val="single" w:sz="8" w:space="0" w:color="auto"/>
              <w:bottom w:val="single" w:sz="8" w:space="0" w:color="auto"/>
              <w:right w:val="single" w:sz="4" w:space="0" w:color="auto"/>
            </w:tcBorders>
            <w:shd w:val="clear" w:color="auto" w:fill="auto"/>
            <w:noWrap/>
            <w:vAlign w:val="center"/>
            <w:hideMark/>
          </w:tcPr>
          <w:p w14:paraId="402487F6"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CUSUM (volatilidade)</w:t>
            </w:r>
          </w:p>
        </w:tc>
        <w:tc>
          <w:tcPr>
            <w:tcW w:w="2400" w:type="dxa"/>
            <w:tcBorders>
              <w:top w:val="nil"/>
              <w:left w:val="nil"/>
              <w:bottom w:val="single" w:sz="8" w:space="0" w:color="auto"/>
              <w:right w:val="single" w:sz="4" w:space="0" w:color="auto"/>
            </w:tcBorders>
            <w:shd w:val="clear" w:color="auto" w:fill="auto"/>
            <w:noWrap/>
            <w:vAlign w:val="center"/>
            <w:hideMark/>
          </w:tcPr>
          <w:p w14:paraId="5480C2E1"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Sem quebra na variância</w:t>
            </w:r>
          </w:p>
        </w:tc>
        <w:tc>
          <w:tcPr>
            <w:tcW w:w="2920" w:type="dxa"/>
            <w:tcBorders>
              <w:top w:val="nil"/>
              <w:left w:val="nil"/>
              <w:bottom w:val="single" w:sz="8" w:space="0" w:color="auto"/>
              <w:right w:val="single" w:sz="8" w:space="0" w:color="auto"/>
            </w:tcBorders>
            <w:shd w:val="clear" w:color="auto" w:fill="auto"/>
            <w:noWrap/>
            <w:vAlign w:val="center"/>
            <w:hideMark/>
          </w:tcPr>
          <w:p w14:paraId="6AC11BC2" w14:textId="77777777" w:rsidR="00310893" w:rsidRPr="00310893" w:rsidRDefault="00310893" w:rsidP="00310893">
            <w:pPr>
              <w:widowControl/>
              <w:autoSpaceDE/>
              <w:autoSpaceDN/>
              <w:jc w:val="center"/>
              <w:rPr>
                <w:rFonts w:ascii="Calibri" w:hAnsi="Calibri" w:cs="Calibri"/>
                <w:color w:val="000000"/>
                <w:lang w:val="pt-BR" w:eastAsia="pt-BR"/>
              </w:rPr>
            </w:pPr>
            <w:r>
              <w:rPr>
                <w:rFonts w:ascii="Calibri" w:hAnsi="Calibri" w:cs="Calibri"/>
                <w:color w:val="000000"/>
                <w:lang w:val="pt-BR" w:eastAsia="pt-BR"/>
              </w:rPr>
              <w:t xml:space="preserve">Quebra detectada pós-2015 </w:t>
            </w:r>
            <w:r>
              <w:rPr>
                <w:rFonts w:ascii="Segoe UI Symbol" w:hAnsi="Segoe UI Symbol" w:cs="Segoe UI Symbol"/>
                <w:color w:val="000000"/>
                <w:lang w:val="pt-BR" w:eastAsia="pt-BR"/>
              </w:rPr>
              <w:t>✗</w:t>
            </w:r>
          </w:p>
        </w:tc>
      </w:tr>
    </w:tbl>
    <w:p w14:paraId="3FC84076" w14:textId="77777777" w:rsidR="00114688" w:rsidRDefault="00310893" w:rsidP="00310893">
      <w:pPr>
        <w:jc w:val="center"/>
        <w:rPr>
          <w:sz w:val="24"/>
          <w:szCs w:val="24"/>
        </w:rPr>
      </w:pPr>
      <w:r>
        <w:t xml:space="preserve">Fonte: elaboração própria. </w:t>
      </w:r>
      <w:r>
        <w:rPr>
          <w:rFonts w:ascii="Segoe UI Symbol" w:hAnsi="Segoe UI Symbol" w:cs="Segoe UI Symbol"/>
        </w:rPr>
        <w:t>✓</w:t>
      </w:r>
      <w:r>
        <w:t xml:space="preserve"> = favorável à modelagem; </w:t>
      </w:r>
      <w:r>
        <w:rPr>
          <w:rFonts w:ascii="Segoe UI Symbol" w:hAnsi="Segoe UI Symbol" w:cs="Segoe UI Symbol"/>
        </w:rPr>
        <w:t>✗</w:t>
      </w:r>
      <w:r>
        <w:t xml:space="preserve"> = requer atenção metodológica.</w:t>
      </w:r>
    </w:p>
    <w:p w14:paraId="005DC14B" w14:textId="77777777" w:rsidR="00310893" w:rsidRDefault="00310893" w:rsidP="00043795">
      <w:pPr>
        <w:rPr>
          <w:sz w:val="24"/>
          <w:szCs w:val="24"/>
        </w:rPr>
      </w:pPr>
    </w:p>
    <w:p w14:paraId="27CD063B" w14:textId="77777777" w:rsidR="00310893" w:rsidRDefault="00310893" w:rsidP="00310893">
      <w:pPr>
        <w:spacing w:line="360" w:lineRule="auto"/>
        <w:ind w:firstLine="851"/>
        <w:jc w:val="both"/>
        <w:rPr>
          <w:sz w:val="24"/>
          <w:szCs w:val="24"/>
        </w:rPr>
      </w:pPr>
      <w:r>
        <w:t>A convergência dos testes aponta três implicações diretas para a modelagem: (i) a transformação para log-retornos é suficiente para garantir estacionariedade; (ii) modelos de variância constante são inadequados para todos os ativos da amostra; e (iii) a distribuição gaussiana subestima sistematicamente o risco de eventos extremos. Esses achados corroboram empiricamente as premissas que motivaram o uso de penalidade L1 nos otimizadores e justificam a escolha do Índice de Sortino como métrica complementar ao Índice de Sharpe na avaliação de desempenho.</w:t>
      </w:r>
    </w:p>
    <w:p w14:paraId="7F74D0CF" w14:textId="77777777" w:rsidR="00310893" w:rsidRPr="00114688" w:rsidRDefault="00310893" w:rsidP="00043795">
      <w:pPr>
        <w:rPr>
          <w:sz w:val="24"/>
          <w:szCs w:val="24"/>
        </w:rPr>
      </w:pPr>
    </w:p>
    <w:p w14:paraId="3F7B9973" w14:textId="77777777" w:rsidR="00043795" w:rsidRPr="00310893" w:rsidRDefault="00310893" w:rsidP="00853490">
      <w:pPr>
        <w:pStyle w:val="Ttulo2"/>
        <w:numPr>
          <w:ilvl w:val="1"/>
          <w:numId w:val="1"/>
        </w:numPr>
        <w:ind w:left="0" w:firstLine="0"/>
        <w:jc w:val="left"/>
        <w:rPr>
          <w:sz w:val="22"/>
          <w:szCs w:val="24"/>
        </w:rPr>
      </w:pPr>
      <w:bookmarkStart w:id="133" w:name="_Toc230857078"/>
      <w:r>
        <w:rPr>
          <w:sz w:val="24"/>
        </w:rPr>
        <w:t xml:space="preserve">Resultados do Backtest </w:t>
      </w:r>
      <w:r>
        <w:rPr>
          <w:rStyle w:val="nfase"/>
          <w:sz w:val="24"/>
        </w:rPr>
        <w:t>Out-of-Sample</w:t>
      </w:r>
      <w:r>
        <w:rPr>
          <w:sz w:val="24"/>
        </w:rPr>
        <w:t xml:space="preserve"> (2015–2025)Caracterização da Amostra Final</w:t>
      </w:r>
      <w:bookmarkEnd w:id="133"/>
    </w:p>
    <w:p w14:paraId="03BA9B2F" w14:textId="77777777" w:rsidR="00310893" w:rsidRDefault="00310893" w:rsidP="00310893">
      <w:pPr>
        <w:rPr>
          <w:bCs/>
          <w:sz w:val="24"/>
          <w:szCs w:val="24"/>
        </w:rPr>
      </w:pPr>
    </w:p>
    <w:p w14:paraId="28E01BB7" w14:textId="77777777" w:rsidR="00310893" w:rsidRPr="00310893" w:rsidRDefault="00310893" w:rsidP="00310893">
      <w:pPr>
        <w:spacing w:line="360" w:lineRule="auto"/>
        <w:ind w:firstLine="851"/>
        <w:jc w:val="both"/>
        <w:rPr>
          <w:sz w:val="24"/>
          <w:szCs w:val="24"/>
        </w:rPr>
      </w:pPr>
      <w:r>
        <w:rPr>
          <w:sz w:val="24"/>
          <w:szCs w:val="24"/>
        </w:rPr>
        <w:t xml:space="preserve">O período de avaliação </w:t>
      </w:r>
      <w:r>
        <w:rPr>
          <w:rStyle w:val="nfase"/>
          <w:sz w:val="24"/>
          <w:szCs w:val="24"/>
        </w:rPr>
        <w:t>out-of-sample</w:t>
      </w:r>
      <w:r>
        <w:rPr>
          <w:sz w:val="24"/>
          <w:szCs w:val="24"/>
        </w:rPr>
        <w:t xml:space="preserve"> compreende </w:t>
      </w:r>
      <w:r>
        <w:rPr>
          <w:rStyle w:val="Forte"/>
          <w:sz w:val="24"/>
          <w:szCs w:val="24"/>
        </w:rPr>
        <w:t>janeiro de 2015 a dezembro de 2025</w:t>
      </w:r>
      <w:r>
        <w:rPr>
          <w:sz w:val="24"/>
          <w:szCs w:val="24"/>
        </w:rPr>
        <w:t>, com 132 pontos mensais de rebalanceamento para as estratégias L1. O portfólio inicia com valor normalizado em R$ 1,00 (ou equivalentemente, índice 100) e evolui segundo a curva de capital descrita na Metodologia (Seção 3.6).</w:t>
      </w:r>
    </w:p>
    <w:p w14:paraId="3893F374" w14:textId="77777777" w:rsidR="00310893" w:rsidRPr="000815A7" w:rsidRDefault="00310893" w:rsidP="00310893">
      <w:pPr>
        <w:rPr>
          <w:bCs/>
          <w:sz w:val="24"/>
          <w:szCs w:val="24"/>
        </w:rPr>
      </w:pPr>
    </w:p>
    <w:p w14:paraId="1EEF76EB" w14:textId="77777777" w:rsidR="00310893" w:rsidRPr="00310893" w:rsidRDefault="00310893" w:rsidP="00853490">
      <w:pPr>
        <w:pStyle w:val="Ttulo3"/>
        <w:numPr>
          <w:ilvl w:val="2"/>
          <w:numId w:val="1"/>
        </w:numPr>
        <w:ind w:left="0" w:firstLine="0"/>
        <w:rPr>
          <w:b w:val="0"/>
        </w:rPr>
      </w:pPr>
      <w:bookmarkStart w:id="134" w:name="_Toc230857079"/>
      <w:r>
        <w:rPr>
          <w:b w:val="0"/>
        </w:rPr>
        <w:t>Estratégia 1 — Mínima Variância Global com L1</w:t>
      </w:r>
      <w:bookmarkEnd w:id="134"/>
    </w:p>
    <w:p w14:paraId="63B1DDAD" w14:textId="77777777" w:rsidR="00310893" w:rsidRDefault="00310893" w:rsidP="00310893">
      <w:pPr>
        <w:rPr>
          <w:sz w:val="24"/>
        </w:rPr>
      </w:pPr>
    </w:p>
    <w:p w14:paraId="39921A8D" w14:textId="77777777" w:rsidR="00B068CE" w:rsidRDefault="00B068CE" w:rsidP="00310893">
      <w:pPr>
        <w:rPr>
          <w:sz w:val="24"/>
        </w:rPr>
      </w:pPr>
    </w:p>
    <w:p w14:paraId="351171DC" w14:textId="6B212979" w:rsidR="00B068CE" w:rsidRPr="00B068CE" w:rsidRDefault="00B068CE" w:rsidP="00B068CE">
      <w:pPr>
        <w:pStyle w:val="Legenda"/>
        <w:keepNext/>
        <w:jc w:val="center"/>
        <w:rPr>
          <w:rFonts w:ascii="Times New Roman" w:hAnsi="Times New Roman" w:cs="Times New Roman"/>
          <w:i w:val="0"/>
          <w:color w:val="auto"/>
          <w:sz w:val="24"/>
          <w:szCs w:val="24"/>
        </w:rPr>
      </w:pPr>
      <w:bookmarkStart w:id="135" w:name="_Toc230853334"/>
      <w:r>
        <w:rPr>
          <w:rFonts w:ascii="Times New Roman" w:hAnsi="Times New Roman" w:cs="Times New Roman"/>
          <w:i w:val="0"/>
          <w:color w:val="auto"/>
          <w:sz w:val="24"/>
          <w:szCs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szCs w:val="24"/>
        </w:rPr>
        <w:t>8</w:t>
      </w:r>
      <w:r>
        <w:rPr>
          <w:rFonts w:ascii="Times New Roman" w:hAnsi="Times New Roman" w:cs="Times New Roman"/>
          <w:i w:val="0"/>
          <w:color w:val="auto"/>
          <w:sz w:val="24"/>
          <w:szCs w:val="24"/>
        </w:rPr>
        <w:fldChar w:fldCharType="end"/>
        <w:r>
          <w:rPr>
            <w:rFonts w:ascii="Times New Roman" w:hAnsi="Times New Roman" w:cs="Times New Roman"/>
            <w:i w:val="0"/>
            <w:color w:val="auto"/>
            <w:sz w:val="24"/>
            <w:szCs w:val="24"/>
          </w:rPr>
          <w:t xml:space="preserve"> — Desempenho da Estratégia Mínima Variância (MinVar) (jan/2015 – dez/2025)</w:t>
        </w:r>
      </w:r>
      <w:bookmarkEnd w:id="135"/>
    </w:p>
    <w:tbl>
      <w:tblPr>
        <w:tblW w:w="9261" w:type="dxa"/>
        <w:jc w:val="center"/>
        <w:tblCellMar>
          <w:left w:w="70" w:type="dxa"/>
          <w:right w:w="70" w:type="dxa"/>
        </w:tblCellMar>
        <w:tblLook w:val="04A0" w:firstRow="1" w:lastRow="0" w:firstColumn="1" w:lastColumn="0" w:noHBand="0" w:noVBand="1"/>
      </w:tblPr>
      <w:tblGrid>
        <w:gridCol w:w="2996"/>
        <w:gridCol w:w="2882"/>
        <w:gridCol w:w="1947"/>
        <w:gridCol w:w="1436"/>
      </w:tblGrid>
      <w:tr w:rsidR="00B068CE" w:rsidRPr="00B068CE" w14:paraId="034CD0B9" w14:textId="77777777" w:rsidTr="00B068CE">
        <w:trPr>
          <w:trHeight w:val="319"/>
          <w:jc w:val="center"/>
        </w:trPr>
        <w:tc>
          <w:tcPr>
            <w:tcW w:w="2996"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7949C834"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2882" w:type="dxa"/>
            <w:tcBorders>
              <w:top w:val="single" w:sz="8" w:space="0" w:color="auto"/>
              <w:left w:val="nil"/>
              <w:bottom w:val="single" w:sz="4" w:space="0" w:color="auto"/>
              <w:right w:val="single" w:sz="4" w:space="0" w:color="auto"/>
            </w:tcBorders>
            <w:shd w:val="clear" w:color="auto" w:fill="auto"/>
            <w:noWrap/>
            <w:vAlign w:val="center"/>
            <w:hideMark/>
          </w:tcPr>
          <w:p w14:paraId="1E927771"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r>
                <w:rPr>
                  <w:b/>
                  <w:bCs/>
                  <w:color w:val="000000"/>
                  <w:sz w:val="24"/>
                  <w:szCs w:val="24"/>
                  <w:lang w:val="pt-BR" w:eastAsia="pt-BR"/>
                </w:rPr>
                <w:t>MinVar</w:t>
              </w:r>
            </w:r>
          </w:p>
        </w:tc>
        <w:tc>
          <w:tcPr>
            <w:tcW w:w="1947" w:type="dxa"/>
            <w:tcBorders>
              <w:top w:val="single" w:sz="8" w:space="0" w:color="auto"/>
              <w:left w:val="nil"/>
              <w:bottom w:val="single" w:sz="4" w:space="0" w:color="auto"/>
              <w:right w:val="single" w:sz="4" w:space="0" w:color="auto"/>
            </w:tcBorders>
            <w:shd w:val="clear" w:color="auto" w:fill="auto"/>
            <w:noWrap/>
            <w:vAlign w:val="center"/>
            <w:hideMark/>
          </w:tcPr>
          <w:p w14:paraId="73FCE9F6"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36" w:type="dxa"/>
            <w:tcBorders>
              <w:top w:val="single" w:sz="8" w:space="0" w:color="auto"/>
              <w:left w:val="nil"/>
              <w:bottom w:val="single" w:sz="4" w:space="0" w:color="auto"/>
              <w:right w:val="single" w:sz="8" w:space="0" w:color="auto"/>
            </w:tcBorders>
            <w:shd w:val="clear" w:color="auto" w:fill="auto"/>
            <w:noWrap/>
            <w:vAlign w:val="center"/>
            <w:hideMark/>
          </w:tcPr>
          <w:p w14:paraId="48A8803F"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B068CE" w:rsidRPr="00B068CE" w14:paraId="33290005"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34F008E6"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2882" w:type="dxa"/>
            <w:tcBorders>
              <w:top w:val="nil"/>
              <w:left w:val="nil"/>
              <w:bottom w:val="single" w:sz="4" w:space="0" w:color="auto"/>
              <w:right w:val="single" w:sz="4" w:space="0" w:color="auto"/>
            </w:tcBorders>
            <w:shd w:val="clear" w:color="auto" w:fill="auto"/>
            <w:noWrap/>
            <w:vAlign w:val="center"/>
            <w:hideMark/>
          </w:tcPr>
          <w:p w14:paraId="7792222A"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r>
                <w:rPr>
                  <w:color w:val="000000"/>
                  <w:sz w:val="24"/>
                  <w:szCs w:val="24"/>
                  <w:lang w:val="pt-BR" w:eastAsia="pt-BR"/>
                </w:rPr>
                <w:t>+231,80%</w:t>
              </w:r>
            </w:r>
          </w:p>
        </w:tc>
        <w:tc>
          <w:tcPr>
            <w:tcW w:w="1947" w:type="dxa"/>
            <w:tcBorders>
              <w:top w:val="nil"/>
              <w:left w:val="nil"/>
              <w:bottom w:val="single" w:sz="4" w:space="0" w:color="auto"/>
              <w:right w:val="single" w:sz="4" w:space="0" w:color="auto"/>
            </w:tcBorders>
            <w:shd w:val="clear" w:color="auto" w:fill="auto"/>
            <w:noWrap/>
            <w:vAlign w:val="center"/>
            <w:hideMark/>
          </w:tcPr>
          <w:p w14:paraId="3C35A875"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+215,00%</w:t>
            </w:r>
          </w:p>
        </w:tc>
        <w:tc>
          <w:tcPr>
            <w:tcW w:w="1436" w:type="dxa"/>
            <w:tcBorders>
              <w:top w:val="nil"/>
              <w:left w:val="nil"/>
              <w:bottom w:val="single" w:sz="4" w:space="0" w:color="auto"/>
              <w:right w:val="single" w:sz="8" w:space="0" w:color="auto"/>
            </w:tcBorders>
            <w:shd w:val="clear" w:color="auto" w:fill="auto"/>
            <w:noWrap/>
            <w:vAlign w:val="center"/>
            <w:hideMark/>
          </w:tcPr>
          <w:p w14:paraId="718C6C7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+166,14%</w:t>
            </w:r>
          </w:p>
        </w:tc>
      </w:tr>
      <w:tr w:rsidR="00B068CE" w:rsidRPr="00B068CE" w14:paraId="3C2F9DE7"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46F2990E"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r>
                <w:rPr>
                  <w:rFonts w:ascii="Calibri" w:hAnsi="Calibri" w:cs="Calibri"/>
                  <w:b/>
                  <w:bCs/>
                  <w:color w:val="000000"/>
                  <w:sz w:val="24"/>
                  <w:szCs w:val="24"/>
                  <w:lang w:val="pt-BR" w:eastAsia="pt-BR"/>
                </w:rPr>
                <w:t>Vol. a.a.</w:t>
              </w:r>
            </w:r>
          </w:p>
        </w:tc>
        <w:tc>
          <w:tcPr>
            <w:tcW w:w="2882" w:type="dxa"/>
            <w:tcBorders>
              <w:top w:val="nil"/>
              <w:left w:val="nil"/>
              <w:bottom w:val="single" w:sz="4" w:space="0" w:color="auto"/>
              <w:right w:val="single" w:sz="4" w:space="0" w:color="auto"/>
            </w:tcBorders>
            <w:shd w:val="clear" w:color="auto" w:fill="auto"/>
            <w:noWrap/>
            <w:vAlign w:val="center"/>
            <w:hideMark/>
          </w:tcPr>
          <w:p w14:paraId="63E694BC"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r>
                <w:rPr>
                  <w:color w:val="000000"/>
                  <w:sz w:val="24"/>
                  <w:szCs w:val="24"/>
                  <w:lang w:val="pt-BR" w:eastAsia="pt-BR"/>
                </w:rPr>
                <w:t>11,89% a.a.</w:t>
              </w:r>
            </w:r>
          </w:p>
        </w:tc>
        <w:tc>
          <w:tcPr>
            <w:tcW w:w="1947" w:type="dxa"/>
            <w:tcBorders>
              <w:top w:val="nil"/>
              <w:left w:val="nil"/>
              <w:bottom w:val="single" w:sz="4" w:space="0" w:color="auto"/>
              <w:right w:val="single" w:sz="4" w:space="0" w:color="auto"/>
            </w:tcBorders>
            <w:shd w:val="clear" w:color="auto" w:fill="auto"/>
            <w:noWrap/>
            <w:vAlign w:val="center"/>
            <w:hideMark/>
          </w:tcPr>
          <w:p w14:paraId="1FE4EAA8"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11,6%</w:t>
            </w:r>
          </w:p>
        </w:tc>
        <w:tc>
          <w:tcPr>
            <w:tcW w:w="1436" w:type="dxa"/>
            <w:tcBorders>
              <w:top w:val="nil"/>
              <w:left w:val="nil"/>
              <w:bottom w:val="single" w:sz="4" w:space="0" w:color="auto"/>
              <w:right w:val="single" w:sz="8" w:space="0" w:color="auto"/>
            </w:tcBorders>
            <w:shd w:val="clear" w:color="auto" w:fill="auto"/>
            <w:noWrap/>
            <w:vAlign w:val="center"/>
            <w:hideMark/>
          </w:tcPr>
          <w:p w14:paraId="2C0AFA43"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10,2%</w:t>
            </w:r>
          </w:p>
        </w:tc>
      </w:tr>
      <w:tr w:rsidR="00B068CE" w:rsidRPr="00B068CE" w14:paraId="7F28B7FA"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09C97E4A"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2882" w:type="dxa"/>
            <w:tcBorders>
              <w:top w:val="nil"/>
              <w:left w:val="nil"/>
              <w:bottom w:val="single" w:sz="4" w:space="0" w:color="auto"/>
              <w:right w:val="single" w:sz="4" w:space="0" w:color="auto"/>
            </w:tcBorders>
            <w:shd w:val="clear" w:color="auto" w:fill="auto"/>
            <w:noWrap/>
            <w:vAlign w:val="center"/>
            <w:hideMark/>
          </w:tcPr>
          <w:p w14:paraId="11FE886B"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r>
                <w:rPr>
                  <w:color w:val="000000"/>
                  <w:sz w:val="24"/>
                  <w:szCs w:val="24"/>
                  <w:lang w:val="pt-BR" w:eastAsia="pt-BR"/>
                </w:rPr>
                <w:t>12,96%</w:t>
              </w:r>
            </w:r>
          </w:p>
        </w:tc>
        <w:tc>
          <w:tcPr>
            <w:tcW w:w="1947" w:type="dxa"/>
            <w:tcBorders>
              <w:top w:val="nil"/>
              <w:left w:val="nil"/>
              <w:bottom w:val="single" w:sz="4" w:space="0" w:color="auto"/>
              <w:right w:val="single" w:sz="4" w:space="0" w:color="auto"/>
            </w:tcBorders>
            <w:shd w:val="clear" w:color="auto" w:fill="auto"/>
            <w:noWrap/>
            <w:vAlign w:val="center"/>
            <w:hideMark/>
          </w:tcPr>
          <w:p w14:paraId="6CC438CD"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3EC3F8B3"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1574EB07" w14:textId="77777777" w:rsidTr="00B068CE">
        <w:trPr>
          <w:trHeight w:val="319"/>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5826E09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2882" w:type="dxa"/>
            <w:tcBorders>
              <w:top w:val="nil"/>
              <w:left w:val="nil"/>
              <w:bottom w:val="single" w:sz="4" w:space="0" w:color="auto"/>
              <w:right w:val="single" w:sz="4" w:space="0" w:color="auto"/>
            </w:tcBorders>
            <w:shd w:val="clear" w:color="auto" w:fill="auto"/>
            <w:noWrap/>
            <w:vAlign w:val="center"/>
            <w:hideMark/>
          </w:tcPr>
          <w:p w14:paraId="6681E022"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r>
                <w:rPr>
                  <w:color w:val="000000"/>
                  <w:sz w:val="24"/>
                  <w:szCs w:val="24"/>
                  <w:lang w:val="pt-BR" w:eastAsia="pt-BR"/>
                </w:rPr>
                <w:t>0,217</w:t>
              </w:r>
            </w:r>
          </w:p>
        </w:tc>
        <w:tc>
          <w:tcPr>
            <w:tcW w:w="1947" w:type="dxa"/>
            <w:tcBorders>
              <w:top w:val="nil"/>
              <w:left w:val="nil"/>
              <w:bottom w:val="single" w:sz="4" w:space="0" w:color="auto"/>
              <w:right w:val="single" w:sz="4" w:space="0" w:color="auto"/>
            </w:tcBorders>
            <w:shd w:val="clear" w:color="auto" w:fill="auto"/>
            <w:noWrap/>
            <w:vAlign w:val="center"/>
            <w:hideMark/>
          </w:tcPr>
          <w:p w14:paraId="1F8060CE"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1B0E7A42"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2747A24E" w14:textId="77777777" w:rsidTr="00B068CE">
        <w:trPr>
          <w:trHeight w:val="334"/>
          <w:jc w:val="center"/>
        </w:trPr>
        <w:tc>
          <w:tcPr>
            <w:tcW w:w="2996" w:type="dxa"/>
            <w:tcBorders>
              <w:top w:val="nil"/>
              <w:left w:val="single" w:sz="8" w:space="0" w:color="auto"/>
              <w:bottom w:val="single" w:sz="4" w:space="0" w:color="auto"/>
              <w:right w:val="single" w:sz="4" w:space="0" w:color="auto"/>
            </w:tcBorders>
            <w:shd w:val="clear" w:color="auto" w:fill="auto"/>
            <w:noWrap/>
            <w:vAlign w:val="center"/>
            <w:hideMark/>
          </w:tcPr>
          <w:p w14:paraId="41693619"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Maximum Drawdown</w:t>
            </w:r>
          </w:p>
        </w:tc>
        <w:tc>
          <w:tcPr>
            <w:tcW w:w="2882" w:type="dxa"/>
            <w:tcBorders>
              <w:top w:val="nil"/>
              <w:left w:val="nil"/>
              <w:bottom w:val="single" w:sz="4" w:space="0" w:color="auto"/>
              <w:right w:val="single" w:sz="4" w:space="0" w:color="auto"/>
            </w:tcBorders>
            <w:shd w:val="clear" w:color="auto" w:fill="auto"/>
            <w:noWrap/>
            <w:vAlign w:val="center"/>
            <w:hideMark/>
          </w:tcPr>
          <w:p w14:paraId="7C4D2CA7" w14:textId="77777777" w:rsidR="00B068CE" w:rsidRPr="00B068CE" w:rsidRDefault="00B068CE" w:rsidP="00B068CE">
            <w:pPr>
              <w:widowControl/>
              <w:autoSpaceDE/>
              <w:autoSpaceDN/>
              <w:jc w:val="center"/>
              <w:rPr>
                <w:b/>
                <w:bCs/>
                <w:color w:val="000000"/>
                <w:sz w:val="24"/>
                <w:szCs w:val="24"/>
                <w:lang w:val="pt-BR" w:eastAsia="pt-BR"/>
              </w:rPr>
            </w:pPr>
            <w:r>
              <w:rPr>
                <w:b/>
                <w:bCs/>
                <w:color w:val="000000"/>
                <w:sz w:val="24"/>
                <w:szCs w:val="24"/>
                <w:lang w:val="pt-BR" w:eastAsia="pt-BR"/>
              </w:rPr>
              <w:r>
                <w:rPr>
                  <w:b/>
                  <w:bCs/>
                  <w:color w:val="000000"/>
                  <w:sz w:val="24"/>
                  <w:szCs w:val="24"/>
                  <w:lang w:val="pt-BR" w:eastAsia="pt-BR"/>
                </w:rPr>
                <w:t>-25,62%</w:t>
              </w:r>
            </w:r>
          </w:p>
        </w:tc>
        <w:tc>
          <w:tcPr>
            <w:tcW w:w="1947" w:type="dxa"/>
            <w:tcBorders>
              <w:top w:val="nil"/>
              <w:left w:val="nil"/>
              <w:bottom w:val="single" w:sz="4" w:space="0" w:color="auto"/>
              <w:right w:val="single" w:sz="4" w:space="0" w:color="auto"/>
            </w:tcBorders>
            <w:shd w:val="clear" w:color="auto" w:fill="auto"/>
            <w:noWrap/>
            <w:vAlign w:val="center"/>
            <w:hideMark/>
          </w:tcPr>
          <w:p w14:paraId="37B6FF20"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4" w:space="0" w:color="auto"/>
              <w:right w:val="single" w:sz="8" w:space="0" w:color="auto"/>
            </w:tcBorders>
            <w:shd w:val="clear" w:color="auto" w:fill="auto"/>
            <w:noWrap/>
            <w:vAlign w:val="center"/>
            <w:hideMark/>
          </w:tcPr>
          <w:p w14:paraId="02663D3B"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r w:rsidR="00B068CE" w:rsidRPr="00B068CE" w14:paraId="5651DB3E" w14:textId="77777777" w:rsidTr="00B068CE">
        <w:trPr>
          <w:trHeight w:val="334"/>
          <w:jc w:val="center"/>
        </w:trPr>
        <w:tc>
          <w:tcPr>
            <w:tcW w:w="2996" w:type="dxa"/>
            <w:tcBorders>
              <w:top w:val="nil"/>
              <w:left w:val="single" w:sz="8" w:space="0" w:color="auto"/>
              <w:bottom w:val="single" w:sz="8" w:space="0" w:color="auto"/>
              <w:right w:val="single" w:sz="4" w:space="0" w:color="auto"/>
            </w:tcBorders>
            <w:shd w:val="clear" w:color="auto" w:fill="auto"/>
            <w:noWrap/>
            <w:vAlign w:val="center"/>
            <w:hideMark/>
          </w:tcPr>
          <w:p w14:paraId="022A41B7"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2882" w:type="dxa"/>
            <w:tcBorders>
              <w:top w:val="nil"/>
              <w:left w:val="nil"/>
              <w:bottom w:val="single" w:sz="8" w:space="0" w:color="auto"/>
              <w:right w:val="single" w:sz="4" w:space="0" w:color="auto"/>
            </w:tcBorders>
            <w:shd w:val="clear" w:color="auto" w:fill="auto"/>
            <w:noWrap/>
            <w:vAlign w:val="center"/>
            <w:hideMark/>
          </w:tcPr>
          <w:p w14:paraId="2A27B684" w14:textId="77777777" w:rsidR="00B068CE" w:rsidRPr="00B068CE" w:rsidRDefault="00B068CE" w:rsidP="00B068CE">
            <w:pPr>
              <w:widowControl/>
              <w:autoSpaceDE/>
              <w:autoSpaceDN/>
              <w:jc w:val="center"/>
              <w:rPr>
                <w:rFonts w:ascii="Calibri" w:hAnsi="Calibri" w:cs="Calibri"/>
                <w:color w:val="000000"/>
                <w:lang w:val="pt-BR" w:eastAsia="pt-BR"/>
              </w:rPr>
            </w:pPr>
            <w:r>
              <w:rPr>
                <w:rFonts w:ascii="Calibri" w:hAnsi="Calibri" w:cs="Calibri"/>
                <w:color w:val="000000"/>
                <w:lang w:val="pt-BR" w:eastAsia="pt-BR"/>
              </w:rPr>
              <w:r>
                <w:rPr>
                  <w:color w:val="000000"/>
                  <w:sz w:val="20"/>
                  <w:szCs w:val="20"/>
                  <w:lang w:val="pt-BR" w:eastAsia="pt-BR"/>
                </w:rPr>
                <w:t>-41,97%</w:t>
              </w:r>
            </w:r>
          </w:p>
        </w:tc>
        <w:tc>
          <w:tcPr>
            <w:tcW w:w="1947" w:type="dxa"/>
            <w:tcBorders>
              <w:top w:val="nil"/>
              <w:left w:val="nil"/>
              <w:bottom w:val="single" w:sz="8" w:space="0" w:color="auto"/>
              <w:right w:val="single" w:sz="4" w:space="0" w:color="auto"/>
            </w:tcBorders>
            <w:shd w:val="clear" w:color="auto" w:fill="auto"/>
            <w:noWrap/>
            <w:vAlign w:val="center"/>
            <w:hideMark/>
          </w:tcPr>
          <w:p w14:paraId="50919FCD"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c>
          <w:tcPr>
            <w:tcW w:w="1436" w:type="dxa"/>
            <w:tcBorders>
              <w:top w:val="nil"/>
              <w:left w:val="nil"/>
              <w:bottom w:val="single" w:sz="8" w:space="0" w:color="auto"/>
              <w:right w:val="single" w:sz="8" w:space="0" w:color="auto"/>
            </w:tcBorders>
            <w:shd w:val="clear" w:color="auto" w:fill="auto"/>
            <w:noWrap/>
            <w:vAlign w:val="center"/>
            <w:hideMark/>
          </w:tcPr>
          <w:p w14:paraId="7DAC4EA4" w14:textId="77777777" w:rsidR="00B068CE" w:rsidRPr="00B068CE" w:rsidRDefault="00B068CE" w:rsidP="00B068CE">
            <w:pPr>
              <w:widowControl/>
              <w:autoSpaceDE/>
              <w:autoSpaceDN/>
              <w:jc w:val="center"/>
              <w:rPr>
                <w:color w:val="000000"/>
                <w:sz w:val="24"/>
                <w:szCs w:val="24"/>
                <w:lang w:val="pt-BR" w:eastAsia="pt-BR"/>
              </w:rPr>
            </w:pPr>
            <w:r>
              <w:rPr>
                <w:color w:val="000000"/>
                <w:sz w:val="24"/>
                <w:szCs w:val="24"/>
                <w:lang w:val="pt-BR" w:eastAsia="pt-BR"/>
              </w:rPr>
              <w:t>-</w:t>
            </w:r>
          </w:p>
        </w:tc>
      </w:tr>
    </w:tbl>
    <w:p w14:paraId="1D54C87F" w14:textId="77777777" w:rsidR="00043795" w:rsidRPr="00B068CE" w:rsidRDefault="00B068CE" w:rsidP="00043795">
      <w:pPr>
        <w:spacing w:line="360" w:lineRule="auto"/>
        <w:ind w:firstLine="851"/>
        <w:jc w:val="both"/>
      </w:pPr>
      <w:r>
        <w:t xml:space="preserve">Fonte: elaboração própria. </w:t>
      </w:r>
      <w:r>
        <w:rPr>
          <w:rStyle w:val="nfase"/>
        </w:rPr>
        <w:t xml:space="preserve">Nota: métricas de risco a serem completadas com os outputs do notebook </w:t>
      </w:r>
      <w:r>
        <w:rPr>
          <w:rStyle w:val="CdigoHTML"/>
          <w:rFonts w:ascii="Times New Roman" w:hAnsi="Times New Roman" w:cs="Times New Roman"/>
          <w:i/>
          <w:iCs/>
          <w:sz w:val="22"/>
          <w:szCs w:val="22"/>
        </w:rPr>
        <w:t>14_2_4</w:t>
      </w:r>
      <w:r>
        <w:rPr>
          <w:rStyle w:val="nfase"/>
        </w:rPr>
        <w:t>.</w:t>
      </w:r>
    </w:p>
    <w:p w14:paraId="589C63FC" w14:textId="77777777" w:rsidR="00B068CE" w:rsidRDefault="00B068CE" w:rsidP="00310893">
      <w:pPr>
        <w:pStyle w:val="font-claude-response-body"/>
        <w:spacing w:before="0" w:beforeAutospacing="0" w:after="0" w:afterAutospacing="0" w:line="360" w:lineRule="auto"/>
        <w:ind w:firstLine="851"/>
        <w:jc w:val="both"/>
      </w:pPr>
    </w:p>
    <w:p w14:paraId="02B4AF10" w14:textId="77777777" w:rsidR="00310893" w:rsidRDefault="00310893" w:rsidP="00310893">
      <w:pPr>
        <w:pStyle w:val="font-claude-response-body"/>
        <w:spacing w:before="0" w:beforeAutospacing="0" w:after="0" w:afterAutospacing="0" w:line="360" w:lineRule="auto"/>
        <w:ind w:firstLine="851"/>
        <w:jc w:val="both"/>
      </w:pPr>
      <w:r>
        <w:t xml:space="preserve">A estratégia de Mínima Variância com penalidade L1 produziu o </w:t>
      </w:r>
      <w:r>
        <w:rPr>
          <w:rStyle w:val="Forte"/>
        </w:rPr>
        <w:t>melhor resultado dentre as três estratégias implementadas</w:t>
      </w:r>
      <w:r>
        <w:t xml:space="preserve">, com retorno acumulado de 460,20% no período </w:t>
      </w:r>
      <w:r>
        <w:rPr>
          <w:rStyle w:val="nfase"/>
        </w:rPr>
        <w:t>out-of-sample</w:t>
      </w:r>
      <w:r>
        <w:t>, superando em 245,20 pontos percentuais o IBOVESPA (+215,00%) e em 294,06 pontos percentuais o CDI (+166,14%).</w:t>
      </w:r>
    </w:p>
    <w:p w14:paraId="68ACBD98" w14:textId="77777777" w:rsidR="00310893" w:rsidRDefault="00310893" w:rsidP="00310893">
      <w:pPr>
        <w:pStyle w:val="font-claude-response-body"/>
        <w:spacing w:before="0" w:beforeAutospacing="0" w:after="0" w:afterAutospacing="0" w:line="360" w:lineRule="auto"/>
        <w:ind w:firstLine="851"/>
        <w:jc w:val="both"/>
      </w:pPr>
      <w:r>
        <w:t xml:space="preserve">O turnover médio de apenas 0,32% ao mês demonstra que a penalidade L1 cumpriu seu papel de estabilização: em 131 dos 132 rebalanceamentos mensais, as realocações foram marginais. O único episódio de turnover expressivo ocorreu em março de 2020 (14,57%), coincidindo com o </w:t>
      </w:r>
      <w:r>
        <w:rPr>
          <w:rStyle w:val="nfase"/>
        </w:rPr>
        <w:t>crash</w:t>
      </w:r>
      <w:r>
        <w:t xml:space="preserve"> pandêmico — período em que a mudança abrupta na estrutura de covariância tornou o portfólio anterior subótimo, forçando uma realocação defensiva relevante. Esse comportamento é teoricamente esperado: o otimizador de mínima variância, ao detectar o aumento da covariância sistêmica, redistribuiu o capital para os ativos com menor exposição ao risco de mercado no novo regime.</w:t>
      </w:r>
    </w:p>
    <w:p w14:paraId="45F266AF" w14:textId="77777777" w:rsidR="00310893" w:rsidRDefault="00310893" w:rsidP="00310893">
      <w:pPr>
        <w:pStyle w:val="font-claude-response-body"/>
        <w:spacing w:before="0" w:beforeAutospacing="0" w:after="0" w:afterAutospacing="0" w:line="360" w:lineRule="auto"/>
        <w:ind w:firstLine="851"/>
        <w:jc w:val="both"/>
      </w:pPr>
      <w:r>
        <w:t xml:space="preserve">A superioridade da Mínima Variância sobre as demais estratégias é consistente com os resultados de DeMiguel, Garlappi e Uppal (2009), que demonstraram, para o mercado americano, que portfólios de mínima variância superam estratégias de otimização mais sofisticadas </w:t>
      </w:r>
      <w:r>
        <w:rPr>
          <w:rStyle w:val="nfase"/>
        </w:rPr>
        <w:t>out-of-sample</w:t>
      </w:r>
      <w:r>
        <w:t>, uma vez que eliminam o componente de erro de estimação do vetor de retornos esperados — o input mais ruidoso e instável do processo de otimização de Markowitz.</w:t>
      </w:r>
    </w:p>
    <w:p w14:paraId="7F5A18B8" w14:textId="77777777" w:rsidR="00310893" w:rsidRDefault="00310893" w:rsidP="00310893">
      <w:pPr>
        <w:pStyle w:val="font-claude-response-body"/>
        <w:spacing w:before="0" w:beforeAutospacing="0" w:after="0" w:afterAutospacing="0" w:line="360" w:lineRule="auto"/>
        <w:ind w:firstLine="851"/>
        <w:jc w:val="both"/>
      </w:pPr>
      <w:r>
        <w:t xml:space="preserve">A composição da carteira ao longo do período concentrou-se consistentemente em ativos de setores defensivos com baixa covariância com o mercado: energia elétrica (CGAS5, EQTL3, CLSC4), saneamento (SAPR4, CSMG3), alimentos processados (ABEV3, MDIA3) e farmacêutico (RADL3, HYPE3). Essa concentração setorial é </w:t>
        <w:lastRenderedPageBreak/>
        <w:t>endógena ao critério de mínima variância: ações de utilidade pública e consumo não cíclico apresentam menor exposição ao ciclo econômico, resultando naturalmente em menor covariância com o índice de mercado.</w:t>
      </w:r>
    </w:p>
    <w:p w14:paraId="3E73402F" w14:textId="77777777" w:rsidR="005C119B" w:rsidRPr="000815A7" w:rsidRDefault="005C119B" w:rsidP="005C119B">
      <w:pPr>
        <w:rPr>
          <w:bCs/>
          <w:sz w:val="24"/>
          <w:szCs w:val="24"/>
        </w:rPr>
      </w:pPr>
    </w:p>
    <w:p w14:paraId="66720FEE" w14:textId="77777777" w:rsidR="005C119B" w:rsidRPr="005C119B" w:rsidRDefault="005C119B" w:rsidP="00853490">
      <w:pPr>
        <w:pStyle w:val="Ttulo3"/>
        <w:numPr>
          <w:ilvl w:val="2"/>
          <w:numId w:val="1"/>
        </w:numPr>
        <w:ind w:left="0" w:firstLine="0"/>
        <w:rPr>
          <w:b w:val="0"/>
        </w:rPr>
      </w:pPr>
      <w:bookmarkStart w:id="136" w:name="_Toc230857080"/>
      <w:r>
        <w:rPr>
          <w:b w:val="0"/>
        </w:rPr>
        <w:t>Estratégia 2 — Máximo Índice de Sharpe com L1</w:t>
      </w:r>
      <w:bookmarkEnd w:id="136"/>
    </w:p>
    <w:p w14:paraId="40DA1AE4" w14:textId="77777777" w:rsidR="005C119B" w:rsidRDefault="005C119B" w:rsidP="005C119B">
      <w:pPr>
        <w:rPr>
          <w:sz w:val="24"/>
        </w:rPr>
      </w:pPr>
    </w:p>
    <w:p w14:paraId="0A467938" w14:textId="77777777" w:rsidR="00043795" w:rsidRDefault="00043795" w:rsidP="005C119B">
      <w:pPr>
        <w:spacing w:line="360" w:lineRule="auto"/>
        <w:jc w:val="both"/>
      </w:pPr>
    </w:p>
    <w:p w14:paraId="4CA50B65" w14:textId="1B215C9F" w:rsidR="00A23283" w:rsidRPr="00A23283" w:rsidRDefault="00A23283" w:rsidP="00A23283">
      <w:pPr>
        <w:pStyle w:val="Legenda"/>
        <w:keepNext/>
        <w:jc w:val="center"/>
        <w:rPr>
          <w:rFonts w:ascii="Times New Roman" w:hAnsi="Times New Roman" w:cs="Times New Roman"/>
          <w:i w:val="0"/>
          <w:color w:val="auto"/>
          <w:sz w:val="24"/>
        </w:rPr>
      </w:pPr>
      <w:bookmarkStart w:id="137" w:name="_Toc230853335"/>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9</w:t>
      </w:r>
      <w:r>
        <w:rPr>
          <w:rFonts w:ascii="Times New Roman" w:hAnsi="Times New Roman" w:cs="Times New Roman"/>
          <w:i w:val="0"/>
          <w:color w:val="auto"/>
          <w:sz w:val="24"/>
        </w:rPr>
        <w:fldChar w:fldCharType="end"/>
        <w:r>
          <w:rPr>
            <w:rFonts w:ascii="Times New Roman" w:hAnsi="Times New Roman" w:cs="Times New Roman"/>
            <w:i w:val="0"/>
            <w:color w:val="auto"/>
            <w:sz w:val="24"/>
          </w:rPr>
          <w:t>— Desempenho da Estratégia Máximo Sharpe (MaxSharpe) (jan/2015 – dez/2025)</w:t>
        </w:r>
      </w:r>
      <w:bookmarkEnd w:id="137"/>
    </w:p>
    <w:tbl>
      <w:tblPr>
        <w:tblW w:w="8995" w:type="dxa"/>
        <w:jc w:val="center"/>
        <w:tblCellMar>
          <w:left w:w="70" w:type="dxa"/>
          <w:right w:w="70" w:type="dxa"/>
        </w:tblCellMar>
        <w:tblLook w:val="04A0" w:firstRow="1" w:lastRow="0" w:firstColumn="1" w:lastColumn="0" w:noHBand="0" w:noVBand="1"/>
      </w:tblPr>
      <w:tblGrid>
        <w:gridCol w:w="2981"/>
        <w:gridCol w:w="2867"/>
        <w:gridCol w:w="1719"/>
        <w:gridCol w:w="1428"/>
      </w:tblGrid>
      <w:tr w:rsidR="00A23283" w:rsidRPr="00A23283" w14:paraId="0D44E822" w14:textId="77777777" w:rsidTr="00A23283">
        <w:trPr>
          <w:trHeight w:val="367"/>
          <w:jc w:val="center"/>
        </w:trPr>
        <w:tc>
          <w:tcPr>
            <w:tcW w:w="2981"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72B3086A"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2867" w:type="dxa"/>
            <w:tcBorders>
              <w:top w:val="single" w:sz="8" w:space="0" w:color="auto"/>
              <w:left w:val="nil"/>
              <w:bottom w:val="single" w:sz="4" w:space="0" w:color="auto"/>
              <w:right w:val="single" w:sz="4" w:space="0" w:color="auto"/>
            </w:tcBorders>
            <w:shd w:val="clear" w:color="auto" w:fill="auto"/>
            <w:noWrap/>
            <w:vAlign w:val="center"/>
            <w:hideMark/>
          </w:tcPr>
          <w:p w14:paraId="5956CBD5"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r>
                <w:rPr>
                  <w:b/>
                  <w:bCs/>
                  <w:color w:val="000000"/>
                  <w:sz w:val="24"/>
                  <w:szCs w:val="24"/>
                  <w:lang w:val="pt-BR" w:eastAsia="pt-BR"/>
                </w:rPr>
                <w:t>MaxSharpe</w:t>
              </w:r>
            </w:r>
          </w:p>
        </w:tc>
        <w:tc>
          <w:tcPr>
            <w:tcW w:w="1719" w:type="dxa"/>
            <w:tcBorders>
              <w:top w:val="single" w:sz="8" w:space="0" w:color="auto"/>
              <w:left w:val="nil"/>
              <w:bottom w:val="single" w:sz="4" w:space="0" w:color="auto"/>
              <w:right w:val="single" w:sz="4" w:space="0" w:color="auto"/>
            </w:tcBorders>
            <w:shd w:val="clear" w:color="auto" w:fill="auto"/>
            <w:noWrap/>
            <w:vAlign w:val="center"/>
            <w:hideMark/>
          </w:tcPr>
          <w:p w14:paraId="71D697FF"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28" w:type="dxa"/>
            <w:tcBorders>
              <w:top w:val="single" w:sz="8" w:space="0" w:color="auto"/>
              <w:left w:val="nil"/>
              <w:bottom w:val="single" w:sz="4" w:space="0" w:color="auto"/>
              <w:right w:val="single" w:sz="8" w:space="0" w:color="auto"/>
            </w:tcBorders>
            <w:shd w:val="clear" w:color="auto" w:fill="auto"/>
            <w:noWrap/>
            <w:vAlign w:val="center"/>
            <w:hideMark/>
          </w:tcPr>
          <w:p w14:paraId="509207DF"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A23283" w:rsidRPr="00A23283" w14:paraId="704D2782"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278A05F8"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2867" w:type="dxa"/>
            <w:tcBorders>
              <w:top w:val="nil"/>
              <w:left w:val="nil"/>
              <w:bottom w:val="single" w:sz="4" w:space="0" w:color="auto"/>
              <w:right w:val="single" w:sz="4" w:space="0" w:color="auto"/>
            </w:tcBorders>
            <w:shd w:val="clear" w:color="auto" w:fill="auto"/>
            <w:noWrap/>
            <w:vAlign w:val="center"/>
            <w:hideMark/>
          </w:tcPr>
          <w:p w14:paraId="7513B59C"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r>
                <w:rPr>
                  <w:color w:val="000000"/>
                  <w:sz w:val="24"/>
                  <w:szCs w:val="24"/>
                  <w:lang w:val="pt-BR" w:eastAsia="pt-BR"/>
                </w:rPr>
                <w:t>+290,18%</w:t>
              </w:r>
            </w:r>
          </w:p>
        </w:tc>
        <w:tc>
          <w:tcPr>
            <w:tcW w:w="1719" w:type="dxa"/>
            <w:tcBorders>
              <w:top w:val="nil"/>
              <w:left w:val="nil"/>
              <w:bottom w:val="single" w:sz="4" w:space="0" w:color="auto"/>
              <w:right w:val="single" w:sz="4" w:space="0" w:color="auto"/>
            </w:tcBorders>
            <w:shd w:val="clear" w:color="auto" w:fill="auto"/>
            <w:noWrap/>
            <w:vAlign w:val="center"/>
            <w:hideMark/>
          </w:tcPr>
          <w:p w14:paraId="102B1C8F"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+215,00%</w:t>
            </w:r>
          </w:p>
        </w:tc>
        <w:tc>
          <w:tcPr>
            <w:tcW w:w="1428" w:type="dxa"/>
            <w:tcBorders>
              <w:top w:val="nil"/>
              <w:left w:val="nil"/>
              <w:bottom w:val="single" w:sz="4" w:space="0" w:color="auto"/>
              <w:right w:val="single" w:sz="8" w:space="0" w:color="auto"/>
            </w:tcBorders>
            <w:shd w:val="clear" w:color="auto" w:fill="auto"/>
            <w:noWrap/>
            <w:vAlign w:val="center"/>
            <w:hideMark/>
          </w:tcPr>
          <w:p w14:paraId="60F3493A"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+166,14%</w:t>
            </w:r>
          </w:p>
        </w:tc>
      </w:tr>
      <w:tr w:rsidR="00A23283" w:rsidRPr="00A23283" w14:paraId="7EE16F71"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5AF1A69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r>
                <w:rPr>
                  <w:rFonts w:ascii="Calibri" w:hAnsi="Calibri" w:cs="Calibri"/>
                  <w:b/>
                  <w:bCs/>
                  <w:color w:val="000000"/>
                  <w:sz w:val="24"/>
                  <w:szCs w:val="24"/>
                  <w:lang w:val="pt-BR" w:eastAsia="pt-BR"/>
                </w:rPr>
                <w:t>Vol. a.a.</w:t>
              </w:r>
            </w:r>
          </w:p>
        </w:tc>
        <w:tc>
          <w:tcPr>
            <w:tcW w:w="2867" w:type="dxa"/>
            <w:tcBorders>
              <w:top w:val="nil"/>
              <w:left w:val="nil"/>
              <w:bottom w:val="single" w:sz="4" w:space="0" w:color="auto"/>
              <w:right w:val="single" w:sz="4" w:space="0" w:color="auto"/>
            </w:tcBorders>
            <w:shd w:val="clear" w:color="auto" w:fill="auto"/>
            <w:noWrap/>
            <w:vAlign w:val="center"/>
            <w:hideMark/>
          </w:tcPr>
          <w:p w14:paraId="03905B7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r>
                <w:rPr>
                  <w:color w:val="000000"/>
                  <w:sz w:val="24"/>
                  <w:szCs w:val="24"/>
                  <w:lang w:val="pt-BR" w:eastAsia="pt-BR"/>
                </w:rPr>
                <w:t>13,60% a.a.</w:t>
              </w:r>
            </w:r>
          </w:p>
        </w:tc>
        <w:tc>
          <w:tcPr>
            <w:tcW w:w="1719" w:type="dxa"/>
            <w:tcBorders>
              <w:top w:val="nil"/>
              <w:left w:val="nil"/>
              <w:bottom w:val="single" w:sz="4" w:space="0" w:color="auto"/>
              <w:right w:val="single" w:sz="4" w:space="0" w:color="auto"/>
            </w:tcBorders>
            <w:shd w:val="clear" w:color="auto" w:fill="auto"/>
            <w:noWrap/>
            <w:vAlign w:val="center"/>
            <w:hideMark/>
          </w:tcPr>
          <w:p w14:paraId="541122E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11,6%</w:t>
            </w:r>
          </w:p>
        </w:tc>
        <w:tc>
          <w:tcPr>
            <w:tcW w:w="1428" w:type="dxa"/>
            <w:tcBorders>
              <w:top w:val="nil"/>
              <w:left w:val="nil"/>
              <w:bottom w:val="single" w:sz="4" w:space="0" w:color="auto"/>
              <w:right w:val="single" w:sz="8" w:space="0" w:color="auto"/>
            </w:tcBorders>
            <w:shd w:val="clear" w:color="auto" w:fill="auto"/>
            <w:noWrap/>
            <w:vAlign w:val="center"/>
            <w:hideMark/>
          </w:tcPr>
          <w:p w14:paraId="3074760C"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10,2%</w:t>
            </w:r>
          </w:p>
        </w:tc>
      </w:tr>
      <w:tr w:rsidR="00A23283" w:rsidRPr="00A23283" w14:paraId="6B88B756"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297D2E06"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2867" w:type="dxa"/>
            <w:tcBorders>
              <w:top w:val="nil"/>
              <w:left w:val="nil"/>
              <w:bottom w:val="single" w:sz="4" w:space="0" w:color="auto"/>
              <w:right w:val="single" w:sz="4" w:space="0" w:color="auto"/>
            </w:tcBorders>
            <w:shd w:val="clear" w:color="auto" w:fill="auto"/>
            <w:noWrap/>
            <w:vAlign w:val="center"/>
            <w:hideMark/>
          </w:tcPr>
          <w:p w14:paraId="425B6C47"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r>
                <w:rPr>
                  <w:color w:val="000000"/>
                  <w:sz w:val="24"/>
                  <w:szCs w:val="24"/>
                  <w:lang w:val="pt-BR" w:eastAsia="pt-BR"/>
                </w:rPr>
                <w:t>17,53%</w:t>
              </w:r>
            </w:r>
          </w:p>
        </w:tc>
        <w:tc>
          <w:tcPr>
            <w:tcW w:w="1719" w:type="dxa"/>
            <w:tcBorders>
              <w:top w:val="nil"/>
              <w:left w:val="nil"/>
              <w:bottom w:val="single" w:sz="4" w:space="0" w:color="auto"/>
              <w:right w:val="single" w:sz="4" w:space="0" w:color="auto"/>
            </w:tcBorders>
            <w:shd w:val="clear" w:color="auto" w:fill="auto"/>
            <w:noWrap/>
            <w:vAlign w:val="center"/>
            <w:hideMark/>
          </w:tcPr>
          <w:p w14:paraId="4855C04D"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1CBF2204"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0A473DF3" w14:textId="77777777" w:rsidTr="00A23283">
        <w:trPr>
          <w:trHeight w:val="367"/>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76EE4DCF"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2867" w:type="dxa"/>
            <w:tcBorders>
              <w:top w:val="nil"/>
              <w:left w:val="nil"/>
              <w:bottom w:val="single" w:sz="4" w:space="0" w:color="auto"/>
              <w:right w:val="single" w:sz="4" w:space="0" w:color="auto"/>
            </w:tcBorders>
            <w:shd w:val="clear" w:color="auto" w:fill="auto"/>
            <w:noWrap/>
            <w:vAlign w:val="center"/>
            <w:hideMark/>
          </w:tcPr>
          <w:p w14:paraId="2F2BE9DF"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r>
                <w:rPr>
                  <w:color w:val="000000"/>
                  <w:sz w:val="24"/>
                  <w:szCs w:val="24"/>
                  <w:lang w:val="pt-BR" w:eastAsia="pt-BR"/>
                </w:rPr>
                <w:t>0,287</w:t>
              </w:r>
            </w:r>
          </w:p>
        </w:tc>
        <w:tc>
          <w:tcPr>
            <w:tcW w:w="1719" w:type="dxa"/>
            <w:tcBorders>
              <w:top w:val="nil"/>
              <w:left w:val="nil"/>
              <w:bottom w:val="single" w:sz="4" w:space="0" w:color="auto"/>
              <w:right w:val="single" w:sz="4" w:space="0" w:color="auto"/>
            </w:tcBorders>
            <w:shd w:val="clear" w:color="auto" w:fill="auto"/>
            <w:noWrap/>
            <w:vAlign w:val="center"/>
            <w:hideMark/>
          </w:tcPr>
          <w:p w14:paraId="42B7EA9A"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24AFE093"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59CD6385" w14:textId="77777777" w:rsidTr="00A23283">
        <w:trPr>
          <w:trHeight w:val="385"/>
          <w:jc w:val="center"/>
        </w:trPr>
        <w:tc>
          <w:tcPr>
            <w:tcW w:w="2981" w:type="dxa"/>
            <w:tcBorders>
              <w:top w:val="nil"/>
              <w:left w:val="single" w:sz="8" w:space="0" w:color="auto"/>
              <w:bottom w:val="single" w:sz="4" w:space="0" w:color="auto"/>
              <w:right w:val="single" w:sz="4" w:space="0" w:color="auto"/>
            </w:tcBorders>
            <w:shd w:val="clear" w:color="auto" w:fill="auto"/>
            <w:noWrap/>
            <w:vAlign w:val="center"/>
            <w:hideMark/>
          </w:tcPr>
          <w:p w14:paraId="6A203EE2"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Maximum Drawdown</w:t>
            </w:r>
          </w:p>
        </w:tc>
        <w:tc>
          <w:tcPr>
            <w:tcW w:w="2867" w:type="dxa"/>
            <w:tcBorders>
              <w:top w:val="nil"/>
              <w:left w:val="nil"/>
              <w:bottom w:val="single" w:sz="4" w:space="0" w:color="auto"/>
              <w:right w:val="single" w:sz="4" w:space="0" w:color="auto"/>
            </w:tcBorders>
            <w:shd w:val="clear" w:color="auto" w:fill="auto"/>
            <w:noWrap/>
            <w:vAlign w:val="center"/>
            <w:hideMark/>
          </w:tcPr>
          <w:p w14:paraId="7219595D" w14:textId="77777777" w:rsidR="00A23283" w:rsidRPr="00A23283" w:rsidRDefault="00A23283" w:rsidP="00A23283">
            <w:pPr>
              <w:widowControl/>
              <w:autoSpaceDE/>
              <w:autoSpaceDN/>
              <w:jc w:val="center"/>
              <w:rPr>
                <w:b/>
                <w:bCs/>
                <w:color w:val="000000"/>
                <w:sz w:val="24"/>
                <w:szCs w:val="24"/>
                <w:lang w:val="pt-BR" w:eastAsia="pt-BR"/>
              </w:rPr>
            </w:pPr>
            <w:r>
              <w:rPr>
                <w:b/>
                <w:bCs/>
                <w:color w:val="000000"/>
                <w:sz w:val="24"/>
                <w:szCs w:val="24"/>
                <w:lang w:val="pt-BR" w:eastAsia="pt-BR"/>
              </w:rPr>
              <w:r>
                <w:rPr>
                  <w:color w:val="000000"/>
                  <w:sz w:val="24"/>
                  <w:szCs w:val="24"/>
                  <w:lang w:val="pt-BR" w:eastAsia="pt-BR"/>
                </w:rPr>
                <w:t>-22,76%</w:t>
              </w:r>
            </w:r>
          </w:p>
        </w:tc>
        <w:tc>
          <w:tcPr>
            <w:tcW w:w="1719" w:type="dxa"/>
            <w:tcBorders>
              <w:top w:val="nil"/>
              <w:left w:val="nil"/>
              <w:bottom w:val="single" w:sz="4" w:space="0" w:color="auto"/>
              <w:right w:val="single" w:sz="4" w:space="0" w:color="auto"/>
            </w:tcBorders>
            <w:shd w:val="clear" w:color="auto" w:fill="auto"/>
            <w:noWrap/>
            <w:vAlign w:val="center"/>
            <w:hideMark/>
          </w:tcPr>
          <w:p w14:paraId="518628E3"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4" w:space="0" w:color="auto"/>
              <w:right w:val="single" w:sz="8" w:space="0" w:color="auto"/>
            </w:tcBorders>
            <w:shd w:val="clear" w:color="auto" w:fill="auto"/>
            <w:noWrap/>
            <w:vAlign w:val="center"/>
            <w:hideMark/>
          </w:tcPr>
          <w:p w14:paraId="22DB8015"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r w:rsidR="00A23283" w:rsidRPr="00A23283" w14:paraId="08C79B00" w14:textId="77777777" w:rsidTr="00A23283">
        <w:trPr>
          <w:trHeight w:val="385"/>
          <w:jc w:val="center"/>
        </w:trPr>
        <w:tc>
          <w:tcPr>
            <w:tcW w:w="2981" w:type="dxa"/>
            <w:tcBorders>
              <w:top w:val="nil"/>
              <w:left w:val="single" w:sz="8" w:space="0" w:color="auto"/>
              <w:bottom w:val="single" w:sz="8" w:space="0" w:color="auto"/>
              <w:right w:val="single" w:sz="4" w:space="0" w:color="auto"/>
            </w:tcBorders>
            <w:shd w:val="clear" w:color="auto" w:fill="auto"/>
            <w:noWrap/>
            <w:vAlign w:val="center"/>
            <w:hideMark/>
          </w:tcPr>
          <w:p w14:paraId="376FC081"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2867" w:type="dxa"/>
            <w:tcBorders>
              <w:top w:val="nil"/>
              <w:left w:val="nil"/>
              <w:bottom w:val="single" w:sz="8" w:space="0" w:color="auto"/>
              <w:right w:val="single" w:sz="4" w:space="0" w:color="auto"/>
            </w:tcBorders>
            <w:shd w:val="clear" w:color="auto" w:fill="auto"/>
            <w:noWrap/>
            <w:vAlign w:val="center"/>
            <w:hideMark/>
          </w:tcPr>
          <w:p w14:paraId="5538F0E0" w14:textId="77777777" w:rsidR="00A23283" w:rsidRPr="00A23283" w:rsidRDefault="00A23283" w:rsidP="00A23283">
            <w:pPr>
              <w:widowControl/>
              <w:autoSpaceDE/>
              <w:autoSpaceDN/>
              <w:jc w:val="center"/>
              <w:rPr>
                <w:rFonts w:ascii="Calibri" w:hAnsi="Calibri" w:cs="Calibri"/>
                <w:color w:val="000000"/>
                <w:lang w:val="pt-BR" w:eastAsia="pt-BR"/>
              </w:rPr>
            </w:pPr>
            <w:r>
              <w:rPr>
                <w:rFonts w:ascii="Calibri" w:hAnsi="Calibri" w:cs="Calibri"/>
                <w:color w:val="000000"/>
                <w:lang w:val="pt-BR" w:eastAsia="pt-BR"/>
              </w:rPr>
              <w:r>
                <w:rPr>
                  <w:color w:val="000000"/>
                  <w:sz w:val="20"/>
                  <w:szCs w:val="20"/>
                  <w:lang w:val="pt-BR" w:eastAsia="pt-BR"/>
                </w:rPr>
                <w:t>-37,35%</w:t>
              </w:r>
            </w:r>
          </w:p>
        </w:tc>
        <w:tc>
          <w:tcPr>
            <w:tcW w:w="1719" w:type="dxa"/>
            <w:tcBorders>
              <w:top w:val="nil"/>
              <w:left w:val="nil"/>
              <w:bottom w:val="single" w:sz="8" w:space="0" w:color="auto"/>
              <w:right w:val="single" w:sz="4" w:space="0" w:color="auto"/>
            </w:tcBorders>
            <w:shd w:val="clear" w:color="auto" w:fill="auto"/>
            <w:noWrap/>
            <w:vAlign w:val="center"/>
            <w:hideMark/>
          </w:tcPr>
          <w:p w14:paraId="047D9D51"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c>
          <w:tcPr>
            <w:tcW w:w="1428" w:type="dxa"/>
            <w:tcBorders>
              <w:top w:val="nil"/>
              <w:left w:val="nil"/>
              <w:bottom w:val="single" w:sz="8" w:space="0" w:color="auto"/>
              <w:right w:val="single" w:sz="8" w:space="0" w:color="auto"/>
            </w:tcBorders>
            <w:shd w:val="clear" w:color="auto" w:fill="auto"/>
            <w:noWrap/>
            <w:vAlign w:val="center"/>
            <w:hideMark/>
          </w:tcPr>
          <w:p w14:paraId="6208DB08" w14:textId="77777777" w:rsidR="00A23283" w:rsidRPr="00A23283" w:rsidRDefault="00A23283" w:rsidP="00A23283">
            <w:pPr>
              <w:widowControl/>
              <w:autoSpaceDE/>
              <w:autoSpaceDN/>
              <w:jc w:val="center"/>
              <w:rPr>
                <w:color w:val="000000"/>
                <w:sz w:val="24"/>
                <w:szCs w:val="24"/>
                <w:lang w:val="pt-BR" w:eastAsia="pt-BR"/>
              </w:rPr>
            </w:pPr>
            <w:r>
              <w:rPr>
                <w:color w:val="000000"/>
                <w:sz w:val="24"/>
                <w:szCs w:val="24"/>
                <w:lang w:val="pt-BR" w:eastAsia="pt-BR"/>
              </w:rPr>
              <w:t>-</w:t>
            </w:r>
          </w:p>
        </w:tc>
      </w:tr>
    </w:tbl>
    <w:p w14:paraId="6C920159" w14:textId="77777777" w:rsidR="005C119B" w:rsidRDefault="005C119B" w:rsidP="00A23283">
      <w:pPr>
        <w:pStyle w:val="font-claude-response-body"/>
        <w:spacing w:before="0" w:beforeAutospacing="0" w:after="0" w:afterAutospacing="0"/>
      </w:pPr>
      <w:r>
        <w:t xml:space="preserve">Fonte: elaboração própria. </w:t>
      </w:r>
      <w:r>
        <w:rPr>
          <w:rStyle w:val="nfase"/>
        </w:rPr>
        <w:t xml:space="preserve">Nota: métricas de risco a serem completadas com os outputs do notebook </w:t>
      </w:r>
      <w:r>
        <w:rPr>
          <w:rStyle w:val="CdigoHTML"/>
          <w:i/>
          <w:iCs/>
        </w:rPr>
        <w:t>14_1_4</w:t>
      </w:r>
      <w:r>
        <w:rPr>
          <w:rStyle w:val="nfase"/>
        </w:rPr>
        <w:t>.</w:t>
      </w:r>
    </w:p>
    <w:p w14:paraId="384AB5EF" w14:textId="77777777" w:rsidR="005C119B" w:rsidRDefault="005C119B" w:rsidP="005C119B">
      <w:pPr>
        <w:pStyle w:val="font-claude-response-body"/>
        <w:spacing w:before="0" w:beforeAutospacing="0" w:after="0" w:afterAutospacing="0" w:line="360" w:lineRule="auto"/>
        <w:ind w:firstLine="851"/>
        <w:jc w:val="both"/>
      </w:pPr>
      <w:r>
        <w:t>A estratégia de Máximo Índice de Sharpe com penalidade L1 produziu retorno acumulado de 240,09%, superando marginalmente o IBOVESPA (+25,09 pp) e o CDI (+73,95 pp) no mesmo período.</w:t>
      </w:r>
    </w:p>
    <w:p w14:paraId="25325C61" w14:textId="77777777" w:rsidR="005C119B" w:rsidRDefault="005C119B" w:rsidP="005C119B">
      <w:pPr>
        <w:pStyle w:val="font-claude-response-body"/>
        <w:spacing w:before="0" w:beforeAutospacing="0" w:after="0" w:afterAutospacing="0" w:line="360" w:lineRule="auto"/>
        <w:ind w:firstLine="851"/>
        <w:jc w:val="both"/>
      </w:pPr>
      <w:r>
        <w:t>O turnover médio de 4,29% ao mês é substancialmente maior do que o da Mínima Variância (0,32%), refletindo a instabilidade inerente ao vetor de retornos esperados estimado por média histórica. Os maiores choques de realocação ocorreram em março e abril de 2015 (respectivamente 15,14% e 13,08%) e dezembro de 2019 (11,99%), períodos de mudanças abruptas no desempenho relativo entre setores. Esse nível de turnover implica custo transacional anual estimado em aproximadamente 0,26% — valor reduzido, porém não negligenciável para horizontes longos.</w:t>
      </w:r>
    </w:p>
    <w:p w14:paraId="180EC4D1" w14:textId="77777777" w:rsidR="005C119B" w:rsidRDefault="005C119B" w:rsidP="005C119B">
      <w:pPr>
        <w:pStyle w:val="font-claude-response-body"/>
        <w:spacing w:before="0" w:beforeAutospacing="0" w:after="0" w:afterAutospacing="0" w:line="360" w:lineRule="auto"/>
        <w:ind w:firstLine="851"/>
        <w:jc w:val="both"/>
      </w:pPr>
      <w:r>
        <w:t xml:space="preserve">A função objetivo do otimizador de Máximo Sharpe implementado neste trabalho corresponde, na prática, a uma </w:t>
      </w:r>
      <w:r>
        <w:rPr>
          <w:rStyle w:val="Forte"/>
        </w:rPr>
        <w:t>maximização de utilidade média-variância</w:t>
      </w:r>
      <w:r>
        <w:t xml:space="preserve"> com parâmetro de aversão ao risco </w:t>
      </w:r>
      <m:oMath>
        <m:r>
          <m:rPr>
            <m:sty m:val="p"/>
          </m:rPr>
          <w:rPr>
            <w:rStyle w:val="katex-mathml"/>
            <w:rFonts w:ascii="Cambria Math" w:hAnsi="Cambria Math"/>
          </w:rPr>
          <m:t>λ=2,5</m:t>
        </m:r>
      </m:oMath>
      <w:r>
        <w:t>, e não a uma maximização direta do índice de Sharpe, que seria um problema não-convexo. Essa distinção tem implicações para a interpretação dos resultados: o otimizador equilibra retorno esperado e risco, mas sem garantia de que o portfólio resultante seja o de máximo Sharpe ex-post.</w:t>
      </w:r>
    </w:p>
    <w:p w14:paraId="09A135A9" w14:textId="77777777" w:rsidR="002B2774" w:rsidRPr="000815A7" w:rsidRDefault="002B2774" w:rsidP="002B2774">
      <w:pPr>
        <w:rPr>
          <w:bCs/>
          <w:sz w:val="24"/>
          <w:szCs w:val="24"/>
        </w:rPr>
      </w:pPr>
    </w:p>
    <w:p w14:paraId="08943C8F" w14:textId="77777777" w:rsidR="002B2774" w:rsidRPr="005C119B" w:rsidRDefault="002B2774" w:rsidP="00853490">
      <w:pPr>
        <w:pStyle w:val="Ttulo3"/>
        <w:numPr>
          <w:ilvl w:val="2"/>
          <w:numId w:val="1"/>
        </w:numPr>
        <w:ind w:left="0" w:firstLine="0"/>
        <w:rPr>
          <w:b w:val="0"/>
        </w:rPr>
      </w:pPr>
      <w:bookmarkStart w:id="138" w:name="_Toc230857081"/>
      <w:r>
        <w:rPr>
          <w:b w:val="0"/>
        </w:rPr>
        <w:t>Estratégia 2 — Máximo Índice de Sharpe com L1</w:t>
      </w:r>
      <w:bookmarkEnd w:id="138"/>
    </w:p>
    <w:p w14:paraId="39E3FB36" w14:textId="77777777" w:rsidR="002B2774" w:rsidRDefault="002B2774" w:rsidP="002B2774">
      <w:pPr>
        <w:rPr>
          <w:sz w:val="24"/>
        </w:rPr>
      </w:pPr>
    </w:p>
    <w:p w14:paraId="7A292878" w14:textId="77777777" w:rsidR="00B068CE" w:rsidRDefault="00B068CE" w:rsidP="002B2774">
      <w:pPr>
        <w:rPr>
          <w:sz w:val="24"/>
        </w:rPr>
      </w:pPr>
    </w:p>
    <w:p w14:paraId="18028C57" w14:textId="09857EAC" w:rsidR="00B068CE" w:rsidRPr="00B068CE" w:rsidRDefault="00B068CE" w:rsidP="00B068CE">
      <w:pPr>
        <w:pStyle w:val="Legenda"/>
        <w:keepNext/>
        <w:jc w:val="center"/>
        <w:rPr>
          <w:rFonts w:ascii="Times New Roman" w:hAnsi="Times New Roman" w:cs="Times New Roman"/>
          <w:sz w:val="24"/>
        </w:rPr>
      </w:pPr>
      <w:bookmarkStart w:id="139" w:name="_Toc230853336"/>
      <w:r>
        <w:rPr>
          <w:rFonts w:ascii="Times New Roman" w:hAnsi="Times New Roman" w:cs="Times New Roman"/>
          <w:sz w:val="24"/>
        </w:rPr>
        <w:lastRenderedPageBreak/>
        <w:t xml:space="preserve">Tabela </w:t>
        <w:fldChar w:fldCharType="begin"/>
        <w:instrText xml:space="preserve"> SEQ Tabela \* ARABIC </w:instrText>
        <w:fldChar w:fldCharType="separate"/>
      </w:r>
      <w:r>
        <w:rPr>
          <w:rFonts w:ascii="Times New Roman" w:hAnsi="Times New Roman" w:cs="Times New Roman"/>
          <w:noProof/>
          <w:sz w:val="24"/>
        </w:rPr>
        <w:t>10</w:t>
      </w:r>
      <w:r>
        <w:rPr>
          <w:rFonts w:ascii="Times New Roman" w:hAnsi="Times New Roman" w:cs="Times New Roman"/>
          <w:sz w:val="24"/>
        </w:rPr>
        <w:fldChar w:fldCharType="end"/>
        <w:r>
          <w:rPr>
            <w:rFonts w:ascii="Times New Roman" w:hAnsi="Times New Roman" w:cs="Times New Roman"/>
            <w:i w:val="0"/>
            <w:color w:val="auto"/>
            <w:sz w:val="24"/>
            <w:szCs w:val="24"/>
          </w:rPr>
          <w:t xml:space="preserve"> — Desempenho da Estratégia Black-Litterman com Momentum 12-1 (jan/2015 – dez/2025)</w:t>
        </w:r>
      </w:r>
      <w:bookmarkEnd w:id="139"/>
    </w:p>
    <w:tbl>
      <w:tblPr>
        <w:tblW w:w="7703" w:type="dxa"/>
        <w:jc w:val="center"/>
        <w:tblCellMar>
          <w:left w:w="70" w:type="dxa"/>
          <w:right w:w="70" w:type="dxa"/>
        </w:tblCellMar>
        <w:tblLook w:val="04A0" w:firstRow="1" w:lastRow="0" w:firstColumn="1" w:lastColumn="0" w:noHBand="0" w:noVBand="1"/>
      </w:tblPr>
      <w:tblGrid>
        <w:gridCol w:w="2929"/>
        <w:gridCol w:w="1681"/>
        <w:gridCol w:w="1689"/>
        <w:gridCol w:w="1404"/>
      </w:tblGrid>
      <w:tr w:rsidR="002B2774" w:rsidRPr="002B2774" w14:paraId="154F4B71" w14:textId="77777777" w:rsidTr="00B068CE">
        <w:trPr>
          <w:trHeight w:val="313"/>
          <w:jc w:val="center"/>
        </w:trPr>
        <w:tc>
          <w:tcPr>
            <w:tcW w:w="2929"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34CEAC1D"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Métrica</w:t>
            </w:r>
          </w:p>
        </w:tc>
        <w:tc>
          <w:tcPr>
            <w:tcW w:w="1681" w:type="dxa"/>
            <w:tcBorders>
              <w:top w:val="single" w:sz="8" w:space="0" w:color="auto"/>
              <w:left w:val="nil"/>
              <w:bottom w:val="single" w:sz="4" w:space="0" w:color="auto"/>
              <w:right w:val="single" w:sz="4" w:space="0" w:color="auto"/>
            </w:tcBorders>
            <w:shd w:val="clear" w:color="auto" w:fill="auto"/>
            <w:noWrap/>
            <w:vAlign w:val="center"/>
            <w:hideMark/>
          </w:tcPr>
          <w:p w14:paraId="77ADAB73"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r>
                <w:rPr>
                  <w:b/>
                  <w:bCs/>
                  <w:color w:val="000000"/>
                  <w:sz w:val="24"/>
                  <w:szCs w:val="24"/>
                  <w:lang w:val="pt-BR" w:eastAsia="pt-BR"/>
                </w:rPr>
                <w:t>BL Clássico (momentum 12-1)</w:t>
              </w:r>
            </w:r>
          </w:p>
        </w:tc>
        <w:tc>
          <w:tcPr>
            <w:tcW w:w="1689" w:type="dxa"/>
            <w:tcBorders>
              <w:top w:val="single" w:sz="8" w:space="0" w:color="auto"/>
              <w:left w:val="nil"/>
              <w:bottom w:val="single" w:sz="4" w:space="0" w:color="auto"/>
              <w:right w:val="single" w:sz="4" w:space="0" w:color="auto"/>
            </w:tcBorders>
            <w:shd w:val="clear" w:color="auto" w:fill="auto"/>
            <w:noWrap/>
            <w:vAlign w:val="center"/>
            <w:hideMark/>
          </w:tcPr>
          <w:p w14:paraId="5C974F97"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IBOVESPA</w:t>
            </w:r>
          </w:p>
        </w:tc>
        <w:tc>
          <w:tcPr>
            <w:tcW w:w="1404" w:type="dxa"/>
            <w:tcBorders>
              <w:top w:val="single" w:sz="8" w:space="0" w:color="auto"/>
              <w:left w:val="nil"/>
              <w:bottom w:val="single" w:sz="4" w:space="0" w:color="auto"/>
              <w:right w:val="single" w:sz="8" w:space="0" w:color="auto"/>
            </w:tcBorders>
            <w:shd w:val="clear" w:color="auto" w:fill="auto"/>
            <w:noWrap/>
            <w:vAlign w:val="center"/>
            <w:hideMark/>
          </w:tcPr>
          <w:p w14:paraId="33D53497"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t>CDI</w:t>
            </w:r>
          </w:p>
        </w:tc>
      </w:tr>
      <w:tr w:rsidR="002B2774" w:rsidRPr="002B2774" w14:paraId="41B42CD7"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1E0DE593"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Retorno Acumulado</w:t>
            </w:r>
          </w:p>
        </w:tc>
        <w:tc>
          <w:tcPr>
            <w:tcW w:w="1681" w:type="dxa"/>
            <w:tcBorders>
              <w:top w:val="nil"/>
              <w:left w:val="nil"/>
              <w:bottom w:val="single" w:sz="4" w:space="0" w:color="auto"/>
              <w:right w:val="single" w:sz="4" w:space="0" w:color="auto"/>
            </w:tcBorders>
            <w:shd w:val="clear" w:color="auto" w:fill="auto"/>
            <w:noWrap/>
            <w:vAlign w:val="center"/>
            <w:hideMark/>
          </w:tcPr>
          <w:p w14:paraId="162D02BC"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r>
                <w:rPr>
                  <w:color w:val="000000"/>
                  <w:sz w:val="24"/>
                  <w:szCs w:val="24"/>
                  <w:lang w:val="pt-BR" w:eastAsia="pt-BR"/>
                </w:rPr>
                <w:t>+673,52%</w:t>
              </w:r>
            </w:r>
          </w:p>
        </w:tc>
        <w:tc>
          <w:tcPr>
            <w:tcW w:w="1689" w:type="dxa"/>
            <w:tcBorders>
              <w:top w:val="nil"/>
              <w:left w:val="nil"/>
              <w:bottom w:val="single" w:sz="4" w:space="0" w:color="auto"/>
              <w:right w:val="single" w:sz="4" w:space="0" w:color="auto"/>
            </w:tcBorders>
            <w:shd w:val="clear" w:color="auto" w:fill="auto"/>
            <w:noWrap/>
            <w:vAlign w:val="center"/>
            <w:hideMark/>
          </w:tcPr>
          <w:p w14:paraId="57CEA0F7"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+243,49%</w:t>
            </w:r>
          </w:p>
        </w:tc>
        <w:tc>
          <w:tcPr>
            <w:tcW w:w="1404" w:type="dxa"/>
            <w:tcBorders>
              <w:top w:val="nil"/>
              <w:left w:val="nil"/>
              <w:bottom w:val="single" w:sz="4" w:space="0" w:color="auto"/>
              <w:right w:val="single" w:sz="8" w:space="0" w:color="auto"/>
            </w:tcBorders>
            <w:shd w:val="clear" w:color="auto" w:fill="auto"/>
            <w:noWrap/>
            <w:vAlign w:val="center"/>
            <w:hideMark/>
          </w:tcPr>
          <w:p w14:paraId="2D02063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+171,10%</w:t>
            </w:r>
          </w:p>
        </w:tc>
      </w:tr>
      <w:tr w:rsidR="002B2774" w:rsidRPr="002B2774" w14:paraId="0E37BD45"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3828FFE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CAGR</w:t>
            </w:r>
          </w:p>
        </w:tc>
        <w:tc>
          <w:tcPr>
            <w:tcW w:w="1681" w:type="dxa"/>
            <w:tcBorders>
              <w:top w:val="nil"/>
              <w:left w:val="nil"/>
              <w:bottom w:val="single" w:sz="4" w:space="0" w:color="auto"/>
              <w:right w:val="single" w:sz="4" w:space="0" w:color="auto"/>
            </w:tcBorders>
            <w:shd w:val="clear" w:color="auto" w:fill="auto"/>
            <w:noWrap/>
            <w:vAlign w:val="center"/>
            <w:hideMark/>
          </w:tcPr>
          <w:p w14:paraId="17EF46C6"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r>
                <w:rPr>
                  <w:color w:val="000000"/>
                  <w:sz w:val="24"/>
                  <w:szCs w:val="24"/>
                  <w:lang w:val="pt-BR" w:eastAsia="pt-BR"/>
                </w:rPr>
                <w:t>21,12% a.a.</w:t>
              </w:r>
            </w:r>
          </w:p>
        </w:tc>
        <w:tc>
          <w:tcPr>
            <w:tcW w:w="1689" w:type="dxa"/>
            <w:tcBorders>
              <w:top w:val="nil"/>
              <w:left w:val="nil"/>
              <w:bottom w:val="single" w:sz="4" w:space="0" w:color="auto"/>
              <w:right w:val="single" w:sz="4" w:space="0" w:color="auto"/>
            </w:tcBorders>
            <w:shd w:val="clear" w:color="auto" w:fill="auto"/>
            <w:noWrap/>
            <w:vAlign w:val="center"/>
            <w:hideMark/>
          </w:tcPr>
          <w:p w14:paraId="517AD054"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+12,17%</w:t>
            </w:r>
          </w:p>
        </w:tc>
        <w:tc>
          <w:tcPr>
            <w:tcW w:w="1404" w:type="dxa"/>
            <w:tcBorders>
              <w:top w:val="nil"/>
              <w:left w:val="nil"/>
              <w:bottom w:val="single" w:sz="4" w:space="0" w:color="auto"/>
              <w:right w:val="single" w:sz="8" w:space="0" w:color="auto"/>
            </w:tcBorders>
            <w:shd w:val="clear" w:color="auto" w:fill="auto"/>
            <w:noWrap/>
            <w:vAlign w:val="center"/>
            <w:hideMark/>
          </w:tcPr>
          <w:p w14:paraId="6F96FB68"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+10,51%</w:t>
            </w:r>
          </w:p>
        </w:tc>
      </w:tr>
      <w:tr w:rsidR="002B2774" w:rsidRPr="002B2774" w14:paraId="39C976F0"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0B64B68B"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Volatilidade Anualizada</w:t>
            </w:r>
          </w:p>
        </w:tc>
        <w:tc>
          <w:tcPr>
            <w:tcW w:w="1681" w:type="dxa"/>
            <w:tcBorders>
              <w:top w:val="nil"/>
              <w:left w:val="nil"/>
              <w:bottom w:val="single" w:sz="4" w:space="0" w:color="auto"/>
              <w:right w:val="single" w:sz="4" w:space="0" w:color="auto"/>
            </w:tcBorders>
            <w:shd w:val="clear" w:color="auto" w:fill="auto"/>
            <w:noWrap/>
            <w:vAlign w:val="center"/>
            <w:hideMark/>
          </w:tcPr>
          <w:p w14:paraId="31BBA7F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r>
                <w:rPr>
                  <w:color w:val="000000"/>
                  <w:sz w:val="24"/>
                  <w:szCs w:val="24"/>
                  <w:lang w:val="pt-BR" w:eastAsia="pt-BR"/>
                </w:rPr>
                <w:t>25,99%</w:t>
              </w:r>
            </w:r>
          </w:p>
        </w:tc>
        <w:tc>
          <w:tcPr>
            <w:tcW w:w="1689" w:type="dxa"/>
            <w:tcBorders>
              <w:top w:val="nil"/>
              <w:left w:val="nil"/>
              <w:bottom w:val="single" w:sz="4" w:space="0" w:color="auto"/>
              <w:right w:val="single" w:sz="4" w:space="0" w:color="auto"/>
            </w:tcBorders>
            <w:shd w:val="clear" w:color="auto" w:fill="auto"/>
            <w:noWrap/>
            <w:vAlign w:val="center"/>
            <w:hideMark/>
          </w:tcPr>
          <w:p w14:paraId="0728AFA4"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+23,31%</w:t>
            </w:r>
          </w:p>
        </w:tc>
        <w:tc>
          <w:tcPr>
            <w:tcW w:w="1404" w:type="dxa"/>
            <w:tcBorders>
              <w:top w:val="nil"/>
              <w:left w:val="nil"/>
              <w:bottom w:val="single" w:sz="4" w:space="0" w:color="auto"/>
              <w:right w:val="single" w:sz="8" w:space="0" w:color="auto"/>
            </w:tcBorders>
            <w:shd w:val="clear" w:color="auto" w:fill="auto"/>
            <w:noWrap/>
            <w:vAlign w:val="center"/>
            <w:hideMark/>
          </w:tcPr>
          <w:p w14:paraId="3EE6DD6D"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772D46C6"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00E4B4F3"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Índice de Sharpe</w:t>
            </w:r>
          </w:p>
        </w:tc>
        <w:tc>
          <w:tcPr>
            <w:tcW w:w="1681" w:type="dxa"/>
            <w:tcBorders>
              <w:top w:val="nil"/>
              <w:left w:val="nil"/>
              <w:bottom w:val="single" w:sz="4" w:space="0" w:color="auto"/>
              <w:right w:val="single" w:sz="4" w:space="0" w:color="auto"/>
            </w:tcBorders>
            <w:shd w:val="clear" w:color="auto" w:fill="auto"/>
            <w:noWrap/>
            <w:vAlign w:val="center"/>
            <w:hideMark/>
          </w:tcPr>
          <w:p w14:paraId="60FE86F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r>
                <w:rPr>
                  <w:color w:val="000000"/>
                  <w:sz w:val="24"/>
                  <w:szCs w:val="24"/>
                  <w:lang w:val="pt-BR" w:eastAsia="pt-BR"/>
                </w:rPr>
                <w:t>0,511</w:t>
              </w:r>
            </w:r>
          </w:p>
        </w:tc>
        <w:tc>
          <w:tcPr>
            <w:tcW w:w="1689" w:type="dxa"/>
            <w:tcBorders>
              <w:top w:val="nil"/>
              <w:left w:val="nil"/>
              <w:bottom w:val="single" w:sz="4" w:space="0" w:color="auto"/>
              <w:right w:val="single" w:sz="4" w:space="0" w:color="auto"/>
            </w:tcBorders>
            <w:shd w:val="clear" w:color="auto" w:fill="auto"/>
            <w:noWrap/>
            <w:vAlign w:val="center"/>
            <w:hideMark/>
          </w:tcPr>
          <w:p w14:paraId="1F8DD1BC"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1EB3EA39"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661484B0" w14:textId="77777777" w:rsidTr="00B068CE">
        <w:trPr>
          <w:trHeight w:val="328"/>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1F01115E"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Índice de Sortino</w:t>
            </w:r>
          </w:p>
        </w:tc>
        <w:tc>
          <w:tcPr>
            <w:tcW w:w="1681" w:type="dxa"/>
            <w:tcBorders>
              <w:top w:val="nil"/>
              <w:left w:val="nil"/>
              <w:bottom w:val="single" w:sz="4" w:space="0" w:color="auto"/>
              <w:right w:val="single" w:sz="4" w:space="0" w:color="auto"/>
            </w:tcBorders>
            <w:shd w:val="clear" w:color="auto" w:fill="auto"/>
            <w:noWrap/>
            <w:vAlign w:val="center"/>
            <w:hideMark/>
          </w:tcPr>
          <w:p w14:paraId="07040B4F"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r>
                <w:rPr>
                  <w:color w:val="000000"/>
                  <w:sz w:val="24"/>
                  <w:szCs w:val="24"/>
                  <w:lang w:val="pt-BR" w:eastAsia="pt-BR"/>
                </w:rPr>
                <w:t>0,740</w:t>
              </w:r>
            </w:r>
          </w:p>
        </w:tc>
        <w:tc>
          <w:tcPr>
            <w:tcW w:w="1689" w:type="dxa"/>
            <w:tcBorders>
              <w:top w:val="nil"/>
              <w:left w:val="nil"/>
              <w:bottom w:val="single" w:sz="4" w:space="0" w:color="auto"/>
              <w:right w:val="single" w:sz="4" w:space="0" w:color="auto"/>
            </w:tcBorders>
            <w:shd w:val="clear" w:color="auto" w:fill="auto"/>
            <w:noWrap/>
            <w:vAlign w:val="center"/>
            <w:hideMark/>
          </w:tcPr>
          <w:p w14:paraId="4132861A"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+0,10%</w:t>
            </w:r>
          </w:p>
        </w:tc>
        <w:tc>
          <w:tcPr>
            <w:tcW w:w="1404" w:type="dxa"/>
            <w:tcBorders>
              <w:top w:val="nil"/>
              <w:left w:val="nil"/>
              <w:bottom w:val="single" w:sz="4" w:space="0" w:color="auto"/>
              <w:right w:val="single" w:sz="8" w:space="0" w:color="auto"/>
            </w:tcBorders>
            <w:shd w:val="clear" w:color="auto" w:fill="auto"/>
            <w:noWrap/>
            <w:vAlign w:val="center"/>
            <w:hideMark/>
          </w:tcPr>
          <w:p w14:paraId="4A4F7A52"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11679F41" w14:textId="77777777" w:rsidTr="00B068CE">
        <w:trPr>
          <w:trHeight w:val="313"/>
          <w:jc w:val="center"/>
        </w:trPr>
        <w:tc>
          <w:tcPr>
            <w:tcW w:w="2929" w:type="dxa"/>
            <w:tcBorders>
              <w:top w:val="nil"/>
              <w:left w:val="single" w:sz="8" w:space="0" w:color="auto"/>
              <w:bottom w:val="single" w:sz="4" w:space="0" w:color="auto"/>
              <w:right w:val="single" w:sz="4" w:space="0" w:color="auto"/>
            </w:tcBorders>
            <w:shd w:val="clear" w:color="auto" w:fill="auto"/>
            <w:noWrap/>
            <w:vAlign w:val="center"/>
            <w:hideMark/>
          </w:tcPr>
          <w:p w14:paraId="3C33392B"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Maximum Drawdown</w:t>
            </w:r>
          </w:p>
        </w:tc>
        <w:tc>
          <w:tcPr>
            <w:tcW w:w="1681" w:type="dxa"/>
            <w:tcBorders>
              <w:top w:val="nil"/>
              <w:left w:val="nil"/>
              <w:bottom w:val="single" w:sz="4" w:space="0" w:color="auto"/>
              <w:right w:val="single" w:sz="4" w:space="0" w:color="auto"/>
            </w:tcBorders>
            <w:shd w:val="clear" w:color="auto" w:fill="auto"/>
            <w:noWrap/>
            <w:vAlign w:val="center"/>
            <w:hideMark/>
          </w:tcPr>
          <w:p w14:paraId="1424E94F" w14:textId="77777777" w:rsidR="002B2774" w:rsidRPr="002B2774" w:rsidRDefault="002B2774" w:rsidP="002B2774">
            <w:pPr>
              <w:widowControl/>
              <w:autoSpaceDE/>
              <w:autoSpaceDN/>
              <w:jc w:val="center"/>
              <w:rPr>
                <w:b/>
                <w:bCs/>
                <w:color w:val="000000"/>
                <w:sz w:val="24"/>
                <w:szCs w:val="24"/>
                <w:lang w:val="pt-BR" w:eastAsia="pt-BR"/>
              </w:rPr>
            </w:pPr>
            <w:r>
              <w:rPr>
                <w:b/>
                <w:bCs/>
                <w:color w:val="000000"/>
                <w:sz w:val="24"/>
                <w:szCs w:val="24"/>
                <w:lang w:val="pt-BR" w:eastAsia="pt-BR"/>
              </w:rPr>
              <w:r>
                <w:rPr>
                  <w:color w:val="000000"/>
                  <w:sz w:val="24"/>
                  <w:szCs w:val="24"/>
                  <w:lang w:val="pt-BR" w:eastAsia="pt-BR"/>
                </w:rPr>
                <w:t>-43,78%</w:t>
              </w:r>
            </w:r>
          </w:p>
        </w:tc>
        <w:tc>
          <w:tcPr>
            <w:tcW w:w="1689" w:type="dxa"/>
            <w:tcBorders>
              <w:top w:val="nil"/>
              <w:left w:val="nil"/>
              <w:bottom w:val="single" w:sz="4" w:space="0" w:color="auto"/>
              <w:right w:val="single" w:sz="4" w:space="0" w:color="auto"/>
            </w:tcBorders>
            <w:shd w:val="clear" w:color="auto" w:fill="auto"/>
            <w:noWrap/>
            <w:vAlign w:val="center"/>
            <w:hideMark/>
          </w:tcPr>
          <w:p w14:paraId="6717488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-46,82%</w:t>
            </w:r>
          </w:p>
        </w:tc>
        <w:tc>
          <w:tcPr>
            <w:tcW w:w="1404" w:type="dxa"/>
            <w:tcBorders>
              <w:top w:val="nil"/>
              <w:left w:val="nil"/>
              <w:bottom w:val="single" w:sz="4" w:space="0" w:color="auto"/>
              <w:right w:val="single" w:sz="8" w:space="0" w:color="auto"/>
            </w:tcBorders>
            <w:shd w:val="clear" w:color="auto" w:fill="auto"/>
            <w:noWrap/>
            <w:vAlign w:val="center"/>
            <w:hideMark/>
          </w:tcPr>
          <w:p w14:paraId="03453750"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r w:rsidR="002B2774" w:rsidRPr="002B2774" w14:paraId="511C6D81" w14:textId="77777777" w:rsidTr="00B068CE">
        <w:trPr>
          <w:trHeight w:val="328"/>
          <w:jc w:val="center"/>
        </w:trPr>
        <w:tc>
          <w:tcPr>
            <w:tcW w:w="2929" w:type="dxa"/>
            <w:tcBorders>
              <w:top w:val="nil"/>
              <w:left w:val="single" w:sz="8" w:space="0" w:color="auto"/>
              <w:bottom w:val="single" w:sz="8" w:space="0" w:color="auto"/>
              <w:right w:val="single" w:sz="4" w:space="0" w:color="auto"/>
            </w:tcBorders>
            <w:shd w:val="clear" w:color="auto" w:fill="auto"/>
            <w:noWrap/>
            <w:vAlign w:val="center"/>
            <w:hideMark/>
          </w:tcPr>
          <w:p w14:paraId="4F553404"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Turnover médio mensal</w:t>
            </w:r>
          </w:p>
        </w:tc>
        <w:tc>
          <w:tcPr>
            <w:tcW w:w="1681" w:type="dxa"/>
            <w:tcBorders>
              <w:top w:val="nil"/>
              <w:left w:val="nil"/>
              <w:bottom w:val="single" w:sz="8" w:space="0" w:color="auto"/>
              <w:right w:val="single" w:sz="4" w:space="0" w:color="auto"/>
            </w:tcBorders>
            <w:shd w:val="clear" w:color="auto" w:fill="auto"/>
            <w:noWrap/>
            <w:vAlign w:val="center"/>
            <w:hideMark/>
          </w:tcPr>
          <w:p w14:paraId="12B95F2A"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r>
                <w:rPr>
                  <w:color w:val="000000"/>
                  <w:sz w:val="24"/>
                  <w:szCs w:val="24"/>
                  <w:lang w:val="pt-BR" w:eastAsia="pt-BR"/>
                </w:rPr>
                <w:t>824,88% a.a.</w:t>
              </w:r>
            </w:r>
          </w:p>
        </w:tc>
        <w:tc>
          <w:tcPr>
            <w:tcW w:w="1689" w:type="dxa"/>
            <w:tcBorders>
              <w:top w:val="nil"/>
              <w:left w:val="nil"/>
              <w:bottom w:val="single" w:sz="8" w:space="0" w:color="auto"/>
              <w:right w:val="single" w:sz="4" w:space="0" w:color="auto"/>
            </w:tcBorders>
            <w:shd w:val="clear" w:color="auto" w:fill="auto"/>
            <w:noWrap/>
            <w:vAlign w:val="center"/>
            <w:hideMark/>
          </w:tcPr>
          <w:p w14:paraId="6C847C56"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c>
          <w:tcPr>
            <w:tcW w:w="1404" w:type="dxa"/>
            <w:tcBorders>
              <w:top w:val="nil"/>
              <w:left w:val="nil"/>
              <w:bottom w:val="single" w:sz="8" w:space="0" w:color="auto"/>
              <w:right w:val="single" w:sz="8" w:space="0" w:color="auto"/>
            </w:tcBorders>
            <w:shd w:val="clear" w:color="auto" w:fill="auto"/>
            <w:noWrap/>
            <w:vAlign w:val="center"/>
            <w:hideMark/>
          </w:tcPr>
          <w:p w14:paraId="31A2E448" w14:textId="77777777" w:rsidR="002B2774" w:rsidRPr="002B2774" w:rsidRDefault="002B2774" w:rsidP="002B2774">
            <w:pPr>
              <w:widowControl/>
              <w:autoSpaceDE/>
              <w:autoSpaceDN/>
              <w:jc w:val="center"/>
              <w:rPr>
                <w:color w:val="000000"/>
                <w:sz w:val="24"/>
                <w:szCs w:val="24"/>
                <w:lang w:val="pt-BR" w:eastAsia="pt-BR"/>
              </w:rPr>
            </w:pPr>
            <w:r>
              <w:rPr>
                <w:color w:val="000000"/>
                <w:sz w:val="24"/>
                <w:szCs w:val="24"/>
                <w:lang w:val="pt-BR" w:eastAsia="pt-BR"/>
              </w:rPr>
              <w:t>-</w:t>
            </w:r>
          </w:p>
        </w:tc>
      </w:tr>
    </w:tbl>
    <w:p w14:paraId="4AA1D56A" w14:textId="77777777" w:rsidR="002B2774" w:rsidRDefault="002B2774" w:rsidP="002B2774">
      <w:pPr>
        <w:pStyle w:val="font-claude-response-body"/>
        <w:jc w:val="center"/>
      </w:pPr>
      <w:r>
        <w:t xml:space="preserve">Fonte: elaboração própria com base nos outputs do notebook </w:t>
      </w:r>
      <w:r>
        <w:rPr>
          <w:rStyle w:val="CdigoHTML"/>
        </w:rPr>
        <w:t>19_Tabela_Metricas_Risco.ipynb</w:t>
      </w:r>
      <w:r>
        <w:t>.</w:t>
      </w:r>
    </w:p>
    <w:p w14:paraId="3D851E65" w14:textId="77777777" w:rsidR="002B2774" w:rsidRDefault="002B2774" w:rsidP="002B2774">
      <w:pPr>
        <w:rPr>
          <w:sz w:val="24"/>
        </w:rPr>
      </w:pPr>
    </w:p>
    <w:p w14:paraId="36EBEF32" w14:textId="77777777" w:rsidR="002B2774" w:rsidRDefault="002B2774" w:rsidP="002B2774">
      <w:pPr>
        <w:rPr>
          <w:sz w:val="24"/>
        </w:rPr>
      </w:pPr>
    </w:p>
    <w:p w14:paraId="1444173A" w14:textId="77777777" w:rsidR="002B2774" w:rsidRDefault="002B2774" w:rsidP="002B2774">
      <w:pPr>
        <w:pStyle w:val="font-claude-response-body"/>
        <w:spacing w:before="0" w:beforeAutospacing="0" w:after="0" w:afterAutospacing="0" w:line="360" w:lineRule="auto"/>
        <w:ind w:firstLine="851"/>
        <w:jc w:val="both"/>
      </w:pPr>
      <w:r>
        <w:rPr>
          <w:color w:val="000000"/>
          <w:sz w:val="24"/>
          <w:szCs w:val="24"/>
          <w:lang w:val="pt-BR" w:eastAsia="pt-BR"/>
        </w:rPr>
        <w:t xml:space="preserve">A estratégia Black-Litterman com Momentum 12-1 produziu o </w:t>
      </w:r>
      <w:r>
        <w:rPr>
          <w:rStyle w:val="Forte"/>
        </w:rPr>
        <w:t>pior resultado dentre as três estratégias</w:t>
      </w:r>
      <w:r>
        <w:t xml:space="preserve">, com retorno acumulado de apenas 56,48% — aproximadamente um quinto do retorno do IBOVESPA (+243,49%) no mesmo período. Todos os indicadores de risco apontam na mesma direção: o Índice de Sharpe negativo (-0,14) indica que a estratégia gerou retorno inferior à taxa livre de risco; o Índice de Sortino igualmente negativo (-0,15) confirma que a performance ajustada ao risco de </w:t>
      </w:r>
      <w:r>
        <w:rPr>
          <w:rStyle w:val="nfase"/>
        </w:rPr>
        <w:t>downside</w:t>
      </w:r>
      <w:r>
        <w:t xml:space="preserve"> também foi inferior; e o Maximum Drawdown de -92,99% revela que em algum momento do período o portfólio chegou a valer apenas 7% de seu valor inicial.</w:t>
      </w:r>
    </w:p>
    <w:p w14:paraId="133BB92E" w14:textId="77777777" w:rsidR="002B2774" w:rsidRDefault="002B2774" w:rsidP="002B2774">
      <w:pPr>
        <w:pStyle w:val="font-claude-response-body"/>
        <w:spacing w:before="0" w:beforeAutospacing="0" w:after="0" w:afterAutospacing="0" w:line="360" w:lineRule="auto"/>
        <w:ind w:firstLine="851"/>
        <w:jc w:val="both"/>
      </w:pPr>
      <w:r>
        <w:t>Esse resultado adverso demanda análise detalhada de suas causas, apresentada na Seção 4.4.</w:t>
      </w:r>
    </w:p>
    <w:p w14:paraId="753BDA85" w14:textId="77777777" w:rsidR="002B2774" w:rsidRPr="00114688" w:rsidRDefault="002B2774" w:rsidP="00C438CF">
      <w:pPr>
        <w:rPr>
          <w:sz w:val="24"/>
          <w:szCs w:val="24"/>
        </w:rPr>
      </w:pPr>
    </w:p>
    <w:p w14:paraId="143B2518" w14:textId="77777777" w:rsidR="00C438CF" w:rsidRPr="00C438CF" w:rsidRDefault="00C438CF" w:rsidP="00853490">
      <w:pPr>
        <w:pStyle w:val="Ttulo2"/>
        <w:numPr>
          <w:ilvl w:val="1"/>
          <w:numId w:val="1"/>
        </w:numPr>
        <w:ind w:left="0" w:firstLine="0"/>
        <w:jc w:val="left"/>
        <w:rPr>
          <w:sz w:val="20"/>
          <w:szCs w:val="24"/>
        </w:rPr>
      </w:pPr>
      <w:bookmarkStart w:id="140" w:name="_Toc230857082"/>
      <w:r>
        <w:rPr>
          <w:sz w:val="24"/>
        </w:rPr>
        <w:t>Análise Comparativa entre Estratégias</w:t>
      </w:r>
      <w:bookmarkEnd w:id="140"/>
    </w:p>
    <w:p w14:paraId="3C0AB81A" w14:textId="77777777" w:rsidR="00C438CF" w:rsidRPr="000815A7" w:rsidRDefault="00C438CF" w:rsidP="00C438CF">
      <w:pPr>
        <w:rPr>
          <w:bCs/>
          <w:sz w:val="24"/>
          <w:szCs w:val="24"/>
        </w:rPr>
      </w:pPr>
    </w:p>
    <w:p w14:paraId="024581A2" w14:textId="77777777" w:rsidR="00C438CF" w:rsidRDefault="00C438CF" w:rsidP="00853490">
      <w:pPr>
        <w:pStyle w:val="Ttulo3"/>
        <w:numPr>
          <w:ilvl w:val="2"/>
          <w:numId w:val="1"/>
        </w:numPr>
        <w:ind w:left="0" w:firstLine="0"/>
        <w:rPr>
          <w:b w:val="0"/>
        </w:rPr>
      </w:pPr>
      <w:bookmarkStart w:id="141" w:name="_Toc230857083"/>
      <w:r>
        <w:rPr>
          <w:b w:val="0"/>
        </w:rPr>
        <w:t>Tabela Unificada de Desempenho</w:t>
      </w:r>
      <w:bookmarkEnd w:id="141"/>
    </w:p>
    <w:p w14:paraId="3F8AE291" w14:textId="77777777" w:rsidR="00D12DBE" w:rsidRDefault="00D12DBE" w:rsidP="00D12DBE">
      <w:pPr>
        <w:rPr>
          <w:b/>
        </w:rPr>
      </w:pPr>
    </w:p>
    <w:p w14:paraId="4E22AFCA" w14:textId="77777777" w:rsidR="00D12DBE" w:rsidRDefault="00D12DBE">
      <w:pPr>
        <w:rPr>
          <w:b/>
        </w:rPr>
      </w:pPr>
      <w:r>
        <w:rPr>
          <w:b/>
        </w:rPr>
        <w:br w:type="page"/>
      </w:r>
    </w:p>
    <w:p w14:paraId="23BEC46E" w14:textId="77777777" w:rsidR="00D12DBE" w:rsidRPr="00C438CF" w:rsidRDefault="00D12DBE" w:rsidP="00D12DBE">
      <w:pPr>
        <w:rPr>
          <w:b/>
        </w:rPr>
      </w:pPr>
    </w:p>
    <w:p w14:paraId="688286F3" w14:textId="7D28AF7A" w:rsidR="00C438CF" w:rsidRPr="005C119B" w:rsidRDefault="00C438CF" w:rsidP="005C119B">
      <w:pPr>
        <w:pStyle w:val="Legenda"/>
        <w:keepNext/>
        <w:jc w:val="center"/>
        <w:rPr>
          <w:rFonts w:ascii="Times New Roman" w:hAnsi="Times New Roman" w:cs="Times New Roman"/>
          <w:i w:val="0"/>
          <w:color w:val="auto"/>
          <w:sz w:val="24"/>
        </w:rPr>
      </w:pPr>
      <w:bookmarkStart w:id="142" w:name="_Toc230853337"/>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11</w:t>
      </w:r>
      <w:r>
        <w:rPr>
          <w:rFonts w:ascii="Times New Roman" w:hAnsi="Times New Roman" w:cs="Times New Roman"/>
          <w:i w:val="0"/>
          <w:color w:val="auto"/>
          <w:sz w:val="24"/>
        </w:rPr>
        <w:fldChar w:fldCharType="end"/>
        <w:t>— Comparação Unificada das Estratégias (período out-of-sample 2015–2025)</w:t>
      </w:r>
      <w:bookmarkEnd w:id="142"/>
    </w:p>
    <w:tbl>
      <w:tblPr>
        <w:tblW w:w="10330" w:type="dxa"/>
        <w:jc w:val="center"/>
        <w:tblCellMar>
          <w:left w:w="70" w:type="dxa"/>
          <w:right w:w="70" w:type="dxa"/>
        </w:tblCellMar>
        <w:tblLook w:val="04A0" w:firstRow="1" w:lastRow="0" w:firstColumn="1" w:lastColumn="0" w:noHBand="0" w:noVBand="1"/>
      </w:tblPr>
      <w:tblGrid>
        <w:gridCol w:w="2424"/>
        <w:gridCol w:w="2280"/>
        <w:gridCol w:w="1540"/>
        <w:gridCol w:w="1260"/>
        <w:gridCol w:w="1260"/>
        <w:gridCol w:w="1566"/>
      </w:tblGrid>
      <w:tr w:rsidR="00C438CF" w:rsidRPr="00C438CF" w14:paraId="52F8EA83" w14:textId="77777777" w:rsidTr="005C119B">
        <w:trPr>
          <w:trHeight w:val="315"/>
          <w:jc w:val="center"/>
        </w:trPr>
        <w:tc>
          <w:tcPr>
            <w:tcW w:w="2424"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7280140E"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Estratégia</w:t>
            </w:r>
          </w:p>
        </w:tc>
        <w:tc>
          <w:tcPr>
            <w:tcW w:w="2280" w:type="dxa"/>
            <w:tcBorders>
              <w:top w:val="single" w:sz="8" w:space="0" w:color="auto"/>
              <w:left w:val="nil"/>
              <w:bottom w:val="single" w:sz="4" w:space="0" w:color="auto"/>
              <w:right w:val="single" w:sz="4" w:space="0" w:color="auto"/>
            </w:tcBorders>
            <w:shd w:val="clear" w:color="auto" w:fill="auto"/>
            <w:noWrap/>
            <w:vAlign w:val="center"/>
            <w:hideMark/>
          </w:tcPr>
          <w:p w14:paraId="368E5FFD"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r>
                <w:rPr>
                  <w:rFonts w:ascii="Calibri" w:hAnsi="Calibri" w:cs="Calibri"/>
                  <w:b/>
                  <w:bCs/>
                  <w:color w:val="000000"/>
                  <w:sz w:val="24"/>
                  <w:szCs w:val="24"/>
                  <w:lang w:val="pt-BR" w:eastAsia="pt-BR"/>
                </w:rPr>
                <w:t>CAGR</w:t>
              </w:r>
            </w:r>
          </w:p>
        </w:tc>
        <w:tc>
          <w:tcPr>
            <w:tcW w:w="1540" w:type="dxa"/>
            <w:tcBorders>
              <w:top w:val="single" w:sz="8" w:space="0" w:color="auto"/>
              <w:left w:val="nil"/>
              <w:bottom w:val="single" w:sz="4" w:space="0" w:color="auto"/>
              <w:right w:val="single" w:sz="4" w:space="0" w:color="auto"/>
            </w:tcBorders>
            <w:shd w:val="clear" w:color="auto" w:fill="auto"/>
            <w:noWrap/>
            <w:vAlign w:val="center"/>
            <w:hideMark/>
          </w:tcPr>
          <w:p w14:paraId="0F052CFA"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CAGR</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549B31E9"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Sharpe</w:t>
            </w:r>
          </w:p>
        </w:tc>
        <w:tc>
          <w:tcPr>
            <w:tcW w:w="1260" w:type="dxa"/>
            <w:tcBorders>
              <w:top w:val="single" w:sz="8" w:space="0" w:color="auto"/>
              <w:left w:val="nil"/>
              <w:bottom w:val="single" w:sz="4" w:space="0" w:color="auto"/>
              <w:right w:val="single" w:sz="4" w:space="0" w:color="auto"/>
            </w:tcBorders>
            <w:shd w:val="clear" w:color="auto" w:fill="auto"/>
            <w:noWrap/>
            <w:vAlign w:val="center"/>
            <w:hideMark/>
          </w:tcPr>
          <w:p w14:paraId="60D68F3C"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r>
                <w:rPr>
                  <w:rFonts w:ascii="Calibri" w:hAnsi="Calibri" w:cs="Calibri"/>
                  <w:b/>
                  <w:bCs/>
                  <w:color w:val="000000"/>
                  <w:sz w:val="24"/>
                  <w:szCs w:val="24"/>
                  <w:lang w:val="pt-BR" w:eastAsia="pt-BR"/>
                </w:rPr>
                <w:t>Sortino</w:t>
              </w:r>
            </w:r>
          </w:p>
        </w:tc>
        <w:tc>
          <w:tcPr>
            <w:tcW w:w="1566" w:type="dxa"/>
            <w:tcBorders>
              <w:top w:val="single" w:sz="8" w:space="0" w:color="auto"/>
              <w:left w:val="nil"/>
              <w:bottom w:val="single" w:sz="4" w:space="0" w:color="auto"/>
              <w:right w:val="single" w:sz="8" w:space="0" w:color="auto"/>
            </w:tcBorders>
            <w:shd w:val="clear" w:color="auto" w:fill="auto"/>
            <w:noWrap/>
            <w:vAlign w:val="center"/>
            <w:hideMark/>
          </w:tcPr>
          <w:p w14:paraId="2241D79A" w14:textId="77777777" w:rsidR="00C438CF" w:rsidRPr="00C438CF" w:rsidRDefault="00C438CF" w:rsidP="00C438CF">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r>
                <w:rPr>
                  <w:rFonts w:ascii="Calibri" w:hAnsi="Calibri" w:cs="Calibri"/>
                  <w:b/>
                  <w:bCs/>
                  <w:color w:val="000000"/>
                  <w:sz w:val="24"/>
                  <w:szCs w:val="24"/>
                  <w:lang w:val="pt-BR" w:eastAsia="pt-BR"/>
                </w:rPr>
                <w:t>MaxDD</w:t>
              </w:r>
            </w:r>
          </w:p>
        </w:tc>
      </w:tr>
      <w:tr w:rsidR="00C438CF" w:rsidRPr="00C438CF" w14:paraId="112051BA"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32498CF1"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rFonts w:ascii="Calibri" w:hAnsi="Calibri" w:cs="Calibri"/>
                  <w:b/>
                  <w:bCs/>
                  <w:color w:val="000000"/>
                  <w:sz w:val="24"/>
                  <w:szCs w:val="24"/>
                  <w:lang w:val="pt-BR" w:eastAsia="pt-BR"/>
                </w:rPr>
                <w:t>EqualWeight (1/N)</w:t>
              </w:r>
            </w:r>
          </w:p>
        </w:tc>
        <w:tc>
          <w:tcPr>
            <w:tcW w:w="2280" w:type="dxa"/>
            <w:tcBorders>
              <w:top w:val="nil"/>
              <w:left w:val="nil"/>
              <w:bottom w:val="single" w:sz="4" w:space="0" w:color="auto"/>
              <w:right w:val="single" w:sz="4" w:space="0" w:color="auto"/>
            </w:tcBorders>
            <w:shd w:val="clear" w:color="auto" w:fill="auto"/>
            <w:noWrap/>
            <w:vAlign w:val="center"/>
            <w:hideMark/>
          </w:tcPr>
          <w:p w14:paraId="4AB0BBDD"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5,97%</w:t>
              </w:r>
            </w:r>
          </w:p>
        </w:tc>
        <w:tc>
          <w:tcPr>
            <w:tcW w:w="1540" w:type="dxa"/>
            <w:tcBorders>
              <w:top w:val="nil"/>
              <w:left w:val="nil"/>
              <w:bottom w:val="single" w:sz="4" w:space="0" w:color="auto"/>
              <w:right w:val="single" w:sz="4" w:space="0" w:color="auto"/>
            </w:tcBorders>
            <w:shd w:val="clear" w:color="auto" w:fill="auto"/>
            <w:noWrap/>
            <w:vAlign w:val="center"/>
            <w:hideMark/>
          </w:tcPr>
          <w:p w14:paraId="7923DD9B"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19,84%</w:t>
              </w:r>
            </w:r>
          </w:p>
        </w:tc>
        <w:tc>
          <w:tcPr>
            <w:tcW w:w="1260" w:type="dxa"/>
            <w:tcBorders>
              <w:top w:val="nil"/>
              <w:left w:val="nil"/>
              <w:bottom w:val="single" w:sz="4" w:space="0" w:color="auto"/>
              <w:right w:val="single" w:sz="4" w:space="0" w:color="auto"/>
            </w:tcBorders>
            <w:shd w:val="clear" w:color="auto" w:fill="auto"/>
            <w:noWrap/>
            <w:vAlign w:val="center"/>
            <w:hideMark/>
          </w:tcPr>
          <w:p w14:paraId="6FF978B8"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-0,075</w:t>
              </w:r>
            </w:r>
          </w:p>
        </w:tc>
        <w:tc>
          <w:tcPr>
            <w:tcW w:w="1260" w:type="dxa"/>
            <w:tcBorders>
              <w:top w:val="nil"/>
              <w:left w:val="nil"/>
              <w:bottom w:val="single" w:sz="4" w:space="0" w:color="auto"/>
              <w:right w:val="single" w:sz="4" w:space="0" w:color="auto"/>
            </w:tcBorders>
            <w:shd w:val="clear" w:color="auto" w:fill="auto"/>
            <w:noWrap/>
            <w:vAlign w:val="center"/>
            <w:hideMark/>
          </w:tcPr>
          <w:p w14:paraId="50991CF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-0,102</w:t>
              </w:r>
            </w:r>
          </w:p>
        </w:tc>
        <w:tc>
          <w:tcPr>
            <w:tcW w:w="1566" w:type="dxa"/>
            <w:tcBorders>
              <w:top w:val="nil"/>
              <w:left w:val="nil"/>
              <w:bottom w:val="single" w:sz="4" w:space="0" w:color="auto"/>
              <w:right w:val="single" w:sz="8" w:space="0" w:color="auto"/>
            </w:tcBorders>
            <w:shd w:val="clear" w:color="auto" w:fill="auto"/>
            <w:noWrap/>
            <w:vAlign w:val="center"/>
            <w:hideMark/>
          </w:tcPr>
          <w:p w14:paraId="1CF8D56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-41,97%</w:t>
              </w:r>
            </w:r>
          </w:p>
        </w:tc>
      </w:tr>
      <w:tr w:rsidR="00D12DBE" w:rsidRPr="00C438CF" w14:paraId="0BEE35F6"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tcPr>
          <w:p w14:paraId="1FEBF69B" w14:textId="77777777" w:rsidR="00D12DBE" w:rsidRPr="00D12DBE" w:rsidRDefault="00D12DBE" w:rsidP="00C438CF">
            <w:pPr>
              <w:widowControl/>
              <w:autoSpaceDE/>
              <w:autoSpaceDN/>
              <w:jc w:val="center"/>
              <w:rPr>
                <w:color w:val="000000"/>
                <w:lang w:val="pt-BR" w:eastAsia="pt-BR"/>
              </w:rPr>
            </w:pPr>
            <w:r>
              <w:r>
                <w:rPr>
                  <w:rFonts w:ascii="Calibri" w:hAnsi="Calibri" w:cs="Calibri"/>
                  <w:b/>
                  <w:bCs/>
                  <w:color w:val="000000"/>
                  <w:sz w:val="24"/>
                  <w:szCs w:val="24"/>
                  <w:lang w:val="pt-BR" w:eastAsia="pt-BR"/>
                </w:rPr>
                <w:t>EqualWeight BuyHold</w:t>
              </w:r>
            </w:r>
          </w:p>
        </w:tc>
        <w:tc>
          <w:tcPr>
            <w:tcW w:w="2280" w:type="dxa"/>
            <w:tcBorders>
              <w:top w:val="nil"/>
              <w:left w:val="nil"/>
              <w:bottom w:val="single" w:sz="4" w:space="0" w:color="auto"/>
              <w:right w:val="single" w:sz="4" w:space="0" w:color="auto"/>
            </w:tcBorders>
            <w:shd w:val="clear" w:color="auto" w:fill="auto"/>
            <w:noWrap/>
            <w:vAlign w:val="center"/>
          </w:tcPr>
          <w:p w14:paraId="3A606E54" w14:textId="77777777" w:rsidR="00D12DBE" w:rsidRPr="00D12DBE" w:rsidRDefault="00D12DBE" w:rsidP="00C438CF">
            <w:pPr>
              <w:widowControl/>
              <w:autoSpaceDE/>
              <w:autoSpaceDN/>
              <w:jc w:val="center"/>
              <w:rPr>
                <w:color w:val="000000"/>
                <w:lang w:val="pt-BR" w:eastAsia="pt-BR"/>
              </w:rPr>
            </w:pPr>
            <w:r>
              <w:rPr>
                <w:color w:val="000000"/>
                <w:sz w:val="20"/>
                <w:szCs w:val="20"/>
                <w:lang w:val="pt-BR" w:eastAsia="pt-BR"/>
              </w:rPr>
              <w:t>15,71%</w:t>
            </w:r>
          </w:p>
        </w:tc>
        <w:tc>
          <w:tcPr>
            <w:tcW w:w="1540" w:type="dxa"/>
            <w:tcBorders>
              <w:top w:val="nil"/>
              <w:left w:val="nil"/>
              <w:bottom w:val="single" w:sz="4" w:space="0" w:color="auto"/>
              <w:right w:val="single" w:sz="4" w:space="0" w:color="auto"/>
            </w:tcBorders>
            <w:shd w:val="clear" w:color="auto" w:fill="auto"/>
            <w:noWrap/>
            <w:vAlign w:val="center"/>
          </w:tcPr>
          <w:p w14:paraId="20755413" w14:textId="77777777" w:rsidR="00D12DBE" w:rsidRPr="00D12DBE" w:rsidRDefault="00D12DBE" w:rsidP="00C438CF">
            <w:pPr>
              <w:widowControl/>
              <w:autoSpaceDE/>
              <w:autoSpaceDN/>
              <w:jc w:val="center"/>
              <w:rPr>
                <w:color w:val="000000"/>
                <w:lang w:val="pt-BR" w:eastAsia="pt-BR"/>
              </w:rPr>
            </w:pPr>
            <w:r>
              <w:rPr>
                <w:rStyle w:val="Forte"/>
                <w:b w:val="0"/>
              </w:rPr>
              <w:r>
                <w:rPr>
                  <w:color w:val="000000"/>
                  <w:sz w:val="20"/>
                  <w:szCs w:val="20"/>
                  <w:lang w:val="pt-BR" w:eastAsia="pt-BR"/>
                </w:rPr>
                <w:t>19,30%</w:t>
              </w:r>
            </w:r>
          </w:p>
        </w:tc>
        <w:tc>
          <w:tcPr>
            <w:tcW w:w="1260" w:type="dxa"/>
            <w:tcBorders>
              <w:top w:val="nil"/>
              <w:left w:val="nil"/>
              <w:bottom w:val="single" w:sz="4" w:space="0" w:color="auto"/>
              <w:right w:val="single" w:sz="4" w:space="0" w:color="auto"/>
            </w:tcBorders>
            <w:shd w:val="clear" w:color="auto" w:fill="auto"/>
            <w:noWrap/>
            <w:vAlign w:val="center"/>
          </w:tcPr>
          <w:p w14:paraId="50272249" w14:textId="77777777" w:rsidR="00D12DBE" w:rsidRPr="00D12DBE" w:rsidRDefault="00D12DBE" w:rsidP="00C438CF">
            <w:pPr>
              <w:widowControl/>
              <w:autoSpaceDE/>
              <w:autoSpaceDN/>
              <w:jc w:val="center"/>
              <w:rPr>
                <w:color w:val="000000"/>
                <w:lang w:val="pt-BR" w:eastAsia="pt-BR"/>
              </w:rPr>
            </w:pPr>
            <w:r>
              <w:r>
                <w:rPr>
                  <w:color w:val="000000"/>
                  <w:sz w:val="20"/>
                  <w:szCs w:val="20"/>
                  <w:lang w:val="pt-BR" w:eastAsia="pt-BR"/>
                </w:rPr>
                <w:t>0,372</w:t>
              </w:r>
            </w:r>
          </w:p>
        </w:tc>
        <w:tc>
          <w:tcPr>
            <w:tcW w:w="1260" w:type="dxa"/>
            <w:tcBorders>
              <w:top w:val="nil"/>
              <w:left w:val="nil"/>
              <w:bottom w:val="single" w:sz="4" w:space="0" w:color="auto"/>
              <w:right w:val="single" w:sz="4" w:space="0" w:color="auto"/>
            </w:tcBorders>
            <w:shd w:val="clear" w:color="auto" w:fill="auto"/>
            <w:noWrap/>
            <w:vAlign w:val="center"/>
          </w:tcPr>
          <w:p w14:paraId="085B2C01" w14:textId="77777777" w:rsidR="00D12DBE" w:rsidRPr="00D12DBE" w:rsidRDefault="00D12DBE" w:rsidP="00C438CF">
            <w:pPr>
              <w:widowControl/>
              <w:autoSpaceDE/>
              <w:autoSpaceDN/>
              <w:jc w:val="center"/>
              <w:rPr>
                <w:color w:val="000000"/>
                <w:lang w:val="pt-BR" w:eastAsia="pt-BR"/>
              </w:rPr>
            </w:pPr>
            <w:r>
              <w:r>
                <w:rPr>
                  <w:color w:val="000000"/>
                  <w:sz w:val="20"/>
                  <w:szCs w:val="20"/>
                  <w:lang w:val="pt-BR" w:eastAsia="pt-BR"/>
                </w:rPr>
                <w:t>0,520</w:t>
              </w:r>
            </w:r>
          </w:p>
        </w:tc>
        <w:tc>
          <w:tcPr>
            <w:tcW w:w="1566" w:type="dxa"/>
            <w:tcBorders>
              <w:top w:val="nil"/>
              <w:left w:val="nil"/>
              <w:bottom w:val="single" w:sz="4" w:space="0" w:color="auto"/>
              <w:right w:val="single" w:sz="8" w:space="0" w:color="auto"/>
            </w:tcBorders>
            <w:shd w:val="clear" w:color="auto" w:fill="auto"/>
            <w:noWrap/>
            <w:vAlign w:val="center"/>
          </w:tcPr>
          <w:p w14:paraId="2CB3E1E7" w14:textId="77777777" w:rsidR="00D12DBE" w:rsidRPr="00D12DBE" w:rsidRDefault="00D12DBE" w:rsidP="00C438CF">
            <w:pPr>
              <w:widowControl/>
              <w:autoSpaceDE/>
              <w:autoSpaceDN/>
              <w:jc w:val="center"/>
              <w:rPr>
                <w:color w:val="000000"/>
                <w:lang w:val="pt-BR" w:eastAsia="pt-BR"/>
              </w:rPr>
            </w:pPr>
            <w:r>
              <w:rPr>
                <w:rStyle w:val="Forte"/>
                <w:b w:val="0"/>
              </w:rPr>
              <w:r>
                <w:rPr>
                  <w:color w:val="000000"/>
                  <w:sz w:val="20"/>
                  <w:szCs w:val="20"/>
                  <w:lang w:val="pt-BR" w:eastAsia="pt-BR"/>
                </w:rPr>
                <w:t>-34,50%</w:t>
              </w:r>
            </w:r>
          </w:p>
        </w:tc>
      </w:tr>
      <w:tr w:rsidR="00C438CF" w:rsidRPr="00C438CF" w14:paraId="69039821"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4C98C614"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rFonts w:ascii="Calibri" w:hAnsi="Calibri" w:cs="Calibri"/>
                  <w:b/>
                  <w:bCs/>
                  <w:color w:val="000000"/>
                  <w:sz w:val="24"/>
                  <w:szCs w:val="24"/>
                  <w:lang w:val="pt-BR" w:eastAsia="pt-BR"/>
                </w:rPr>
                <w:t>InvVol</w:t>
              </w:r>
            </w:r>
          </w:p>
        </w:tc>
        <w:tc>
          <w:tcPr>
            <w:tcW w:w="2280" w:type="dxa"/>
            <w:tcBorders>
              <w:top w:val="nil"/>
              <w:left w:val="nil"/>
              <w:bottom w:val="single" w:sz="4" w:space="0" w:color="auto"/>
              <w:right w:val="single" w:sz="4" w:space="0" w:color="auto"/>
            </w:tcBorders>
            <w:shd w:val="clear" w:color="auto" w:fill="auto"/>
            <w:noWrap/>
            <w:vAlign w:val="center"/>
            <w:hideMark/>
          </w:tcPr>
          <w:p w14:paraId="1BF3D173"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9,16%</w:t>
              </w:r>
            </w:r>
          </w:p>
        </w:tc>
        <w:tc>
          <w:tcPr>
            <w:tcW w:w="1540" w:type="dxa"/>
            <w:tcBorders>
              <w:top w:val="nil"/>
              <w:left w:val="nil"/>
              <w:bottom w:val="single" w:sz="4" w:space="0" w:color="auto"/>
              <w:right w:val="single" w:sz="4" w:space="0" w:color="auto"/>
            </w:tcBorders>
            <w:shd w:val="clear" w:color="auto" w:fill="auto"/>
            <w:noWrap/>
            <w:vAlign w:val="center"/>
            <w:hideMark/>
          </w:tcPr>
          <w:p w14:paraId="73B6D6A1"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19,11%</w:t>
              </w:r>
            </w:r>
          </w:p>
        </w:tc>
        <w:tc>
          <w:tcPr>
            <w:tcW w:w="1260" w:type="dxa"/>
            <w:tcBorders>
              <w:top w:val="nil"/>
              <w:left w:val="nil"/>
              <w:bottom w:val="single" w:sz="4" w:space="0" w:color="auto"/>
              <w:right w:val="single" w:sz="4" w:space="0" w:color="auto"/>
            </w:tcBorders>
            <w:shd w:val="clear" w:color="auto" w:fill="auto"/>
            <w:noWrap/>
            <w:vAlign w:val="center"/>
            <w:hideMark/>
          </w:tcPr>
          <w:p w14:paraId="4854E4F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0,070</w:t>
              </w:r>
            </w:r>
          </w:p>
        </w:tc>
        <w:tc>
          <w:tcPr>
            <w:tcW w:w="1260" w:type="dxa"/>
            <w:tcBorders>
              <w:top w:val="nil"/>
              <w:left w:val="nil"/>
              <w:bottom w:val="single" w:sz="4" w:space="0" w:color="auto"/>
              <w:right w:val="single" w:sz="4" w:space="0" w:color="auto"/>
            </w:tcBorders>
            <w:shd w:val="clear" w:color="auto" w:fill="auto"/>
            <w:noWrap/>
            <w:vAlign w:val="center"/>
            <w:hideMark/>
          </w:tcPr>
          <w:p w14:paraId="7BE1732E"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0,095</w:t>
              </w:r>
            </w:r>
          </w:p>
        </w:tc>
        <w:tc>
          <w:tcPr>
            <w:tcW w:w="1566" w:type="dxa"/>
            <w:tcBorders>
              <w:top w:val="nil"/>
              <w:left w:val="nil"/>
              <w:bottom w:val="single" w:sz="4" w:space="0" w:color="auto"/>
              <w:right w:val="single" w:sz="8" w:space="0" w:color="auto"/>
            </w:tcBorders>
            <w:shd w:val="clear" w:color="auto" w:fill="auto"/>
            <w:noWrap/>
            <w:vAlign w:val="center"/>
            <w:hideMark/>
          </w:tcPr>
          <w:p w14:paraId="130CB18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-37,35%</w:t>
              </w:r>
            </w:r>
          </w:p>
        </w:tc>
      </w:tr>
      <w:tr w:rsidR="00C438CF" w:rsidRPr="00C438CF" w14:paraId="6DC0FF45"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49F00F24"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rFonts w:ascii="Calibri" w:hAnsi="Calibri" w:cs="Calibri"/>
                  <w:b/>
                  <w:bCs/>
                  <w:color w:val="000000"/>
                  <w:sz w:val="24"/>
                  <w:szCs w:val="24"/>
                  <w:lang w:val="pt-BR" w:eastAsia="pt-BR"/>
                </w:rPr>
                <w:t>MinVar</w:t>
              </w:r>
            </w:r>
          </w:p>
        </w:tc>
        <w:tc>
          <w:tcPr>
            <w:tcW w:w="2280" w:type="dxa"/>
            <w:tcBorders>
              <w:top w:val="nil"/>
              <w:left w:val="nil"/>
              <w:bottom w:val="single" w:sz="4" w:space="0" w:color="auto"/>
              <w:right w:val="single" w:sz="4" w:space="0" w:color="auto"/>
            </w:tcBorders>
            <w:shd w:val="clear" w:color="auto" w:fill="auto"/>
            <w:noWrap/>
            <w:vAlign w:val="center"/>
            <w:hideMark/>
          </w:tcPr>
          <w:p w14:paraId="1981BA2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11,89%</w:t>
              </w:r>
            </w:r>
          </w:p>
        </w:tc>
        <w:tc>
          <w:tcPr>
            <w:tcW w:w="1540" w:type="dxa"/>
            <w:tcBorders>
              <w:top w:val="nil"/>
              <w:left w:val="nil"/>
              <w:bottom w:val="single" w:sz="4" w:space="0" w:color="auto"/>
              <w:right w:val="single" w:sz="4" w:space="0" w:color="auto"/>
            </w:tcBorders>
            <w:shd w:val="clear" w:color="auto" w:fill="auto"/>
            <w:noWrap/>
            <w:vAlign w:val="center"/>
            <w:hideMark/>
          </w:tcPr>
          <w:p w14:paraId="20CF87D2"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12,96%</w:t>
              </w:r>
            </w:r>
          </w:p>
        </w:tc>
        <w:tc>
          <w:tcPr>
            <w:tcW w:w="1260" w:type="dxa"/>
            <w:tcBorders>
              <w:top w:val="nil"/>
              <w:left w:val="nil"/>
              <w:bottom w:val="single" w:sz="4" w:space="0" w:color="auto"/>
              <w:right w:val="single" w:sz="4" w:space="0" w:color="auto"/>
            </w:tcBorders>
            <w:shd w:val="clear" w:color="auto" w:fill="auto"/>
            <w:noWrap/>
            <w:vAlign w:val="center"/>
            <w:hideMark/>
          </w:tcPr>
          <w:p w14:paraId="549A3D5C"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0,217</w:t>
              </w:r>
            </w:r>
          </w:p>
        </w:tc>
        <w:tc>
          <w:tcPr>
            <w:tcW w:w="1260" w:type="dxa"/>
            <w:tcBorders>
              <w:top w:val="nil"/>
              <w:left w:val="nil"/>
              <w:bottom w:val="single" w:sz="4" w:space="0" w:color="auto"/>
              <w:right w:val="single" w:sz="4" w:space="0" w:color="auto"/>
            </w:tcBorders>
            <w:shd w:val="clear" w:color="auto" w:fill="auto"/>
            <w:noWrap/>
            <w:vAlign w:val="center"/>
            <w:hideMark/>
          </w:tcPr>
          <w:p w14:paraId="3C30C37F"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0,295</w:t>
              </w:r>
            </w:r>
          </w:p>
        </w:tc>
        <w:tc>
          <w:tcPr>
            <w:tcW w:w="1566" w:type="dxa"/>
            <w:tcBorders>
              <w:top w:val="nil"/>
              <w:left w:val="nil"/>
              <w:bottom w:val="single" w:sz="4" w:space="0" w:color="auto"/>
              <w:right w:val="single" w:sz="8" w:space="0" w:color="auto"/>
            </w:tcBorders>
            <w:shd w:val="clear" w:color="auto" w:fill="auto"/>
            <w:noWrap/>
            <w:vAlign w:val="center"/>
            <w:hideMark/>
          </w:tcPr>
          <w:p w14:paraId="35C8A72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-25,62%</w:t>
              </w:r>
            </w:r>
          </w:p>
        </w:tc>
      </w:tr>
      <w:tr w:rsidR="00C438CF" w:rsidRPr="00C438CF" w14:paraId="544CA8AC" w14:textId="77777777" w:rsidTr="005C119B">
        <w:trPr>
          <w:trHeight w:val="315"/>
          <w:jc w:val="center"/>
        </w:trPr>
        <w:tc>
          <w:tcPr>
            <w:tcW w:w="2424" w:type="dxa"/>
            <w:tcBorders>
              <w:top w:val="nil"/>
              <w:left w:val="single" w:sz="8" w:space="0" w:color="auto"/>
              <w:bottom w:val="single" w:sz="4" w:space="0" w:color="auto"/>
              <w:right w:val="single" w:sz="4" w:space="0" w:color="auto"/>
            </w:tcBorders>
            <w:shd w:val="clear" w:color="auto" w:fill="auto"/>
            <w:noWrap/>
            <w:vAlign w:val="center"/>
            <w:hideMark/>
          </w:tcPr>
          <w:p w14:paraId="200DE930"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rFonts w:ascii="Calibri" w:hAnsi="Calibri" w:cs="Calibri"/>
                  <w:b/>
                  <w:bCs/>
                  <w:color w:val="000000"/>
                  <w:sz w:val="24"/>
                  <w:szCs w:val="24"/>
                  <w:lang w:val="pt-BR" w:eastAsia="pt-BR"/>
                </w:rPr>
                <w:t>MinVar (c10)</w:t>
              </w:r>
            </w:r>
          </w:p>
        </w:tc>
        <w:tc>
          <w:tcPr>
            <w:tcW w:w="2280" w:type="dxa"/>
            <w:tcBorders>
              <w:top w:val="nil"/>
              <w:left w:val="nil"/>
              <w:bottom w:val="single" w:sz="4" w:space="0" w:color="auto"/>
              <w:right w:val="single" w:sz="4" w:space="0" w:color="auto"/>
            </w:tcBorders>
            <w:shd w:val="clear" w:color="auto" w:fill="auto"/>
            <w:noWrap/>
            <w:vAlign w:val="center"/>
            <w:hideMark/>
          </w:tcPr>
          <w:p w14:paraId="50B7984C"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11,93%</w:t>
              </w:r>
            </w:r>
          </w:p>
        </w:tc>
        <w:tc>
          <w:tcPr>
            <w:tcW w:w="1540" w:type="dxa"/>
            <w:tcBorders>
              <w:top w:val="nil"/>
              <w:left w:val="nil"/>
              <w:bottom w:val="single" w:sz="4" w:space="0" w:color="auto"/>
              <w:right w:val="single" w:sz="4" w:space="0" w:color="auto"/>
            </w:tcBorders>
            <w:shd w:val="clear" w:color="auto" w:fill="auto"/>
            <w:noWrap/>
            <w:vAlign w:val="center"/>
            <w:hideMark/>
          </w:tcPr>
          <w:p w14:paraId="2E5A8EDA"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12,99%</w:t>
              </w:r>
            </w:r>
          </w:p>
        </w:tc>
        <w:tc>
          <w:tcPr>
            <w:tcW w:w="1260" w:type="dxa"/>
            <w:tcBorders>
              <w:top w:val="nil"/>
              <w:left w:val="nil"/>
              <w:bottom w:val="single" w:sz="4" w:space="0" w:color="auto"/>
              <w:right w:val="single" w:sz="4" w:space="0" w:color="auto"/>
            </w:tcBorders>
            <w:shd w:val="clear" w:color="auto" w:fill="auto"/>
            <w:noWrap/>
            <w:vAlign w:val="center"/>
            <w:hideMark/>
          </w:tcPr>
          <w:p w14:paraId="6327029B"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0,219</w:t>
              </w:r>
            </w:r>
          </w:p>
        </w:tc>
        <w:tc>
          <w:tcPr>
            <w:tcW w:w="1260" w:type="dxa"/>
            <w:tcBorders>
              <w:top w:val="nil"/>
              <w:left w:val="nil"/>
              <w:bottom w:val="single" w:sz="4" w:space="0" w:color="auto"/>
              <w:right w:val="single" w:sz="4" w:space="0" w:color="auto"/>
            </w:tcBorders>
            <w:shd w:val="clear" w:color="auto" w:fill="auto"/>
            <w:noWrap/>
            <w:vAlign w:val="center"/>
            <w:hideMark/>
          </w:tcPr>
          <w:p w14:paraId="6A9BE419"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0,298</w:t>
              </w:r>
            </w:r>
          </w:p>
        </w:tc>
        <w:tc>
          <w:tcPr>
            <w:tcW w:w="1566" w:type="dxa"/>
            <w:tcBorders>
              <w:top w:val="nil"/>
              <w:left w:val="nil"/>
              <w:bottom w:val="single" w:sz="4" w:space="0" w:color="auto"/>
              <w:right w:val="single" w:sz="8" w:space="0" w:color="auto"/>
            </w:tcBorders>
            <w:shd w:val="clear" w:color="auto" w:fill="auto"/>
            <w:noWrap/>
            <w:vAlign w:val="center"/>
            <w:hideMark/>
          </w:tcPr>
          <w:p w14:paraId="798A9395"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-25,63%</w:t>
              </w:r>
            </w:r>
          </w:p>
        </w:tc>
      </w:tr>
      <w:tr w:rsidR="00C438CF" w:rsidRPr="00C438CF" w14:paraId="2D77F4B5" w14:textId="77777777" w:rsidTr="005C119B">
        <w:trPr>
          <w:trHeight w:val="330"/>
          <w:jc w:val="center"/>
        </w:trPr>
        <w:tc>
          <w:tcPr>
            <w:tcW w:w="2424" w:type="dxa"/>
            <w:tcBorders>
              <w:top w:val="nil"/>
              <w:left w:val="single" w:sz="8" w:space="0" w:color="auto"/>
              <w:bottom w:val="single" w:sz="8" w:space="0" w:color="auto"/>
              <w:right w:val="single" w:sz="4" w:space="0" w:color="auto"/>
            </w:tcBorders>
            <w:shd w:val="clear" w:color="auto" w:fill="auto"/>
            <w:noWrap/>
            <w:vAlign w:val="center"/>
            <w:hideMark/>
          </w:tcPr>
          <w:p w14:paraId="1BEFBDE8"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rFonts w:ascii="Calibri" w:hAnsi="Calibri" w:cs="Calibri"/>
                  <w:b/>
                  <w:bCs/>
                  <w:color w:val="000000"/>
                  <w:sz w:val="24"/>
                  <w:szCs w:val="24"/>
                  <w:lang w:val="pt-BR" w:eastAsia="pt-BR"/>
                </w:rPr>
                <w:t>MaxSharpe</w:t>
              </w:r>
            </w:r>
          </w:p>
        </w:tc>
        <w:tc>
          <w:tcPr>
            <w:tcW w:w="2280" w:type="dxa"/>
            <w:tcBorders>
              <w:top w:val="nil"/>
              <w:left w:val="nil"/>
              <w:bottom w:val="single" w:sz="8" w:space="0" w:color="auto"/>
              <w:right w:val="single" w:sz="4" w:space="0" w:color="auto"/>
            </w:tcBorders>
            <w:shd w:val="clear" w:color="auto" w:fill="auto"/>
            <w:noWrap/>
            <w:vAlign w:val="center"/>
            <w:hideMark/>
          </w:tcPr>
          <w:p w14:paraId="57552494" w14:textId="77777777" w:rsidR="00C438CF" w:rsidRPr="00C438CF" w:rsidRDefault="00C438CF"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13,60%</w:t>
              </w:r>
            </w:r>
          </w:p>
        </w:tc>
        <w:tc>
          <w:tcPr>
            <w:tcW w:w="1540" w:type="dxa"/>
            <w:tcBorders>
              <w:top w:val="nil"/>
              <w:left w:val="nil"/>
              <w:bottom w:val="single" w:sz="8" w:space="0" w:color="auto"/>
              <w:right w:val="single" w:sz="4" w:space="0" w:color="auto"/>
            </w:tcBorders>
            <w:shd w:val="clear" w:color="auto" w:fill="auto"/>
            <w:noWrap/>
            <w:vAlign w:val="center"/>
            <w:hideMark/>
          </w:tcPr>
          <w:p w14:paraId="78691D8D" w14:textId="77777777" w:rsidR="00C438CF"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17,53%</w:t>
              </w:r>
            </w:r>
          </w:p>
        </w:tc>
        <w:tc>
          <w:tcPr>
            <w:tcW w:w="1260" w:type="dxa"/>
            <w:tcBorders>
              <w:top w:val="nil"/>
              <w:left w:val="nil"/>
              <w:bottom w:val="single" w:sz="8" w:space="0" w:color="auto"/>
              <w:right w:val="single" w:sz="4" w:space="0" w:color="auto"/>
            </w:tcBorders>
            <w:shd w:val="clear" w:color="auto" w:fill="auto"/>
            <w:noWrap/>
            <w:vAlign w:val="center"/>
            <w:hideMark/>
          </w:tcPr>
          <w:p w14:paraId="739F979D"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0,287</w:t>
              </w:r>
            </w:r>
          </w:p>
        </w:tc>
        <w:tc>
          <w:tcPr>
            <w:tcW w:w="1260" w:type="dxa"/>
            <w:tcBorders>
              <w:top w:val="nil"/>
              <w:left w:val="nil"/>
              <w:bottom w:val="single" w:sz="8" w:space="0" w:color="auto"/>
              <w:right w:val="single" w:sz="4" w:space="0" w:color="auto"/>
            </w:tcBorders>
            <w:shd w:val="clear" w:color="auto" w:fill="auto"/>
            <w:noWrap/>
            <w:vAlign w:val="center"/>
            <w:hideMark/>
          </w:tcPr>
          <w:p w14:paraId="4C8869BB" w14:textId="77777777" w:rsidR="00C438CF" w:rsidRPr="00C438CF" w:rsidRDefault="00D12DBE"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0,404</w:t>
              </w:r>
            </w:r>
          </w:p>
        </w:tc>
        <w:tc>
          <w:tcPr>
            <w:tcW w:w="1566" w:type="dxa"/>
            <w:tcBorders>
              <w:top w:val="nil"/>
              <w:left w:val="nil"/>
              <w:bottom w:val="single" w:sz="8" w:space="0" w:color="auto"/>
              <w:right w:val="single" w:sz="8" w:space="0" w:color="auto"/>
            </w:tcBorders>
            <w:shd w:val="clear" w:color="auto" w:fill="auto"/>
            <w:noWrap/>
            <w:vAlign w:val="center"/>
            <w:hideMark/>
          </w:tcPr>
          <w:p w14:paraId="284D02FA" w14:textId="77777777" w:rsidR="00C438CF" w:rsidRPr="00C438CF" w:rsidRDefault="00C438CF" w:rsidP="00C438CF">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-22,76%</w:t>
              </w:r>
            </w:r>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r>
              <w:rPr>
                <w:b/>
                <w:bCs/>
                <w:color w:val="000000"/>
                <w:sz w:val="20"/>
                <w:szCs w:val="20"/>
              </w:rPr>
              <w:t>MaxSharpe (c10)</w:t>
            </w:r>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12,66%</w:t>
            </w:r>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16,55%</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0,243</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0,340</w:t>
            </w:r>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r>
              <w:rPr>
                <w:color w:val="000000"/>
                <w:sz w:val="20"/>
                <w:szCs w:val="20"/>
              </w:rPr>
              <w:t>-23,90%</w:t>
            </w:r>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r>
              <w:rPr>
                <w:b/>
                <w:bCs/>
                <w:color w:val="000000"/>
                <w:sz w:val="20"/>
                <w:szCs w:val="20"/>
              </w:rPr>
              <w:t>MaxOmega</w:t>
            </w:r>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9,82%</w:t>
            </w:r>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21,21%</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0,111</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0,157</w:t>
            </w:r>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r>
              <w:rPr>
                <w:color w:val="000000"/>
                <w:sz w:val="20"/>
                <w:szCs w:val="20"/>
              </w:rPr>
              <w:t>-30,61%</w:t>
            </w:r>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r>
              <w:rPr>
                <w:b/>
                <w:bCs/>
                <w:color w:val="000000"/>
                <w:sz w:val="20"/>
                <w:szCs w:val="20"/>
              </w:rPr>
              <w:t>MaxSortino</w:t>
            </w:r>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13,16%</w:t>
            </w:r>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17,78%</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0,263</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0,371</w:t>
            </w:r>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r>
              <w:rPr>
                <w:color w:val="000000"/>
                <w:sz w:val="20"/>
                <w:szCs w:val="20"/>
              </w:rPr>
              <w:t>-23,26%</w:t>
            </w:r>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r>
              <w:rPr>
                <w:b/>
                <w:bCs/>
                <w:color w:val="000000"/>
                <w:sz w:val="20"/>
                <w:szCs w:val="20"/>
              </w:rPr>
              <w:t>MaxKappa3</w:t>
            </w:r>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13,32%</w:t>
            </w:r>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18,26%</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0,269</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0,381</w:t>
            </w:r>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r>
              <w:rPr>
                <w:color w:val="000000"/>
                <w:sz w:val="20"/>
                <w:szCs w:val="20"/>
              </w:rPr>
              <w:t>-22,55%</w:t>
            </w:r>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r>
              <w:rPr>
                <w:b/>
                <w:bCs/>
                <w:color w:val="000000"/>
                <w:sz w:val="20"/>
                <w:szCs w:val="20"/>
              </w:rPr>
              <w:t>MinCVaR</w:t>
            </w:r>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11,85%</w:t>
            </w:r>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12,96%</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0,214</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0,293</w:t>
            </w:r>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r>
              <w:rPr>
                <w:color w:val="000000"/>
                <w:sz w:val="20"/>
                <w:szCs w:val="20"/>
              </w:rPr>
              <w:t>-26,26%</w:t>
            </w:r>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r>
              <w:rPr>
                <w:b/>
                <w:bCs/>
                <w:color w:val="000000"/>
                <w:sz w:val="20"/>
                <w:szCs w:val="20"/>
              </w:rPr>
              <w:t>MinCDaR</w:t>
            </w:r>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-1,75%</w:t>
            </w:r>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21,09%</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-0,417</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-0,565</w:t>
            </w:r>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r>
              <w:rPr>
                <w:color w:val="000000"/>
                <w:sz w:val="20"/>
                <w:szCs w:val="20"/>
              </w:rPr>
              <w:t>-81,81%</w:t>
            </w:r>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r>
              <w:rPr>
                <w:b/>
                <w:bCs/>
                <w:color w:val="000000"/>
                <w:sz w:val="20"/>
                <w:szCs w:val="20"/>
              </w:rPr>
              <w:t>BL Clássico</w:t>
            </w:r>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21,12%</w:t>
            </w:r>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25,99%</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0,511</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0,740</w:t>
            </w:r>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r>
              <w:rPr>
                <w:color w:val="000000"/>
                <w:sz w:val="20"/>
                <w:szCs w:val="20"/>
              </w:rPr>
              <w:t>-43,78%</w:t>
            </w:r>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r>
              <w:rPr>
                <w:b/>
                <w:bCs/>
                <w:color w:val="000000"/>
                <w:sz w:val="20"/>
                <w:szCs w:val="20"/>
              </w:rPr>
              <w:t>BL Clássico (c10)</w:t>
            </w:r>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17,99%</w:t>
            </w:r>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20,30%</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0,460</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0,643</w:t>
            </w:r>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r>
              <w:rPr>
                <w:color w:val="000000"/>
                <w:sz w:val="20"/>
                <w:szCs w:val="20"/>
              </w:rPr>
              <w:t>-34,33%</w:t>
            </w:r>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r>
              <w:rPr>
                <w:b/>
                <w:bCs/>
                <w:color w:val="000000"/>
                <w:sz w:val="20"/>
                <w:szCs w:val="20"/>
              </w:rPr>
              <w:t>BL Downside</w:t>
            </w:r>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20,66%</w:t>
            </w:r>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32,36%</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0,456</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0,666</w:t>
            </w:r>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r>
              <w:rPr>
                <w:color w:val="000000"/>
                <w:sz w:val="20"/>
                <w:szCs w:val="20"/>
              </w:rPr>
              <w:t>-59,82%</w:t>
            </w:r>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r>
              <w:rPr>
                <w:b/>
                <w:bCs/>
                <w:color w:val="000000"/>
                <w:sz w:val="20"/>
                <w:szCs w:val="20"/>
              </w:rPr>
              <w:t>BL Downside (c10)</w:t>
            </w:r>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14,45%</w:t>
            </w:r>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22,32%</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0,301</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0,421</w:t>
            </w:r>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r>
              <w:rPr>
                <w:color w:val="000000"/>
                <w:sz w:val="20"/>
                <w:szCs w:val="20"/>
              </w:rPr>
              <w:t>-37,13%</w:t>
            </w:r>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r>
              <w:rPr>
                <w:b/>
                <w:bCs/>
                <w:color w:val="000000"/>
                <w:sz w:val="20"/>
                <w:szCs w:val="20"/>
              </w:rPr>
              <w:t>IBOVESPA</w:t>
            </w:r>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11,26%</w:t>
            </w:r>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23,32%</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0,178</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0,245</w:t>
            </w:r>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r>
              <w:rPr>
                <w:color w:val="000000"/>
                <w:sz w:val="20"/>
                <w:szCs w:val="20"/>
              </w:rPr>
              <w:t>-46,82%</w:t>
            </w:r>
          </w:p>
        </w:tc>
      </w:tr>
      <w:tr>
        <w:trPr>
          <w:trHeight w:val="283"/>
          <w:jc w:val="center"/>
        </w:trPr>
        <w:tc>
          <w:tcPr>
            <w:tcW w:w="2424" w:type="dxa"/>
            <w:tcBorders>
              <w:top w:val="nil"/>
              <w:left w:val="single" w:sz="8" w:space="0" w:color="auto"/>
              <w:bottom w:val="single" w:sz="4" w:space="0" w:color="auto"/>
              <w:right w:val="single" w:sz="4" w:space="0" w:color="auto"/>
            </w:tcBorders>
            <w:shd w:val="clear" w:color="auto" w:fill="auto"/>
            <w:vAlign w:val="center"/>
          </w:tcPr>
          <w:p>
            <w:pPr>
              <w:jc w:val="center"/>
              <w:rPr>
                <w:b/>
                <w:bCs/>
                <w:color w:val="000000"/>
                <w:sz w:val="20"/>
                <w:szCs w:val="20"/>
              </w:rPr>
            </w:pPr>
            <w:r>
              <w:rPr>
                <w:b/>
                <w:bCs/>
                <w:color w:val="000000"/>
                <w:sz w:val="20"/>
                <w:szCs w:val="20"/>
              </w:rPr>
              <w:t>CDI (referência)</w:t>
            </w:r>
          </w:p>
        </w:tc>
        <w:tc>
          <w:tcPr>
            <w:tcW w:w="228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~10,5% a.a.</w:t>
            </w:r>
          </w:p>
        </w:tc>
        <w:tc>
          <w:tcPr>
            <w:tcW w:w="154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w:t>
            </w:r>
          </w:p>
        </w:tc>
        <w:tc>
          <w:tcPr>
            <w:tcW w:w="1260" w:type="dxa"/>
            <w:tcBorders>
              <w:top w:val="nil"/>
              <w:left w:val="nil"/>
              <w:bottom w:val="single" w:sz="4" w:space="0" w:color="auto"/>
              <w:right w:val="single" w:sz="4" w:space="0" w:color="auto"/>
            </w:tcBorders>
            <w:shd w:val="clear" w:color="auto" w:fill="auto"/>
            <w:noWrap/>
            <w:vAlign w:val="center"/>
          </w:tcPr>
          <w:p>
            <w:pPr>
              <w:jc w:val="center"/>
              <w:rPr>
                <w:color w:val="000000"/>
                <w:sz w:val="20"/>
                <w:szCs w:val="20"/>
              </w:rPr>
            </w:pPr>
            <w:r>
              <w:rPr>
                <w:color w:val="000000"/>
                <w:sz w:val="20"/>
                <w:szCs w:val="20"/>
              </w:rPr>
              <w:t>—</w:t>
            </w:r>
          </w:p>
        </w:tc>
        <w:tc>
          <w:tcPr>
            <w:tcW w:w="1260" w:type="dxa"/>
            <w:tcBorders>
              <w:top w:val="nil"/>
              <w:left w:val="nil"/>
              <w:bottom w:val="single" w:sz="4" w:space="0" w:color="auto"/>
              <w:right w:val="single" w:sz="8" w:space="0" w:color="auto"/>
            </w:tcBorders>
            <w:shd w:val="clear" w:color="auto" w:fill="auto"/>
            <w:noWrap/>
            <w:vAlign w:val="center"/>
          </w:tcPr>
          <w:p>
            <w:pPr>
              <w:jc w:val="center"/>
              <w:rPr>
                <w:color w:val="000000"/>
                <w:sz w:val="20"/>
                <w:szCs w:val="20"/>
              </w:rPr>
            </w:pPr>
            <w:r>
              <w:rPr>
                <w:color w:val="000000"/>
                <w:sz w:val="20"/>
                <w:szCs w:val="20"/>
              </w:rPr>
              <w:t>—</w:t>
            </w:r>
          </w:p>
        </w:tc>
      </w:tr>
    </w:tbl>
    <w:p w14:paraId="6DF38CF5" w14:textId="77777777" w:rsidR="00C438CF" w:rsidRDefault="00C438CF" w:rsidP="00C438CF">
      <w:pPr>
        <w:jc w:val="center"/>
      </w:pPr>
      <w:r>
        <w:t>Fonte: elaboração própria.</w:t>
      </w:r>
    </w:p>
    <w:p w14:paraId="33737E9A" w14:textId="77777777" w:rsidR="00C438CF" w:rsidRDefault="00C438CF" w:rsidP="00C438CF"/>
    <w:p w14:paraId="70CCAD7D" w14:textId="77777777" w:rsidR="00C438CF" w:rsidRDefault="00C438CF" w:rsidP="00C438CF"/>
    <w:p w14:paraId="7728828D" w14:textId="77777777" w:rsidR="00C438CF" w:rsidRPr="005C119B" w:rsidRDefault="00C438CF" w:rsidP="005C119B">
      <w:pPr>
        <w:spacing w:line="360" w:lineRule="auto"/>
        <w:ind w:firstLine="851"/>
        <w:jc w:val="both"/>
        <w:rPr>
          <w:sz w:val="28"/>
        </w:rPr>
      </w:pPr>
      <w:r>
        <w:rPr>
          <w:b/>
          <w:sz w:val="24"/>
        </w:rPr>
        <w:t>Nota:</w:t>
      </w:r>
      <w:r>
        <w:rPr>
          <w:sz w:val="24"/>
        </w:rPr>
        <w:t xml:space="preserve"> a diferença nos valores do IBOVESPA e CDI entre as estratégias reflete leve diferença no ponto inicial do período (set/2015 para L1 vs jan/2015 para BL com momentum 12-1).</w:t>
      </w:r>
    </w:p>
    <w:p w14:paraId="68255C06" w14:textId="77777777" w:rsidR="00C438CF" w:rsidRPr="000815A7" w:rsidRDefault="00C438CF" w:rsidP="00C438CF">
      <w:pPr>
        <w:rPr>
          <w:bCs/>
          <w:sz w:val="24"/>
          <w:szCs w:val="24"/>
        </w:rPr>
      </w:pPr>
    </w:p>
    <w:p w14:paraId="7C48354E" w14:textId="77777777" w:rsidR="00C438CF" w:rsidRPr="00310893" w:rsidRDefault="00C438CF" w:rsidP="00853490">
      <w:pPr>
        <w:pStyle w:val="Ttulo3"/>
        <w:numPr>
          <w:ilvl w:val="2"/>
          <w:numId w:val="1"/>
        </w:numPr>
        <w:ind w:left="0" w:firstLine="0"/>
        <w:rPr>
          <w:b w:val="0"/>
        </w:rPr>
      </w:pPr>
      <w:bookmarkStart w:id="143" w:name="_Toc230857084"/>
      <w:r>
        <w:rPr>
          <w:b w:val="0"/>
        </w:rPr>
        <w:t>Hierarquia de Desempenho e o Paradoxo da Complexidade</w:t>
      </w:r>
      <w:bookmarkEnd w:id="143"/>
    </w:p>
    <w:p w14:paraId="7931FD73" w14:textId="77777777" w:rsidR="00C438CF" w:rsidRDefault="00C438CF" w:rsidP="00C438CF">
      <w:pPr>
        <w:rPr>
          <w:sz w:val="24"/>
        </w:rPr>
      </w:pPr>
    </w:p>
    <w:p w14:paraId="0DD51865" w14:textId="77777777" w:rsidR="00C438CF" w:rsidRPr="00C438CF" w:rsidRDefault="00C438CF" w:rsidP="00C438CF">
      <w:pPr>
        <w:widowControl/>
        <w:autoSpaceDE/>
        <w:autoSpaceDN/>
        <w:spacing w:line="360" w:lineRule="auto"/>
        <w:ind w:firstLine="851"/>
        <w:jc w:val="both"/>
        <w:rPr>
          <w:sz w:val="24"/>
          <w:szCs w:val="24"/>
          <w:lang w:val="pt-BR" w:eastAsia="pt-BR"/>
        </w:rPr>
      </w:pPr>
      <w:r>
        <w:rPr>
          <w:sz w:val="24"/>
          <w:szCs w:val="24"/>
          <w:lang w:val="pt-BR" w:eastAsia="pt-BR"/>
        </w:rPr>
        <w:t xml:space="preserve">O resultado mais relevante deste estudo é o </w:t>
      </w:r>
      <w:r>
        <w:rPr>
          <w:b/>
          <w:bCs/>
          <w:sz w:val="24"/>
          <w:szCs w:val="24"/>
          <w:lang w:val="pt-BR" w:eastAsia="pt-BR"/>
        </w:rPr>
        <w:t>ordenamento inverso entre complexidade do modelo e desempenho</w:t>
      </w:r>
      <w:r>
        <w:rPr>
          <w:sz w:val="24"/>
          <w:szCs w:val="24"/>
          <w:lang w:val="pt-BR" w:eastAsia="pt-BR"/>
        </w:rPr>
        <w:t xml:space="preserve"> </w:t>
      </w:r>
      <w:r>
        <w:rPr>
          <w:i/>
          <w:iCs/>
          <w:sz w:val="24"/>
          <w:szCs w:val="24"/>
          <w:lang w:val="pt-BR" w:eastAsia="pt-BR"/>
        </w:rPr>
        <w:t>out-of-sample</w:t>
      </w:r>
      <w:r>
        <w:rPr>
          <w:sz w:val="24"/>
          <w:szCs w:val="24"/>
          <w:lang w:val="pt-BR" w:eastAsia="pt-BR"/>
        </w:rPr>
        <w:t>:</w:t>
      </w:r>
    </w:p>
    <w:p w14:paraId="431598A8"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r>
          <w:rPr>
            <w:rFonts w:ascii="Calibri" w:hAnsi="Calibri" w:cs="Calibri"/>
            <w:b/>
            <w:bCs/>
            <w:color w:val="000000"/>
            <w:sz w:val="24"/>
            <w:szCs w:val="24"/>
            <w:lang w:val="pt-BR" w:eastAsia="pt-BR"/>
          </w:rPr>
          <w:t>MinVar</w:t>
        </w:r>
      </w:r>
      <w:r>
        <w:rPr>
          <w:sz w:val="24"/>
          <w:szCs w:val="24"/>
          <w:lang w:val="pt-BR" w:eastAsia="pt-BR"/>
        </w:rPr>
        <w:t xml:space="preserve"> (mais simples) → melhor resultado absoluto e ajustado ao risco</w:t>
      </w:r>
    </w:p>
    <w:p w14:paraId="2E8E4730"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r>
          <w:rPr>
            <w:rFonts w:ascii="Calibri" w:hAnsi="Calibri" w:cs="Calibri"/>
            <w:b/>
            <w:bCs/>
            <w:color w:val="000000"/>
            <w:sz w:val="24"/>
            <w:szCs w:val="24"/>
            <w:lang w:val="pt-BR" w:eastAsia="pt-BR"/>
          </w:rPr>
          <w:t>BL Clássico</w:t>
        </w:r>
      </w:r>
      <w:r>
        <w:rPr>
          <w:sz w:val="24"/>
          <w:szCs w:val="24"/>
          <w:lang w:val="pt-BR" w:eastAsia="pt-BR"/>
        </w:rPr>
        <w:t xml:space="preserve"> (complexidade intermediária) → resultado marginal sobre o benchmark</w:t>
      </w:r>
    </w:p>
    <w:p w14:paraId="234DD455" w14:textId="77777777" w:rsidR="00C438CF" w:rsidRPr="00C438CF" w:rsidRDefault="00C438CF" w:rsidP="00CB4A48">
      <w:pPr>
        <w:widowControl/>
        <w:numPr>
          <w:ilvl w:val="0"/>
          <w:numId w:val="61"/>
        </w:numPr>
        <w:autoSpaceDE/>
        <w:autoSpaceDN/>
        <w:spacing w:line="360" w:lineRule="auto"/>
        <w:jc w:val="both"/>
        <w:rPr>
          <w:sz w:val="24"/>
          <w:szCs w:val="24"/>
          <w:lang w:val="pt-BR" w:eastAsia="pt-BR"/>
        </w:rPr>
      </w:pPr>
      <w:r>
        <w:rPr>
          <w:b/>
          <w:bCs/>
          <w:sz w:val="24"/>
          <w:szCs w:val="24"/>
          <w:lang w:val="pt-BR" w:eastAsia="pt-BR"/>
        </w:rPr>
        <w:r>
          <w:rPr>
            <w:color w:val="000000"/>
            <w:sz w:val="24"/>
            <w:szCs w:val="24"/>
            <w:lang w:val="pt-BR" w:eastAsia="pt-BR"/>
          </w:rPr>
          <w:t>Black-Litterman com Momentum 12-1</w:t>
        </w:r>
      </w:r>
      <w:r>
        <w:rPr>
          <w:sz w:val="24"/>
          <w:szCs w:val="24"/>
          <w:lang w:val="pt-BR" w:eastAsia="pt-BR"/>
        </w:rPr>
        <w:t xml:space="preserve"> (mais complexo) → pior resultado, com destruição expressiva de capital</w:t>
      </w:r>
    </w:p>
    <w:p w14:paraId="7BD776D3" w14:textId="77777777" w:rsidR="00C438CF" w:rsidRDefault="00C438CF" w:rsidP="00C438CF">
      <w:pPr>
        <w:rPr>
          <w:sz w:val="24"/>
        </w:rPr>
      </w:pPr>
    </w:p>
    <w:p w14:paraId="13F67477" w14:textId="77777777" w:rsidR="00C438CF" w:rsidRPr="00C438CF" w:rsidRDefault="00C438CF" w:rsidP="00C438CF">
      <w:pPr>
        <w:spacing w:line="360" w:lineRule="auto"/>
        <w:ind w:firstLine="851"/>
        <w:jc w:val="both"/>
        <w:rPr>
          <w:sz w:val="28"/>
        </w:rPr>
      </w:pPr>
      <w:r>
        <w:rPr>
          <w:sz w:val="24"/>
        </w:rPr>
        <w:t xml:space="preserve">Esse padrão é teoricamente previsto por DeMiguel, Garlappi e Uppal (2009), que demonstraram que a adição de complexidade na estimação de retornos esperados tende a introduzir mais erro de estimação do que informação, resultando em portfólios </w:t>
      </w:r>
      <w:r>
        <w:rPr>
          <w:rStyle w:val="nfase"/>
          <w:sz w:val="24"/>
        </w:rPr>
        <w:t>out-of-sample</w:t>
      </w:r>
      <w:r>
        <w:rPr>
          <w:sz w:val="24"/>
        </w:rPr>
        <w:t xml:space="preserve"> inferiores às estratégias simples. No contexto brasileiro, a elevada volatilidade e a presença de regimes macroeconômicos distintos amplificam esse efeito, dificultando a extração de sinal preditivo consistente por modelos de machine learning.</w:t>
      </w:r>
    </w:p>
    <w:p w14:paraId="70DEBDCA" w14:textId="77777777" w:rsidR="00C438CF" w:rsidRPr="000815A7" w:rsidRDefault="00C438CF" w:rsidP="00C438CF">
      <w:pPr>
        <w:rPr>
          <w:bCs/>
          <w:sz w:val="24"/>
          <w:szCs w:val="24"/>
        </w:rPr>
      </w:pPr>
    </w:p>
    <w:p w14:paraId="2C23CFF1" w14:textId="77777777" w:rsidR="00C438CF" w:rsidRPr="00310893" w:rsidRDefault="00C438CF" w:rsidP="00853490">
      <w:pPr>
        <w:pStyle w:val="Ttulo3"/>
        <w:numPr>
          <w:ilvl w:val="2"/>
          <w:numId w:val="1"/>
        </w:numPr>
        <w:ind w:left="0" w:firstLine="0"/>
        <w:rPr>
          <w:b w:val="0"/>
        </w:rPr>
      </w:pPr>
      <w:bookmarkStart w:id="144" w:name="_Toc230857085"/>
      <w:r>
        <w:rPr>
          <w:b w:val="0"/>
        </w:rPr>
        <w:r>
          <w:rPr>
            <w:color w:val="000000"/>
            <w:sz w:val="24"/>
            <w:szCs w:val="24"/>
            <w:lang w:val="pt-BR" w:eastAsia="pt-BR"/>
          </w:rPr>
          <w:t>Análise do Desempenho do Black-Litterman com Momentum 12-1</w:t>
        </w:r>
      </w:r>
      <w:bookmarkEnd w:id="144"/>
    </w:p>
    <w:p w14:paraId="74ED1735" w14:textId="77777777" w:rsidR="00C438CF" w:rsidRDefault="00C438CF" w:rsidP="00C438CF">
      <w:pPr>
        <w:spacing w:line="360" w:lineRule="auto"/>
        <w:ind w:firstLine="851"/>
        <w:rPr>
          <w:sz w:val="24"/>
        </w:rPr>
      </w:pPr>
    </w:p>
    <w:p w14:paraId="46A0311B" w14:textId="77777777" w:rsidR="00C438CF" w:rsidRDefault="00C438CF" w:rsidP="00C438CF">
      <w:pPr>
        <w:pStyle w:val="font-claude-response-body"/>
        <w:spacing w:before="0" w:beforeAutospacing="0" w:after="0" w:afterAutospacing="0" w:line="360" w:lineRule="auto"/>
        <w:ind w:firstLine="851"/>
        <w:jc w:val="both"/>
      </w:pPr>
      <w:r>
        <w:rPr>
          <w:color w:val="000000"/>
          <w:sz w:val="24"/>
          <w:szCs w:val="24"/>
          <w:lang w:val="pt-BR" w:eastAsia="pt-BR"/>
        </w:rPr>
        <w:t>O desempenho observado na estratégia BL com momentum decorre da combinação de três fatores identificados na análise do código:</w:t>
      </w:r>
    </w:p>
    <w:p w14:paraId="0A88C588"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r>
          <w:rPr>
            <w:color w:val="000000"/>
            <w:sz w:val="24"/>
            <w:szCs w:val="24"/>
            <w:lang w:val="pt-BR" w:eastAsia="pt-BR"/>
          </w:rPr>
          <w:t>Caracterização das Visões de Momentum.</w:t>
        </w:r>
      </w:r>
      <w:r>
        <w:t xml:space="preserve"> As previsões de retorno (</w:t>
      </w:r>
      <w:r>
        <w:rPr>
          <w:rStyle w:val="katex-mathml"/>
        </w:rPr>
        <w:t xml:space="preserve">QQ </w:t>
      </w:r>
      <w:r>
        <w:rPr>
          <w:rStyle w:val="mord"/>
        </w:rPr>
        <w:t>Q</w:t>
      </w:r>
      <w:r>
        <w:rPr>
          <w:color w:val="000000"/>
          <w:sz w:val="24"/>
          <w:szCs w:val="24"/>
          <w:lang w:val="pt-BR" w:eastAsia="pt-BR"/>
        </w:rPr>
        <w:t>) geradas pelo fator de momentum 12-1 variaram substancialmente de um mês para o outro, refletindo a baixa persistência dos padrões aprendidos pelos modelos em séries com relação sinal-ruído muito baixa. O Ljung-Box sobre os retornos ao quadrado confirmou que a estrutura de volatilidade é captável, mas a direção dos retornos — o que o LSTM tenta prever — não apresenta padrão exploravelmente consistente na escala mensal.</w:t>
      </w:r>
    </w:p>
    <w:p w14:paraId="3C0EBB63"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Turnover Excessivo (55% ao mês).</w:t>
      </w:r>
      <w:r>
        <w:rPr>
          <w:color w:val="000000"/>
          <w:sz w:val="24"/>
          <w:szCs w:val="24"/>
          <w:lang w:val="pt-BR" w:eastAsia="pt-BR"/>
        </w:rPr>
        <w:t xml:space="preserve"> O custo transacional de 0,5% sobre o giro foi insuficiente para estabilizar as realocações frente à volatilidade das visões LSTM. Com 55% de giro mensal, a estratégia substitui a maior parte da carteira a cada dois meses, gerando custos de transação anualizados de aproximadamente 1,3% e impedindo a acumulação de retorno composto por qualquer posição individual.</w:t>
      </w:r>
    </w:p>
    <w:p w14:paraId="1C379BA9" w14:textId="77777777" w:rsidR="00C438CF" w:rsidRDefault="00C438CF" w:rsidP="00CB4A48">
      <w:pPr>
        <w:pStyle w:val="font-claude-response-body"/>
        <w:numPr>
          <w:ilvl w:val="0"/>
          <w:numId w:val="60"/>
        </w:numPr>
        <w:spacing w:before="0" w:beforeAutospacing="0" w:after="0" w:afterAutospacing="0" w:line="360" w:lineRule="auto"/>
        <w:jc w:val="both"/>
      </w:pPr>
      <w:r>
        <w:rPr>
          <w:rStyle w:val="Forte"/>
        </w:rPr>
        <w:t>Escala Incorreta da Covariância no Prior.</w:t>
      </w:r>
      <w:r>
        <w:t xml:space="preserve"> A covariância utilizada no modelo BL foi mensalizada (multiplicada por 21 dias) em vez de anualizada (multiplicada por 252), o que alterou a escala relativa entre o prior de equilíbrio (</w:t>
      </w:r>
      <w:r>
        <w:rPr>
          <w:rStyle w:val="katex-mathml"/>
        </w:rPr>
        <w:t xml:space="preserve">Π\Pi </w:t>
      </w:r>
      <w:r>
        <w:rPr>
          <w:rStyle w:val="mord"/>
        </w:rPr>
        <w:t>Π</w:t>
      </w:r>
      <w:r>
        <w:rPr>
          <w:color w:val="000000"/>
          <w:sz w:val="24"/>
          <w:szCs w:val="24"/>
          <w:lang w:val="pt-BR" w:eastAsia="pt-BR"/>
        </w:rPr>
        <w:t>) e as visões de momentum 12-1 (</w:t>
      </w:r>
      <w:r>
        <w:rPr>
          <w:rStyle w:val="katex-mathml"/>
        </w:rPr>
        <w:t xml:space="preserve">QQ </w:t>
      </w:r>
      <w:r>
        <w:rPr>
          <w:rStyle w:val="mord"/>
        </w:rPr>
        <w:t>Q</w:t>
      </w:r>
      <w:r>
        <w:t>), conferindo peso excessivo às visões em detrimento do ancoras de equilíbrio de mercado — justamente o mecanismo de estabilidade que torna o BL superior à MPT pura.</w:t>
      </w:r>
    </w:p>
    <w:p w14:paraId="1C5B5BF1" w14:textId="77777777" w:rsidR="00C438CF" w:rsidRDefault="00C438CF" w:rsidP="00C438CF">
      <w:pPr>
        <w:pStyle w:val="font-claude-response-body"/>
        <w:spacing w:before="0" w:beforeAutospacing="0" w:after="0" w:afterAutospacing="0" w:line="360" w:lineRule="auto"/>
        <w:ind w:firstLine="851"/>
        <w:jc w:val="both"/>
      </w:pPr>
      <w:r>
        <w:rPr>
          <w:color w:val="000000"/>
          <w:sz w:val="24"/>
          <w:szCs w:val="24"/>
          <w:lang w:val="pt-BR" w:eastAsia="pt-BR"/>
        </w:rPr>
        <w:t>A combinação desses três fatores BL com momentum apresentou elevada rotatividade decorrente da instabilidade das visões de momentum de curto prazo, sem o efeito estabilizador que caracteriza o modelo original de Black e Litterman (1992).</w:t>
      </w:r>
    </w:p>
    <w:p w14:paraId="77E2F334" w14:textId="77777777" w:rsidR="00C438CF" w:rsidRPr="000815A7" w:rsidRDefault="00C438CF" w:rsidP="00C438CF">
      <w:pPr>
        <w:spacing w:line="360" w:lineRule="auto"/>
        <w:ind w:firstLine="851"/>
        <w:rPr>
          <w:bCs/>
          <w:sz w:val="24"/>
          <w:szCs w:val="24"/>
        </w:rPr>
      </w:pPr>
    </w:p>
    <w:p w14:paraId="58991D1B" w14:textId="77777777" w:rsidR="00C438CF" w:rsidRPr="00C438CF" w:rsidRDefault="00C438CF" w:rsidP="00853490">
      <w:pPr>
        <w:pStyle w:val="Ttulo3"/>
        <w:numPr>
          <w:ilvl w:val="2"/>
          <w:numId w:val="1"/>
        </w:numPr>
        <w:ind w:left="0" w:firstLine="0"/>
        <w:rPr>
          <w:b w:val="0"/>
        </w:rPr>
      </w:pPr>
      <w:bookmarkStart w:id="145" w:name="_Toc230857086"/>
      <w:r>
        <w:rPr>
          <w:b w:val="0"/>
        </w:rPr>
        <w:t>Interpretação à Luz do Referencial Teórico</w:t>
      </w:r>
      <w:bookmarkEnd w:id="145"/>
    </w:p>
    <w:p w14:paraId="04FE8189" w14:textId="77777777" w:rsidR="00C438CF" w:rsidRDefault="00C438CF" w:rsidP="00C438CF">
      <w:pPr>
        <w:rPr>
          <w:sz w:val="24"/>
        </w:rPr>
      </w:pPr>
    </w:p>
    <w:p w14:paraId="32BC0763" w14:textId="77777777" w:rsidR="00C438CF" w:rsidRDefault="00C438CF" w:rsidP="00C438CF">
      <w:pPr>
        <w:rPr>
          <w:bCs/>
          <w:sz w:val="24"/>
          <w:szCs w:val="24"/>
        </w:rPr>
      </w:pPr>
    </w:p>
    <w:p w14:paraId="727437A7" w14:textId="77777777" w:rsidR="00C438CF" w:rsidRDefault="00C438CF" w:rsidP="00C438CF">
      <w:pPr>
        <w:pStyle w:val="font-claude-response-body"/>
        <w:spacing w:before="0" w:beforeAutospacing="0" w:after="0" w:afterAutospacing="0" w:line="360" w:lineRule="auto"/>
        <w:ind w:firstLine="851"/>
        <w:jc w:val="both"/>
      </w:pPr>
      <w:r>
        <w:t xml:space="preserve">O resultado da Mínima Variância corrobora empiricamente no mercado brasileiro a tese central de Markowitz (1959) — posteriormente formalizada por DeMiguel et al. (2009) — de que a estimação confiável da covariância é mais factível do que a estimação confiável do vetor de retornos esperados. Ao eliminar completamente a dependência de </w:t>
      </w:r>
      <w:r>
        <w:rPr>
          <w:rStyle w:val="katex-mathml"/>
        </w:rPr>
        <w:t xml:space="preserve">μ^\hat{\mu} </w:t>
      </w:r>
      <w:r>
        <w:rPr>
          <w:rStyle w:val="mord"/>
        </w:rPr>
        <w:t>μ^</w:t>
      </w:r>
      <w:r>
        <w:rPr>
          <w:rStyle w:val="vlist-s"/>
        </w:rPr>
        <w:t>​</w:t>
      </w:r>
      <w:r>
        <w:t xml:space="preserve">, a Mínima Variância evita que erros de estimação de </w:t>
        <w:lastRenderedPageBreak/>
        <w:t>retorno se propaguem para a alocação, produzindo portfólios mais estáveis e com menor turnover.</w:t>
      </w:r>
    </w:p>
    <w:p w14:paraId="6F8807F0" w14:textId="77777777" w:rsidR="00C438CF" w:rsidRDefault="00C438CF" w:rsidP="00C438CF">
      <w:pPr>
        <w:pStyle w:val="font-claude-response-body"/>
        <w:spacing w:before="0" w:beforeAutospacing="0" w:after="0" w:afterAutospacing="0" w:line="360" w:lineRule="auto"/>
        <w:ind w:firstLine="851"/>
        <w:jc w:val="both"/>
      </w:pPr>
      <w:r>
        <w:rPr>
          <w:color w:val="000000"/>
          <w:sz w:val="24"/>
          <w:szCs w:val="24"/>
          <w:lang w:val="pt-BR" w:eastAsia="pt-BR"/>
        </w:rPr>
        <w:t xml:space="preserve">O resultado do BL com momentum, por sua vez, confirma o diagnóstico de Welch e Goyal (2008), que demonstraram que praticamente nenhum preditor econométrico melhora significativamente a previsão </w:t>
      </w:r>
      <w:r>
        <w:rPr>
          <w:rStyle w:val="nfase"/>
        </w:rPr>
        <w:t>out-of-sample</w:t>
      </w:r>
      <w:r>
        <w:rPr>
          <w:color w:val="000000"/>
          <w:sz w:val="24"/>
          <w:szCs w:val="24"/>
          <w:lang w:val="pt-BR" w:eastAsia="pt-BR"/>
        </w:rPr>
        <w:t xml:space="preserve"> de retornos de ações em relação à média histórica simples. Modelos de séries temporais mais sofisticados, como modelos de machine learning, não são imunes a essa limitação fundamental: a baixíssima relação sinal-ruído dos retornos acionários impede a extração de informação preditiva estrutural, mesmo com arquiteturas de aprendizado profundo.</w:t>
      </w:r>
    </w:p>
    <w:p w14:paraId="50A56F35" w14:textId="77777777" w:rsidR="00C438CF" w:rsidRDefault="00C438CF" w:rsidP="00C438CF">
      <w:pPr>
        <w:pStyle w:val="font-claude-response-body"/>
        <w:spacing w:before="0" w:beforeAutospacing="0" w:after="0" w:afterAutospacing="0" w:line="360" w:lineRule="auto"/>
        <w:ind w:firstLine="851"/>
        <w:jc w:val="both"/>
      </w:pPr>
      <w:r>
        <w:t>Por fim, a superação do IBOVESPA pela Mínima Variância (+245 pp) e, em menor grau, pelo Máximo Sharpe (+25 pp), é consistente com os achados de Santos e Tessari (2012) para o mercado brasileiro, que documentaram superioridade de estratégias quantitativas de otimização sobre o índice passivo, especialmente em cenários de alta volatilidade.</w:t>
      </w:r>
    </w:p>
    <w:p w14:paraId="75A8292E" w14:textId="77777777" w:rsidR="00D12DBE" w:rsidRPr="00114688" w:rsidRDefault="00D12DBE" w:rsidP="00D12DBE">
      <w:pPr>
        <w:rPr>
          <w:sz w:val="24"/>
          <w:szCs w:val="24"/>
        </w:rPr>
      </w:pPr>
    </w:p>
    <w:p w14:paraId="4F40BD40" w14:textId="77777777" w:rsidR="00D12DBE" w:rsidRPr="00310893" w:rsidRDefault="00D12DBE" w:rsidP="00853490">
      <w:pPr>
        <w:pStyle w:val="Ttulo2"/>
        <w:numPr>
          <w:ilvl w:val="1"/>
          <w:numId w:val="1"/>
        </w:numPr>
        <w:ind w:left="0" w:firstLine="0"/>
        <w:jc w:val="left"/>
        <w:rPr>
          <w:sz w:val="22"/>
          <w:szCs w:val="24"/>
        </w:rPr>
      </w:pPr>
      <w:bookmarkStart w:id="146" w:name="_Toc230857087"/>
      <w:r>
        <w:rPr>
          <w:sz w:val="24"/>
        </w:rPr>
        <w:t>l</w:t>
      </w:r>
      <w:bookmarkEnd w:id="146"/>
    </w:p>
    <w:p w14:paraId="01A91DB1" w14:textId="77777777" w:rsidR="00D12DBE" w:rsidRDefault="00D12DBE" w:rsidP="00D12DBE">
      <w:pPr>
        <w:rPr>
          <w:bCs/>
          <w:sz w:val="24"/>
          <w:szCs w:val="24"/>
        </w:rPr>
      </w:pPr>
    </w:p>
    <w:p w14:paraId="4FE4AFD2" w14:textId="77777777" w:rsidR="00D12DBE" w:rsidRPr="00D12DBE" w:rsidRDefault="00D12DBE" w:rsidP="00D12DBE">
      <w:pPr>
        <w:pStyle w:val="font-claude-response-body"/>
        <w:spacing w:before="0" w:beforeAutospacing="0" w:after="0" w:afterAutospacing="0" w:line="360" w:lineRule="auto"/>
        <w:ind w:firstLine="851"/>
        <w:jc w:val="both"/>
        <w:rPr>
          <w:lang w:val="pt-PT"/>
        </w:rPr>
      </w:pPr>
      <w:r>
        <w:t xml:space="preserve">A carteira igualmente ponderada (1/N) com rebalanceamento mensal produziu retorno acumulado de 267,7% (CAGR 12,8%, Sharpe 0,13), superando o IBOVESPA em 35,6 pontos percentuais no mesmo período. Esse resultado confirma empiricamente no mercado brasileiro os achados de DeMiguel, Garlappi e Uppal (2009): a diversificação ingênua supera o índice ponderado por capitalização </w:t>
      </w:r>
      <w:r>
        <w:rPr>
          <w:rStyle w:val="nfase"/>
        </w:rPr>
        <w:t>out-of-sample</w:t>
      </w:r>
      <w:r>
        <w:t>. Mais relevante para os objetivos desta pesquisa, a Mínima Variância L1 (+460%) supera a 1/N (+268%) em 192 pontos percentuais, evidenciando que o ganho do otimizador é genuíno e não se explica pela seleção do universo de ativos.</w:t>
      </w:r>
    </w:p>
    <w:p w14:paraId="1339DEB0" w14:textId="77777777" w:rsidR="00F538AA" w:rsidRDefault="00F538AA" w:rsidP="00C52D1A">
      <w:pPr>
        <w:spacing w:line="360" w:lineRule="auto"/>
        <w:jc w:val="both"/>
        <w:rPr>
          <w:b/>
          <w:sz w:val="24"/>
          <w:szCs w:val="24"/>
        </w:rPr>
      </w:pPr>
      <w:r>
        <w:rPr>
          <w:b/>
          <w:sz w:val="24"/>
          <w:szCs w:val="24"/>
        </w:rPr>
        <w:br w:type="page"/>
      </w:r>
    </w:p>
    <w:p w14:paraId="2E20CB3F" w14:textId="77777777" w:rsidR="00BC735F" w:rsidRPr="00B8687C" w:rsidRDefault="00B8687C" w:rsidP="00A96A03">
      <w:pPr>
        <w:pStyle w:val="Ttulo1"/>
        <w:numPr>
          <w:ilvl w:val="0"/>
          <w:numId w:val="57"/>
        </w:numPr>
        <w:tabs>
          <w:tab w:val="left" w:pos="480"/>
        </w:tabs>
        <w:spacing w:line="360" w:lineRule="auto"/>
        <w:jc w:val="center"/>
        <w:rPr>
          <w:b w:val="0"/>
          <w:sz w:val="24"/>
          <w:szCs w:val="24"/>
        </w:rPr>
      </w:pPr>
      <w:bookmarkStart w:id="147" w:name="_Toc230857088"/>
      <w:r>
        <w:lastRenderedPageBreak/>
        <w:t>CAPÍTULO 5 — CONCLUSÃO</w:t>
      </w:r>
      <w:bookmarkEnd w:id="147"/>
    </w:p>
    <w:p w14:paraId="3B220A67" w14:textId="77777777" w:rsidR="00B8687C" w:rsidRDefault="00B8687C" w:rsidP="00B8687C"/>
    <w:p w14:paraId="23F5D515" w14:textId="77777777" w:rsidR="00B8687C" w:rsidRPr="00B8687C" w:rsidRDefault="00B8687C" w:rsidP="00B8687C">
      <w:pPr>
        <w:rPr>
          <w:sz w:val="24"/>
          <w:szCs w:val="24"/>
        </w:rPr>
      </w:pPr>
    </w:p>
    <w:p w14:paraId="28FC3AEE" w14:textId="77777777" w:rsidR="00B8687C" w:rsidRPr="00B8687C" w:rsidRDefault="00B8687C" w:rsidP="003F1C11">
      <w:pPr>
        <w:pStyle w:val="Ttulo2"/>
        <w:numPr>
          <w:ilvl w:val="1"/>
          <w:numId w:val="57"/>
        </w:numPr>
        <w:jc w:val="left"/>
        <w:rPr>
          <w:b w:val="0"/>
          <w:sz w:val="22"/>
          <w:szCs w:val="24"/>
        </w:rPr>
      </w:pPr>
      <w:bookmarkStart w:id="148" w:name="_Toc230857089"/>
      <w:r>
        <w:rPr>
          <w:sz w:val="24"/>
        </w:rPr>
        <w:t>Retomada da Questão de Pesquisa</w:t>
      </w:r>
      <w:bookmarkEnd w:id="148"/>
    </w:p>
    <w:p w14:paraId="6F6D8E0E" w14:textId="77777777" w:rsidR="00B8687C" w:rsidRDefault="00B8687C" w:rsidP="00B8687C"/>
    <w:p w14:paraId="58EFA7DF" w14:textId="77777777" w:rsidR="00B8687C" w:rsidRDefault="00B8687C" w:rsidP="00B8687C"/>
    <w:p w14:paraId="7D07E85B" w14:textId="77777777" w:rsidR="00B8687C" w:rsidRDefault="00B8687C" w:rsidP="00B8687C">
      <w:pPr>
        <w:pStyle w:val="font-claude-response-body"/>
        <w:spacing w:before="0" w:beforeAutospacing="0" w:after="0" w:afterAutospacing="0" w:line="360" w:lineRule="auto"/>
        <w:ind w:firstLine="720"/>
        <w:jc w:val="both"/>
      </w:pPr>
      <w:r>
        <w:t xml:space="preserve">Este trabalho partiu da seguinte questão central: </w:t>
      </w:r>
      <w:r>
        <w:rPr>
          <w:rStyle w:val="Forte"/>
        </w:rPr>
        <w:t xml:space="preserve">qual a eficácia comparativa de carteiras construídas sob as óticas da MPT, PMPT e Black-Litterman, quando submetidas a diferentes métodos de estimação de </w:t>
      </w:r>
      <w:r>
        <w:rPr>
          <w:rStyle w:val="nfase"/>
          <w:b/>
          <w:bCs/>
        </w:rPr>
        <w:t>inputs</w:t>
      </w:r>
      <w:r>
        <w:rPr>
          <w:rStyle w:val="Forte"/>
        </w:rPr>
        <w:t xml:space="preserve"> no mercado acionário brasileiro?</w:t>
      </w:r>
    </w:p>
    <w:p w14:paraId="3369DCCD" w14:textId="77777777" w:rsidR="00B8687C" w:rsidRDefault="00B8687C" w:rsidP="00B8687C">
      <w:pPr>
        <w:pStyle w:val="font-claude-response-body"/>
        <w:spacing w:before="0" w:beforeAutospacing="0" w:after="0" w:afterAutospacing="0" w:line="360" w:lineRule="auto"/>
        <w:ind w:firstLine="720"/>
        <w:jc w:val="both"/>
      </w:pPr>
      <w:r>
        <w:t xml:space="preserve">Para respondê-la, foram implementadas e avaliadas três estratégias de complexidade crescente sobre um universo de 135 ações da B3 com série histórica completa entre 2010 e 2025, em protocolo rigoroso de </w:t>
      </w:r>
      <w:r>
        <w:rPr>
          <w:rStyle w:val="nfase"/>
        </w:rPr>
        <w:t>backtesting out-of-sample</w:t>
      </w:r>
      <w:r>
        <w:t xml:space="preserve"> com 132 rebalanceamentos mensais entre janeiro de 2015 e dezembro de 2025.</w:t>
      </w:r>
    </w:p>
    <w:p w14:paraId="7F48741E" w14:textId="77777777" w:rsidR="00B8687C" w:rsidRDefault="00B8687C" w:rsidP="00B8687C"/>
    <w:p w14:paraId="199BA653" w14:textId="77777777" w:rsidR="00B8687C" w:rsidRPr="00B8687C" w:rsidRDefault="00B8687C" w:rsidP="00B8687C">
      <w:pPr>
        <w:rPr>
          <w:sz w:val="24"/>
          <w:szCs w:val="24"/>
        </w:rPr>
      </w:pPr>
    </w:p>
    <w:p w14:paraId="034888B6" w14:textId="77777777" w:rsidR="00B8687C" w:rsidRPr="00B8687C" w:rsidRDefault="00B8687C" w:rsidP="003F1C11">
      <w:pPr>
        <w:pStyle w:val="Ttulo2"/>
        <w:numPr>
          <w:ilvl w:val="1"/>
          <w:numId w:val="57"/>
        </w:numPr>
        <w:jc w:val="left"/>
        <w:rPr>
          <w:b w:val="0"/>
          <w:sz w:val="22"/>
          <w:szCs w:val="24"/>
        </w:rPr>
      </w:pPr>
      <w:bookmarkStart w:id="149" w:name="_Toc230857090"/>
      <w:r>
        <w:rPr>
          <w:sz w:val="24"/>
        </w:rPr>
        <w:t>Síntese dos Resultados</w:t>
      </w:r>
      <w:bookmarkEnd w:id="149"/>
    </w:p>
    <w:p w14:paraId="10B15755" w14:textId="77777777" w:rsidR="00B8687C" w:rsidRDefault="00B8687C" w:rsidP="00B8687C"/>
    <w:p w14:paraId="7E70079B" w14:textId="77777777" w:rsidR="00B8687C" w:rsidRPr="00B8687C" w:rsidRDefault="00B8687C" w:rsidP="00B8687C">
      <w:pPr>
        <w:ind w:firstLine="851"/>
        <w:rPr>
          <w:sz w:val="24"/>
        </w:rPr>
      </w:pPr>
      <w:r>
        <w:rPr>
          <w:sz w:val="24"/>
        </w:rPr>
        <w:t>A Tabela 5.1 sintetiza os achados centrais do estudo.</w:t>
      </w:r>
    </w:p>
    <w:p w14:paraId="2AE0D134" w14:textId="77777777" w:rsidR="00B8687C" w:rsidRDefault="00B8687C" w:rsidP="00B8687C"/>
    <w:p w14:paraId="0DC6702A" w14:textId="259C09E8" w:rsidR="00B8687C" w:rsidRPr="00A96A03" w:rsidRDefault="00B8687C" w:rsidP="00A96A03">
      <w:pPr>
        <w:pStyle w:val="Legenda"/>
        <w:keepNext/>
        <w:jc w:val="center"/>
        <w:rPr>
          <w:rFonts w:ascii="Times New Roman" w:hAnsi="Times New Roman" w:cs="Times New Roman"/>
          <w:i w:val="0"/>
          <w:color w:val="auto"/>
          <w:sz w:val="22"/>
        </w:rPr>
      </w:pPr>
      <w:bookmarkStart w:id="150" w:name="_Toc230853338"/>
      <w:r>
        <w:rPr>
          <w:rFonts w:ascii="Times New Roman" w:hAnsi="Times New Roman" w:cs="Times New Roman"/>
          <w:i w:val="0"/>
          <w:color w:val="auto"/>
          <w:sz w:val="22"/>
        </w:rPr>
        <w:t xml:space="preserve">Tabela </w:t>
        <w:fldChar w:fldCharType="begin"/>
        <w:instrText xml:space="preserve"> SEQ Tabela \* ARABIC </w:instrText>
        <w:fldChar w:fldCharType="separate"/>
      </w:r>
      <w:r>
        <w:rPr>
          <w:rFonts w:ascii="Times New Roman" w:hAnsi="Times New Roman" w:cs="Times New Roman"/>
          <w:i w:val="0"/>
          <w:noProof/>
          <w:color w:val="auto"/>
          <w:sz w:val="22"/>
        </w:rPr>
        <w:t>12</w:t>
      </w:r>
      <w:r>
        <w:rPr>
          <w:rFonts w:ascii="Times New Roman" w:hAnsi="Times New Roman" w:cs="Times New Roman"/>
          <w:i w:val="0"/>
          <w:color w:val="auto"/>
          <w:sz w:val="22"/>
        </w:rPr>
        <w:fldChar w:fldCharType="end"/>
        <w:t>-  Síntese Comparativa do Desempenho (jan/2015 – dez/2025)</w:t>
      </w:r>
      <w:bookmarkEnd w:id="150"/>
    </w:p>
    <w:tbl>
      <w:tblPr>
        <w:tblW w:w="10310" w:type="dxa"/>
        <w:jc w:val="center"/>
        <w:tblCellMar>
          <w:left w:w="70" w:type="dxa"/>
          <w:right w:w="70" w:type="dxa"/>
        </w:tblCellMar>
        <w:tblLook w:val="04A0" w:firstRow="1" w:lastRow="0" w:firstColumn="1" w:lastColumn="0" w:noHBand="0" w:noVBand="1"/>
      </w:tblPr>
      <w:tblGrid>
        <w:gridCol w:w="2385"/>
        <w:gridCol w:w="1980"/>
        <w:gridCol w:w="1215"/>
        <w:gridCol w:w="1498"/>
        <w:gridCol w:w="1417"/>
        <w:gridCol w:w="1815"/>
      </w:tblGrid>
      <w:tr w:rsidR="00D12DBE" w:rsidRPr="00B8687C" w14:paraId="37443932" w14:textId="77777777" w:rsidTr="00911BF1">
        <w:trPr>
          <w:trHeight w:val="543"/>
          <w:jc w:val="center"/>
        </w:trPr>
        <w:tc>
          <w:tcPr>
            <w:tcW w:w="2385"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10C9BE8C"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Estratégia</w:t>
            </w:r>
          </w:p>
        </w:tc>
        <w:tc>
          <w:tcPr>
            <w:tcW w:w="1980" w:type="dxa"/>
            <w:tcBorders>
              <w:top w:val="single" w:sz="8" w:space="0" w:color="auto"/>
              <w:left w:val="nil"/>
              <w:bottom w:val="single" w:sz="4" w:space="0" w:color="auto"/>
              <w:right w:val="single" w:sz="4" w:space="0" w:color="auto"/>
            </w:tcBorders>
            <w:shd w:val="clear" w:color="auto" w:fill="auto"/>
            <w:vAlign w:val="center"/>
            <w:hideMark/>
          </w:tcPr>
          <w:p w14:paraId="269FB8AF"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r>
                <w:rPr>
                  <w:rFonts w:ascii="Calibri" w:hAnsi="Calibri" w:cs="Calibri"/>
                  <w:b/>
                  <w:bCs/>
                  <w:color w:val="000000"/>
                  <w:sz w:val="24"/>
                  <w:szCs w:val="24"/>
                  <w:lang w:val="pt-BR" w:eastAsia="pt-BR"/>
                </w:rPr>
                <w:t>CAGR</w:t>
              </w:r>
            </w:r>
          </w:p>
        </w:tc>
        <w:tc>
          <w:tcPr>
            <w:tcW w:w="1215" w:type="dxa"/>
            <w:tcBorders>
              <w:top w:val="single" w:sz="8" w:space="0" w:color="auto"/>
              <w:left w:val="nil"/>
              <w:bottom w:val="single" w:sz="4" w:space="0" w:color="auto"/>
              <w:right w:val="single" w:sz="4" w:space="0" w:color="auto"/>
            </w:tcBorders>
            <w:shd w:val="clear" w:color="auto" w:fill="auto"/>
            <w:vAlign w:val="center"/>
            <w:hideMark/>
          </w:tcPr>
          <w:p w14:paraId="587CD169"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CAGR</w:t>
            </w:r>
          </w:p>
        </w:tc>
        <w:tc>
          <w:tcPr>
            <w:tcW w:w="1498" w:type="dxa"/>
            <w:tcBorders>
              <w:top w:val="single" w:sz="8" w:space="0" w:color="auto"/>
              <w:left w:val="nil"/>
              <w:bottom w:val="single" w:sz="4" w:space="0" w:color="auto"/>
              <w:right w:val="single" w:sz="4" w:space="0" w:color="auto"/>
            </w:tcBorders>
            <w:shd w:val="clear" w:color="auto" w:fill="auto"/>
            <w:vAlign w:val="center"/>
            <w:hideMark/>
          </w:tcPr>
          <w:p w14:paraId="477AA00E"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t>Sharpe</w:t>
            </w:r>
          </w:p>
        </w:tc>
        <w:tc>
          <w:tcPr>
            <w:tcW w:w="1417" w:type="dxa"/>
            <w:tcBorders>
              <w:top w:val="single" w:sz="8" w:space="0" w:color="auto"/>
              <w:left w:val="nil"/>
              <w:bottom w:val="single" w:sz="4" w:space="0" w:color="auto"/>
              <w:right w:val="single" w:sz="4" w:space="0" w:color="auto"/>
            </w:tcBorders>
            <w:shd w:val="clear" w:color="auto" w:fill="auto"/>
            <w:vAlign w:val="center"/>
            <w:hideMark/>
          </w:tcPr>
          <w:p w14:paraId="465B1D0A"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r>
                <w:rPr>
                  <w:rFonts w:ascii="Calibri" w:hAnsi="Calibri" w:cs="Calibri"/>
                  <w:b/>
                  <w:bCs/>
                  <w:color w:val="000000"/>
                  <w:sz w:val="24"/>
                  <w:szCs w:val="24"/>
                  <w:lang w:val="pt-BR" w:eastAsia="pt-BR"/>
                </w:rPr>
                <w:t>Sortino</w:t>
              </w:r>
            </w:r>
          </w:p>
        </w:tc>
        <w:tc>
          <w:tcPr>
            <w:tcW w:w="1815" w:type="dxa"/>
            <w:tcBorders>
              <w:top w:val="single" w:sz="8" w:space="0" w:color="auto"/>
              <w:left w:val="nil"/>
              <w:bottom w:val="single" w:sz="4" w:space="0" w:color="auto"/>
              <w:right w:val="single" w:sz="8" w:space="0" w:color="auto"/>
            </w:tcBorders>
            <w:shd w:val="clear" w:color="auto" w:fill="auto"/>
            <w:vAlign w:val="center"/>
            <w:hideMark/>
          </w:tcPr>
          <w:p w14:paraId="3075EE50" w14:textId="77777777" w:rsidR="00D12DBE" w:rsidRPr="00C438CF" w:rsidRDefault="00D12DBE" w:rsidP="00D12DBE">
            <w:pPr>
              <w:widowControl/>
              <w:autoSpaceDE/>
              <w:autoSpaceDN/>
              <w:jc w:val="center"/>
              <w:rPr>
                <w:rFonts w:ascii="Calibri" w:hAnsi="Calibri" w:cs="Calibri"/>
                <w:b/>
                <w:bCs/>
                <w:color w:val="000000"/>
                <w:sz w:val="24"/>
                <w:szCs w:val="24"/>
                <w:lang w:val="pt-BR" w:eastAsia="pt-BR"/>
              </w:rPr>
            </w:pPr>
            <w:r>
              <w:rPr>
                <w:rFonts w:ascii="Calibri" w:hAnsi="Calibri" w:cs="Calibri"/>
                <w:b/>
                <w:bCs/>
                <w:color w:val="000000"/>
                <w:sz w:val="24"/>
                <w:szCs w:val="24"/>
                <w:lang w:val="pt-BR" w:eastAsia="pt-BR"/>
              </w:rPr>
              <w:r>
                <w:rPr>
                  <w:rFonts w:ascii="Calibri" w:hAnsi="Calibri" w:cs="Calibri"/>
                  <w:b/>
                  <w:bCs/>
                  <w:color w:val="000000"/>
                  <w:sz w:val="24"/>
                  <w:szCs w:val="24"/>
                  <w:lang w:val="pt-BR" w:eastAsia="pt-BR"/>
                </w:rPr>
                <w:t>MaxDD</w:t>
              </w:r>
            </w:r>
          </w:p>
        </w:tc>
      </w:tr>
      <w:tr w:rsidR="00D12DBE" w:rsidRPr="00B8687C" w14:paraId="4BAB1E94"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4F530D9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Mínima Variância L1</w:t>
            </w:r>
          </w:p>
        </w:tc>
        <w:tc>
          <w:tcPr>
            <w:tcW w:w="1980" w:type="dxa"/>
            <w:tcBorders>
              <w:top w:val="nil"/>
              <w:left w:val="nil"/>
              <w:bottom w:val="single" w:sz="4" w:space="0" w:color="auto"/>
              <w:right w:val="single" w:sz="4" w:space="0" w:color="auto"/>
            </w:tcBorders>
            <w:shd w:val="clear" w:color="auto" w:fill="auto"/>
            <w:vAlign w:val="center"/>
            <w:hideMark/>
          </w:tcPr>
          <w:p w14:paraId="403DB00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11,89%</w:t>
              </w:r>
            </w:r>
          </w:p>
        </w:tc>
        <w:tc>
          <w:tcPr>
            <w:tcW w:w="1215" w:type="dxa"/>
            <w:tcBorders>
              <w:top w:val="nil"/>
              <w:left w:val="nil"/>
              <w:bottom w:val="single" w:sz="4" w:space="0" w:color="auto"/>
              <w:right w:val="single" w:sz="4" w:space="0" w:color="auto"/>
            </w:tcBorders>
            <w:shd w:val="clear" w:color="auto" w:fill="auto"/>
            <w:vAlign w:val="center"/>
            <w:hideMark/>
          </w:tcPr>
          <w:p w14:paraId="1995CEC9"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12,96%</w:t>
              </w:r>
            </w:r>
          </w:p>
        </w:tc>
        <w:tc>
          <w:tcPr>
            <w:tcW w:w="1498" w:type="dxa"/>
            <w:tcBorders>
              <w:top w:val="nil"/>
              <w:left w:val="nil"/>
              <w:bottom w:val="single" w:sz="4" w:space="0" w:color="auto"/>
              <w:right w:val="single" w:sz="4" w:space="0" w:color="auto"/>
            </w:tcBorders>
            <w:shd w:val="clear" w:color="auto" w:fill="auto"/>
            <w:vAlign w:val="center"/>
            <w:hideMark/>
          </w:tcPr>
          <w:p w14:paraId="232AC63E"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0,217</w:t>
              </w:r>
            </w:r>
          </w:p>
        </w:tc>
        <w:tc>
          <w:tcPr>
            <w:tcW w:w="1417" w:type="dxa"/>
            <w:tcBorders>
              <w:top w:val="nil"/>
              <w:left w:val="nil"/>
              <w:bottom w:val="single" w:sz="4" w:space="0" w:color="auto"/>
              <w:right w:val="single" w:sz="4" w:space="0" w:color="auto"/>
            </w:tcBorders>
            <w:shd w:val="clear" w:color="auto" w:fill="auto"/>
            <w:vAlign w:val="center"/>
            <w:hideMark/>
          </w:tcPr>
          <w:p w14:paraId="3B040E78"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0,295</w:t>
              </w:r>
            </w:r>
          </w:p>
        </w:tc>
        <w:tc>
          <w:tcPr>
            <w:tcW w:w="1815" w:type="dxa"/>
            <w:tcBorders>
              <w:top w:val="nil"/>
              <w:left w:val="nil"/>
              <w:bottom w:val="single" w:sz="4" w:space="0" w:color="auto"/>
              <w:right w:val="single" w:sz="8" w:space="0" w:color="auto"/>
            </w:tcBorders>
            <w:shd w:val="clear" w:color="auto" w:fill="auto"/>
            <w:vAlign w:val="center"/>
            <w:hideMark/>
          </w:tcPr>
          <w:p w14:paraId="25ABD22F"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-25,62%</w:t>
              </w:r>
            </w:r>
          </w:p>
        </w:tc>
      </w:tr>
      <w:tr w:rsidR="00D12DBE" w:rsidRPr="00B8687C" w14:paraId="6CBCD2BB" w14:textId="77777777" w:rsidTr="00911BF1">
        <w:trPr>
          <w:trHeight w:val="286"/>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7EC0F4DF" w14:textId="77777777" w:rsidR="00D12DBE" w:rsidRPr="00D12DBE" w:rsidRDefault="00D12DBE" w:rsidP="00D12DBE">
            <w:pPr>
              <w:widowControl/>
              <w:autoSpaceDE/>
              <w:autoSpaceDN/>
              <w:jc w:val="center"/>
              <w:rPr>
                <w:color w:val="000000"/>
                <w:lang w:val="pt-BR" w:eastAsia="pt-BR"/>
              </w:rPr>
            </w:pPr>
            <w:r>
              <w:r>
                <w:rPr>
                  <w:rFonts w:ascii="Calibri" w:hAnsi="Calibri" w:cs="Calibri"/>
                  <w:b/>
                  <w:bCs/>
                  <w:color w:val="000000"/>
                  <w:sz w:val="24"/>
                  <w:szCs w:val="24"/>
                  <w:lang w:val="pt-BR" w:eastAsia="pt-BR"/>
                </w:rPr>
                <w:t>MaxSharpe</w:t>
              </w:r>
            </w:r>
          </w:p>
        </w:tc>
        <w:tc>
          <w:tcPr>
            <w:tcW w:w="1980" w:type="dxa"/>
            <w:tcBorders>
              <w:top w:val="nil"/>
              <w:left w:val="nil"/>
              <w:bottom w:val="single" w:sz="4" w:space="0" w:color="auto"/>
              <w:right w:val="single" w:sz="4" w:space="0" w:color="auto"/>
            </w:tcBorders>
            <w:shd w:val="clear" w:color="auto" w:fill="auto"/>
            <w:vAlign w:val="center"/>
            <w:hideMark/>
          </w:tcPr>
          <w:p w14:paraId="4B7EF86F" w14:textId="77777777" w:rsidR="00D12DBE" w:rsidRPr="00D12DBE" w:rsidRDefault="00D12DBE" w:rsidP="00D12DBE">
            <w:pPr>
              <w:widowControl/>
              <w:autoSpaceDE/>
              <w:autoSpaceDN/>
              <w:jc w:val="center"/>
              <w:rPr>
                <w:color w:val="000000"/>
                <w:lang w:val="pt-BR" w:eastAsia="pt-BR"/>
              </w:rPr>
            </w:pPr>
            <w:r>
              <w:rPr>
                <w:color w:val="000000"/>
                <w:lang w:val="pt-BR" w:eastAsia="pt-BR"/>
              </w:rPr>
              <w:r>
                <w:rPr>
                  <w:color w:val="000000"/>
                  <w:sz w:val="20"/>
                  <w:szCs w:val="20"/>
                  <w:lang w:val="pt-BR" w:eastAsia="pt-BR"/>
                </w:rPr>
                <w:t>13,60%</w:t>
              </w:r>
            </w:r>
          </w:p>
        </w:tc>
        <w:tc>
          <w:tcPr>
            <w:tcW w:w="1215" w:type="dxa"/>
            <w:tcBorders>
              <w:top w:val="nil"/>
              <w:left w:val="nil"/>
              <w:bottom w:val="single" w:sz="4" w:space="0" w:color="auto"/>
              <w:right w:val="single" w:sz="4" w:space="0" w:color="auto"/>
            </w:tcBorders>
            <w:shd w:val="clear" w:color="auto" w:fill="auto"/>
            <w:vAlign w:val="center"/>
            <w:hideMark/>
          </w:tcPr>
          <w:p w14:paraId="610DAA0A" w14:textId="77777777" w:rsidR="00D12DBE" w:rsidRPr="00D12DBE" w:rsidRDefault="00D12DBE" w:rsidP="00D12DBE">
            <w:pPr>
              <w:widowControl/>
              <w:autoSpaceDE/>
              <w:autoSpaceDN/>
              <w:jc w:val="center"/>
              <w:rPr>
                <w:color w:val="000000"/>
                <w:lang w:val="pt-BR" w:eastAsia="pt-BR"/>
              </w:rPr>
            </w:pPr>
            <w:r>
              <w:rPr>
                <w:rStyle w:val="Forte"/>
                <w:b w:val="0"/>
              </w:rPr>
              <w:r>
                <w:rPr>
                  <w:color w:val="000000"/>
                  <w:sz w:val="20"/>
                  <w:szCs w:val="20"/>
                  <w:lang w:val="pt-BR" w:eastAsia="pt-BR"/>
                </w:rPr>
                <w:t>17,53%</w:t>
              </w:r>
            </w:r>
          </w:p>
        </w:tc>
        <w:tc>
          <w:tcPr>
            <w:tcW w:w="1498" w:type="dxa"/>
            <w:tcBorders>
              <w:top w:val="nil"/>
              <w:left w:val="nil"/>
              <w:bottom w:val="single" w:sz="4" w:space="0" w:color="auto"/>
              <w:right w:val="single" w:sz="4" w:space="0" w:color="auto"/>
            </w:tcBorders>
            <w:shd w:val="clear" w:color="auto" w:fill="auto"/>
            <w:vAlign w:val="center"/>
            <w:hideMark/>
          </w:tcPr>
          <w:p w14:paraId="64413B2A" w14:textId="77777777" w:rsidR="00D12DBE" w:rsidRPr="00D12DBE" w:rsidRDefault="00D12DBE" w:rsidP="00D12DBE">
            <w:pPr>
              <w:widowControl/>
              <w:autoSpaceDE/>
              <w:autoSpaceDN/>
              <w:jc w:val="center"/>
              <w:rPr>
                <w:color w:val="000000"/>
                <w:lang w:val="pt-BR" w:eastAsia="pt-BR"/>
              </w:rPr>
            </w:pPr>
            <w:r>
              <w:r>
                <w:rPr>
                  <w:color w:val="000000"/>
                  <w:sz w:val="20"/>
                  <w:szCs w:val="20"/>
                  <w:lang w:val="pt-BR" w:eastAsia="pt-BR"/>
                </w:rPr>
                <w:t>0,287</w:t>
              </w:r>
            </w:r>
          </w:p>
        </w:tc>
        <w:tc>
          <w:tcPr>
            <w:tcW w:w="1417" w:type="dxa"/>
            <w:tcBorders>
              <w:top w:val="nil"/>
              <w:left w:val="nil"/>
              <w:bottom w:val="single" w:sz="4" w:space="0" w:color="auto"/>
              <w:right w:val="single" w:sz="4" w:space="0" w:color="auto"/>
            </w:tcBorders>
            <w:shd w:val="clear" w:color="auto" w:fill="auto"/>
            <w:vAlign w:val="center"/>
            <w:hideMark/>
          </w:tcPr>
          <w:p w14:paraId="3587ABED" w14:textId="77777777" w:rsidR="00D12DBE" w:rsidRPr="00D12DBE" w:rsidRDefault="00D12DBE" w:rsidP="00D12DBE">
            <w:pPr>
              <w:widowControl/>
              <w:autoSpaceDE/>
              <w:autoSpaceDN/>
              <w:jc w:val="center"/>
              <w:rPr>
                <w:color w:val="000000"/>
                <w:lang w:val="pt-BR" w:eastAsia="pt-BR"/>
              </w:rPr>
            </w:pPr>
            <w:r>
              <w:r>
                <w:rPr>
                  <w:color w:val="000000"/>
                  <w:sz w:val="20"/>
                  <w:szCs w:val="20"/>
                  <w:lang w:val="pt-BR" w:eastAsia="pt-BR"/>
                </w:rPr>
                <w:t>0,404</w:t>
              </w:r>
            </w:r>
          </w:p>
        </w:tc>
        <w:tc>
          <w:tcPr>
            <w:tcW w:w="1815" w:type="dxa"/>
            <w:tcBorders>
              <w:top w:val="nil"/>
              <w:left w:val="nil"/>
              <w:bottom w:val="single" w:sz="4" w:space="0" w:color="auto"/>
              <w:right w:val="single" w:sz="8" w:space="0" w:color="auto"/>
            </w:tcBorders>
            <w:shd w:val="clear" w:color="auto" w:fill="auto"/>
            <w:vAlign w:val="center"/>
            <w:hideMark/>
          </w:tcPr>
          <w:p w14:paraId="30DB6BA1" w14:textId="77777777" w:rsidR="00D12DBE" w:rsidRPr="00D12DBE" w:rsidRDefault="00D12DBE" w:rsidP="00D12DBE">
            <w:pPr>
              <w:widowControl/>
              <w:autoSpaceDE/>
              <w:autoSpaceDN/>
              <w:jc w:val="center"/>
              <w:rPr>
                <w:color w:val="000000"/>
                <w:lang w:val="pt-BR" w:eastAsia="pt-BR"/>
              </w:rPr>
            </w:pPr>
            <w:r>
              <w:rPr>
                <w:rStyle w:val="Forte"/>
                <w:b w:val="0"/>
              </w:rPr>
              <w:r>
                <w:rPr>
                  <w:color w:val="000000"/>
                  <w:sz w:val="20"/>
                  <w:szCs w:val="20"/>
                  <w:lang w:val="pt-BR" w:eastAsia="pt-BR"/>
                </w:rPr>
                <w:t>-22,76%</w:t>
              </w:r>
            </w:r>
          </w:p>
        </w:tc>
      </w:tr>
      <w:tr w:rsidR="00D12DBE" w:rsidRPr="00B8687C" w14:paraId="5C2E6BC4"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22ED4892"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Máximo Sharpe L1</w:t>
            </w:r>
          </w:p>
        </w:tc>
        <w:tc>
          <w:tcPr>
            <w:tcW w:w="1980" w:type="dxa"/>
            <w:tcBorders>
              <w:top w:val="nil"/>
              <w:left w:val="nil"/>
              <w:bottom w:val="single" w:sz="4" w:space="0" w:color="auto"/>
              <w:right w:val="single" w:sz="4" w:space="0" w:color="auto"/>
            </w:tcBorders>
            <w:shd w:val="clear" w:color="auto" w:fill="auto"/>
            <w:vAlign w:val="center"/>
            <w:hideMark/>
          </w:tcPr>
          <w:p w14:paraId="0405CD9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21,12%</w:t>
              </w:r>
            </w:r>
          </w:p>
        </w:tc>
        <w:tc>
          <w:tcPr>
            <w:tcW w:w="1215" w:type="dxa"/>
            <w:tcBorders>
              <w:top w:val="nil"/>
              <w:left w:val="nil"/>
              <w:bottom w:val="single" w:sz="4" w:space="0" w:color="auto"/>
              <w:right w:val="single" w:sz="4" w:space="0" w:color="auto"/>
            </w:tcBorders>
            <w:shd w:val="clear" w:color="auto" w:fill="auto"/>
            <w:vAlign w:val="center"/>
            <w:hideMark/>
          </w:tcPr>
          <w:p w14:paraId="6DAD482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25,99%</w:t>
              </w:r>
            </w:r>
          </w:p>
        </w:tc>
        <w:tc>
          <w:tcPr>
            <w:tcW w:w="1498" w:type="dxa"/>
            <w:tcBorders>
              <w:top w:val="nil"/>
              <w:left w:val="nil"/>
              <w:bottom w:val="single" w:sz="4" w:space="0" w:color="auto"/>
              <w:right w:val="single" w:sz="4" w:space="0" w:color="auto"/>
            </w:tcBorders>
            <w:shd w:val="clear" w:color="auto" w:fill="auto"/>
            <w:vAlign w:val="center"/>
            <w:hideMark/>
          </w:tcPr>
          <w:p w14:paraId="2BB55396"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0,511</w:t>
              </w:r>
            </w:r>
          </w:p>
        </w:tc>
        <w:tc>
          <w:tcPr>
            <w:tcW w:w="1417" w:type="dxa"/>
            <w:tcBorders>
              <w:top w:val="nil"/>
              <w:left w:val="nil"/>
              <w:bottom w:val="single" w:sz="4" w:space="0" w:color="auto"/>
              <w:right w:val="single" w:sz="4" w:space="0" w:color="auto"/>
            </w:tcBorders>
            <w:shd w:val="clear" w:color="auto" w:fill="auto"/>
            <w:vAlign w:val="center"/>
            <w:hideMark/>
          </w:tcPr>
          <w:p w14:paraId="6654787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0,740</w:t>
              </w:r>
            </w:r>
          </w:p>
        </w:tc>
        <w:tc>
          <w:tcPr>
            <w:tcW w:w="1815" w:type="dxa"/>
            <w:tcBorders>
              <w:top w:val="nil"/>
              <w:left w:val="nil"/>
              <w:bottom w:val="single" w:sz="4" w:space="0" w:color="auto"/>
              <w:right w:val="single" w:sz="8" w:space="0" w:color="auto"/>
            </w:tcBorders>
            <w:shd w:val="clear" w:color="auto" w:fill="auto"/>
            <w:vAlign w:val="center"/>
            <w:hideMark/>
          </w:tcPr>
          <w:p w14:paraId="519F0277"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-43,78%</w:t>
              </w:r>
            </w:r>
          </w:p>
        </w:tc>
      </w:tr>
      <w:tr w:rsidR="00D12DBE" w:rsidRPr="00B8687C" w14:paraId="3C00827C" w14:textId="77777777" w:rsidTr="00911BF1">
        <w:trPr>
          <w:trHeight w:val="572"/>
          <w:jc w:val="center"/>
        </w:trPr>
        <w:tc>
          <w:tcPr>
            <w:tcW w:w="2385" w:type="dxa"/>
            <w:tcBorders>
              <w:top w:val="nil"/>
              <w:left w:val="single" w:sz="8" w:space="0" w:color="auto"/>
              <w:bottom w:val="single" w:sz="4" w:space="0" w:color="auto"/>
              <w:right w:val="single" w:sz="4" w:space="0" w:color="auto"/>
            </w:tcBorders>
            <w:shd w:val="clear" w:color="auto" w:fill="auto"/>
            <w:vAlign w:val="center"/>
            <w:hideMark/>
          </w:tcPr>
          <w:p w14:paraId="7BE9248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rFonts w:ascii="Calibri" w:hAnsi="Calibri" w:cs="Calibri"/>
                  <w:b/>
                  <w:bCs/>
                  <w:color w:val="000000"/>
                  <w:sz w:val="24"/>
                  <w:szCs w:val="24"/>
                  <w:lang w:val="pt-BR" w:eastAsia="pt-BR"/>
                </w:rPr>
                <w:t>IBOVESPA</w:t>
              </w:r>
            </w:r>
          </w:p>
        </w:tc>
        <w:tc>
          <w:tcPr>
            <w:tcW w:w="1980" w:type="dxa"/>
            <w:tcBorders>
              <w:top w:val="nil"/>
              <w:left w:val="nil"/>
              <w:bottom w:val="single" w:sz="4" w:space="0" w:color="auto"/>
              <w:right w:val="single" w:sz="4" w:space="0" w:color="auto"/>
            </w:tcBorders>
            <w:shd w:val="clear" w:color="auto" w:fill="auto"/>
            <w:vAlign w:val="center"/>
            <w:hideMark/>
          </w:tcPr>
          <w:p w14:paraId="3A2C3A12"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11,26%</w:t>
              </w:r>
            </w:r>
          </w:p>
        </w:tc>
        <w:tc>
          <w:tcPr>
            <w:tcW w:w="1215" w:type="dxa"/>
            <w:tcBorders>
              <w:top w:val="nil"/>
              <w:left w:val="nil"/>
              <w:bottom w:val="single" w:sz="4" w:space="0" w:color="auto"/>
              <w:right w:val="single" w:sz="4" w:space="0" w:color="auto"/>
            </w:tcBorders>
            <w:shd w:val="clear" w:color="auto" w:fill="auto"/>
            <w:vAlign w:val="center"/>
            <w:hideMark/>
          </w:tcPr>
          <w:p w14:paraId="4DBCA053"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23,32%</w:t>
              </w:r>
            </w:r>
          </w:p>
        </w:tc>
        <w:tc>
          <w:tcPr>
            <w:tcW w:w="1498" w:type="dxa"/>
            <w:tcBorders>
              <w:top w:val="nil"/>
              <w:left w:val="nil"/>
              <w:bottom w:val="single" w:sz="4" w:space="0" w:color="auto"/>
              <w:right w:val="single" w:sz="4" w:space="0" w:color="auto"/>
            </w:tcBorders>
            <w:shd w:val="clear" w:color="auto" w:fill="auto"/>
            <w:vAlign w:val="center"/>
            <w:hideMark/>
          </w:tcPr>
          <w:p w14:paraId="585F7D8C"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0,178</w:t>
              </w:r>
            </w:r>
          </w:p>
        </w:tc>
        <w:tc>
          <w:tcPr>
            <w:tcW w:w="1417" w:type="dxa"/>
            <w:tcBorders>
              <w:top w:val="nil"/>
              <w:left w:val="nil"/>
              <w:bottom w:val="single" w:sz="4" w:space="0" w:color="auto"/>
              <w:right w:val="single" w:sz="4" w:space="0" w:color="auto"/>
            </w:tcBorders>
            <w:shd w:val="clear" w:color="auto" w:fill="auto"/>
            <w:vAlign w:val="center"/>
            <w:hideMark/>
          </w:tcPr>
          <w:p w14:paraId="6260453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0,245</w:t>
              </w:r>
            </w:r>
          </w:p>
        </w:tc>
        <w:tc>
          <w:tcPr>
            <w:tcW w:w="1815" w:type="dxa"/>
            <w:tcBorders>
              <w:top w:val="nil"/>
              <w:left w:val="nil"/>
              <w:bottom w:val="single" w:sz="4" w:space="0" w:color="auto"/>
              <w:right w:val="single" w:sz="8" w:space="0" w:color="auto"/>
            </w:tcBorders>
            <w:shd w:val="clear" w:color="auto" w:fill="auto"/>
            <w:vAlign w:val="center"/>
            <w:hideMark/>
          </w:tcPr>
          <w:p w14:paraId="224B40C5"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-46,82%</w:t>
              </w:r>
            </w:r>
          </w:p>
        </w:tc>
      </w:tr>
      <w:tr w:rsidR="00D12DBE" w:rsidRPr="00B8687C" w14:paraId="2C2C73FD" w14:textId="77777777" w:rsidTr="00911BF1">
        <w:trPr>
          <w:trHeight w:val="586"/>
          <w:jc w:val="center"/>
        </w:trPr>
        <w:tc>
          <w:tcPr>
            <w:tcW w:w="2385" w:type="dxa"/>
            <w:tcBorders>
              <w:top w:val="nil"/>
              <w:left w:val="single" w:sz="8" w:space="0" w:color="auto"/>
              <w:bottom w:val="single" w:sz="8" w:space="0" w:color="auto"/>
              <w:right w:val="single" w:sz="4" w:space="0" w:color="auto"/>
            </w:tcBorders>
            <w:shd w:val="clear" w:color="auto" w:fill="auto"/>
            <w:vAlign w:val="center"/>
            <w:hideMark/>
          </w:tcPr>
          <w:p w14:paraId="7A9A9C5F"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rFonts w:ascii="Calibri" w:hAnsi="Calibri" w:cs="Calibri"/>
                  <w:b/>
                  <w:bCs/>
                  <w:color w:val="000000"/>
                  <w:sz w:val="24"/>
                  <w:szCs w:val="24"/>
                  <w:lang w:val="pt-BR" w:eastAsia="pt-BR"/>
                </w:rPr>
                <w:t>CDI (referência)</w:t>
              </w:r>
            </w:r>
          </w:p>
        </w:tc>
        <w:tc>
          <w:tcPr>
            <w:tcW w:w="1980" w:type="dxa"/>
            <w:tcBorders>
              <w:top w:val="nil"/>
              <w:left w:val="nil"/>
              <w:bottom w:val="single" w:sz="8" w:space="0" w:color="auto"/>
              <w:right w:val="single" w:sz="4" w:space="0" w:color="auto"/>
            </w:tcBorders>
            <w:shd w:val="clear" w:color="auto" w:fill="auto"/>
            <w:vAlign w:val="center"/>
            <w:hideMark/>
          </w:tcPr>
          <w:p w14:paraId="186DD3BD"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~10,5% a.a.</w:t>
              </w:r>
            </w:r>
          </w:p>
        </w:tc>
        <w:tc>
          <w:tcPr>
            <w:tcW w:w="1215" w:type="dxa"/>
            <w:tcBorders>
              <w:top w:val="nil"/>
              <w:left w:val="nil"/>
              <w:bottom w:val="single" w:sz="8" w:space="0" w:color="auto"/>
              <w:right w:val="single" w:sz="4" w:space="0" w:color="auto"/>
            </w:tcBorders>
            <w:shd w:val="clear" w:color="auto" w:fill="auto"/>
            <w:vAlign w:val="center"/>
            <w:hideMark/>
          </w:tcPr>
          <w:p w14:paraId="4860AA70"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w:t>
              </w:r>
            </w:r>
          </w:p>
        </w:tc>
        <w:tc>
          <w:tcPr>
            <w:tcW w:w="1498" w:type="dxa"/>
            <w:tcBorders>
              <w:top w:val="nil"/>
              <w:left w:val="nil"/>
              <w:bottom w:val="single" w:sz="8" w:space="0" w:color="auto"/>
              <w:right w:val="single" w:sz="4" w:space="0" w:color="auto"/>
            </w:tcBorders>
            <w:shd w:val="clear" w:color="auto" w:fill="auto"/>
            <w:vAlign w:val="center"/>
            <w:hideMark/>
          </w:tcPr>
          <w:p w14:paraId="3F776E0B"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w:t>
              </w:r>
            </w:r>
          </w:p>
        </w:tc>
        <w:tc>
          <w:tcPr>
            <w:tcW w:w="1417" w:type="dxa"/>
            <w:tcBorders>
              <w:top w:val="nil"/>
              <w:left w:val="nil"/>
              <w:bottom w:val="single" w:sz="8" w:space="0" w:color="auto"/>
              <w:right w:val="single" w:sz="4" w:space="0" w:color="auto"/>
            </w:tcBorders>
            <w:shd w:val="clear" w:color="auto" w:fill="auto"/>
            <w:vAlign w:val="center"/>
            <w:hideMark/>
          </w:tcPr>
          <w:p w14:paraId="63C5704A"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r>
                <w:rPr>
                  <w:color w:val="000000"/>
                  <w:sz w:val="20"/>
                  <w:szCs w:val="20"/>
                  <w:lang w:val="pt-BR" w:eastAsia="pt-BR"/>
                </w:rPr>
                <w:t>—</w:t>
              </w:r>
            </w:r>
          </w:p>
        </w:tc>
        <w:tc>
          <w:tcPr>
            <w:tcW w:w="1815" w:type="dxa"/>
            <w:tcBorders>
              <w:top w:val="nil"/>
              <w:left w:val="nil"/>
              <w:bottom w:val="single" w:sz="8" w:space="0" w:color="auto"/>
              <w:right w:val="single" w:sz="8" w:space="0" w:color="auto"/>
            </w:tcBorders>
            <w:shd w:val="clear" w:color="auto" w:fill="auto"/>
            <w:vAlign w:val="center"/>
            <w:hideMark/>
          </w:tcPr>
          <w:p w14:paraId="2871ADFC" w14:textId="77777777" w:rsidR="00D12DBE" w:rsidRPr="00C438CF" w:rsidRDefault="00D12DBE" w:rsidP="00D12DBE">
            <w:pPr>
              <w:widowControl/>
              <w:autoSpaceDE/>
              <w:autoSpaceDN/>
              <w:jc w:val="center"/>
              <w:rPr>
                <w:rFonts w:ascii="Calibri" w:hAnsi="Calibri" w:cs="Calibri"/>
                <w:color w:val="000000"/>
                <w:sz w:val="24"/>
                <w:szCs w:val="24"/>
                <w:lang w:val="pt-BR" w:eastAsia="pt-BR"/>
              </w:rPr>
            </w:pPr>
            <w:r>
              <w:rPr>
                <w:rFonts w:ascii="Calibri" w:hAnsi="Calibri" w:cs="Calibri"/>
                <w:color w:val="000000"/>
                <w:sz w:val="24"/>
                <w:szCs w:val="24"/>
                <w:lang w:val="pt-BR" w:eastAsia="pt-BR"/>
              </w:rPr>
              <w:t>-</w:t>
            </w:r>
          </w:p>
        </w:tc>
      </w:tr>
    </w:tbl>
    <w:p w14:paraId="406A89C7" w14:textId="77777777" w:rsidR="00B8687C" w:rsidRDefault="00B8687C" w:rsidP="00A96A03">
      <w:pPr>
        <w:jc w:val="center"/>
      </w:pPr>
      <w:r>
        <w:t>Fonte: elaboração própria.</w:t>
      </w:r>
    </w:p>
    <w:p w14:paraId="52345B1A" w14:textId="77777777" w:rsidR="00B8687C" w:rsidRDefault="00B8687C" w:rsidP="00B8687C"/>
    <w:p w14:paraId="3D97DD0C" w14:textId="77777777" w:rsidR="00B8687C" w:rsidRDefault="00B8687C" w:rsidP="00B8687C">
      <w:pPr>
        <w:pStyle w:val="font-claude-response-body"/>
        <w:spacing w:before="0" w:beforeAutospacing="0" w:after="0" w:afterAutospacing="0" w:line="360" w:lineRule="auto"/>
        <w:ind w:firstLine="851"/>
        <w:jc w:val="both"/>
      </w:pPr>
      <w:r>
        <w:t xml:space="preserve">O resultado mais importante do estudo é </w:t>
      </w:r>
      <w:r>
        <w:rPr>
          <w:rStyle w:val="Forte"/>
        </w:rPr>
        <w:t>a inversão completa entre complexidade do modelo e desempenho</w:t>
      </w:r>
      <w:r>
        <w:t xml:space="preserve">: a estratégia mais simples — a carteira de Mínima Variância Global com penalidade L1 — produziu o maior retorno absoluto do período, superando o IBOVESPA em 245 pontos percentuais e o CDI em 294 pontos percentuais, com turnover médio de apenas 0,32% ao mês. A estratégia de complexidade intermediária — Máximo Índice de Sharpe com penalidade L1 — gerou ganho marginal sobre o </w:t>
      </w:r>
      <w:r>
        <w:rPr>
          <w:rStyle w:val="nfase"/>
        </w:rPr>
        <w:t>benchmark</w:t>
      </w:r>
      <w:r>
        <w:rPr>
          <w:color w:val="000000"/>
          <w:sz w:val="24"/>
          <w:szCs w:val="24"/>
          <w:lang w:val="pt-BR" w:eastAsia="pt-BR"/>
        </w:rPr>
        <w:t xml:space="preserve"> de mercado. E a estratégia mais sofisticada — Black-Litterman </w:t>
      </w:r>
    </w:p>
    <w:p w14:paraId="0607DEB8" w14:textId="77777777" w:rsidR="00B8687C" w:rsidRDefault="00B8687C" w:rsidP="00B8687C">
      <w:pPr>
        <w:pStyle w:val="font-claude-response-body"/>
        <w:spacing w:before="0" w:beforeAutospacing="0" w:after="0" w:afterAutospacing="0" w:line="360" w:lineRule="auto"/>
        <w:ind w:firstLine="851"/>
        <w:jc w:val="both"/>
      </w:pPr>
      <w:r>
        <w:t xml:space="preserve">Diante desses resultados, a resposta à questão de pesquisa é direta: </w:t>
      </w:r>
      <w:r>
        <w:rPr>
          <w:rStyle w:val="Forte"/>
        </w:rPr>
        <w:t xml:space="preserve">no mercado brasileiro entre 2015 e 2025, a adição de complexidade na estimação de </w:t>
      </w:r>
      <w:r>
        <w:rPr>
          <w:rStyle w:val="nfase"/>
          <w:b/>
          <w:bCs/>
        </w:rPr>
        <w:t>inputs</w:t>
      </w:r>
      <w:r>
        <w:rPr>
          <w:rStyle w:val="Forte"/>
        </w:rPr>
        <w:t xml:space="preserve"> não produziu ganho de desempenho </w:t>
      </w:r>
      <w:r>
        <w:rPr>
          <w:rStyle w:val="nfase"/>
          <w:b/>
          <w:bCs/>
        </w:rPr>
        <w:t>out-of-sample</w:t>
      </w:r>
      <w:r>
        <w:rPr>
          <w:rStyle w:val="Forte"/>
        </w:rPr>
        <w:t>, mas sim destruição de valor</w:t>
      </w:r>
      <w:r>
        <w:t>. A estratégia que obteve o melhor resultado é precisamente aquela que elimina completamente o componente de retorno esperado da função objetivo, dependendo exclusivamente da estimação da matriz de covariância.</w:t>
      </w:r>
    </w:p>
    <w:p w14:paraId="76F7E5A6" w14:textId="77777777" w:rsidR="00B8687C" w:rsidRDefault="00B8687C" w:rsidP="00B8687C"/>
    <w:p w14:paraId="1F3202F9" w14:textId="77777777" w:rsidR="00B8687C" w:rsidRDefault="00B8687C" w:rsidP="00B8687C"/>
    <w:p w14:paraId="5CA8D310" w14:textId="77777777" w:rsidR="00B8687C" w:rsidRPr="00B8687C" w:rsidRDefault="00B8687C" w:rsidP="00B8687C">
      <w:pPr>
        <w:rPr>
          <w:sz w:val="24"/>
          <w:szCs w:val="24"/>
        </w:rPr>
      </w:pPr>
    </w:p>
    <w:p w14:paraId="53B5E706" w14:textId="77777777" w:rsidR="00B8687C" w:rsidRPr="00B8687C" w:rsidRDefault="00B8687C" w:rsidP="003F1C11">
      <w:pPr>
        <w:pStyle w:val="Ttulo2"/>
        <w:numPr>
          <w:ilvl w:val="1"/>
          <w:numId w:val="57"/>
        </w:numPr>
        <w:jc w:val="left"/>
        <w:rPr>
          <w:b w:val="0"/>
          <w:sz w:val="20"/>
          <w:szCs w:val="24"/>
        </w:rPr>
      </w:pPr>
      <w:bookmarkStart w:id="151" w:name="_Toc230857091"/>
      <w:r>
        <w:rPr>
          <w:sz w:val="24"/>
        </w:rPr>
        <w:t>Contribuições do Estudo</w:t>
      </w:r>
      <w:bookmarkEnd w:id="151"/>
    </w:p>
    <w:p w14:paraId="046CC5B2" w14:textId="77777777" w:rsidR="00B8687C" w:rsidRDefault="00B8687C" w:rsidP="00B8687C"/>
    <w:p w14:paraId="5BE90272" w14:textId="77777777" w:rsidR="00B8687C" w:rsidRPr="00B8687C" w:rsidRDefault="00B8687C" w:rsidP="00B8687C">
      <w:pPr>
        <w:rPr>
          <w:sz w:val="24"/>
          <w:szCs w:val="24"/>
        </w:rPr>
      </w:pPr>
    </w:p>
    <w:p w14:paraId="150FC5E1" w14:textId="77777777" w:rsidR="00B8687C" w:rsidRPr="00B8687C" w:rsidRDefault="00B8687C" w:rsidP="003F1C11">
      <w:pPr>
        <w:pStyle w:val="Ttulo3"/>
        <w:numPr>
          <w:ilvl w:val="2"/>
          <w:numId w:val="57"/>
        </w:numPr>
        <w:rPr>
          <w:b w:val="0"/>
          <w:sz w:val="20"/>
        </w:rPr>
      </w:pPr>
      <w:bookmarkStart w:id="152" w:name="_Toc230857092"/>
      <w:r>
        <w:t>Confirmação Empírica no Mercado Brasileiro</w:t>
      </w:r>
      <w:bookmarkEnd w:id="152"/>
    </w:p>
    <w:p w14:paraId="192702E3" w14:textId="77777777" w:rsidR="00B8687C" w:rsidRDefault="00B8687C" w:rsidP="00B8687C"/>
    <w:p w14:paraId="08A67025" w14:textId="77777777" w:rsidR="00B8687C" w:rsidRDefault="00B8687C" w:rsidP="00B8687C">
      <w:pPr>
        <w:spacing w:line="360" w:lineRule="auto"/>
        <w:ind w:firstLine="851"/>
        <w:jc w:val="both"/>
        <w:rPr>
          <w:sz w:val="24"/>
          <w:szCs w:val="24"/>
        </w:rPr>
      </w:pPr>
      <w:r>
        <w:t xml:space="preserve">O principal achado deste trabalho confirma, no contexto do mercado acionário brasileiro, a tese central de DeMiguel, Garlappi e Uppal (2009) para o mercado americano: estratégias baseadas em modelos sofisticados de estimação de retornos esperados não superam consistentemente estratégias mais simples </w:t>
      </w:r>
      <w:r>
        <w:rPr>
          <w:rStyle w:val="nfase"/>
        </w:rPr>
        <w:t>out-of-sample</w:t>
      </w:r>
      <w:r>
        <w:t>, porque o erro de estimação introduzido pelo modelo supera o ganho de informação gerado. A contribuição deste estudo é demonstrar que esse fenômeno — documentado para mercados maduros e eficientes — manifesta-se de forma ainda mais pronunciada no mercado brasileiro, em que a volatilidade elevada, a baixa relação sinal-ruído das séries de retornos e a presença de múltiplos regimes macroeconômicos amplificam os erros de estimação de qualquer modelo preditivo.</w:t>
      </w:r>
    </w:p>
    <w:p w14:paraId="7428FF53" w14:textId="77777777" w:rsidR="00B8687C" w:rsidRPr="00B8687C" w:rsidRDefault="00B8687C" w:rsidP="00B8687C">
      <w:pPr>
        <w:rPr>
          <w:sz w:val="24"/>
          <w:szCs w:val="24"/>
        </w:rPr>
      </w:pPr>
    </w:p>
    <w:p w14:paraId="63D802B8" w14:textId="77777777" w:rsidR="00B8687C" w:rsidRPr="00B8687C" w:rsidRDefault="00B8687C" w:rsidP="003F1C11">
      <w:pPr>
        <w:pStyle w:val="Ttulo3"/>
        <w:numPr>
          <w:ilvl w:val="2"/>
          <w:numId w:val="57"/>
        </w:numPr>
        <w:rPr>
          <w:b w:val="0"/>
          <w:sz w:val="20"/>
        </w:rPr>
      </w:pPr>
      <w:bookmarkStart w:id="153" w:name="_Toc230857093"/>
      <w:r>
        <w:t>Implicação Prática para Gestão de Portfólios</w:t>
      </w:r>
      <w:bookmarkEnd w:id="153"/>
    </w:p>
    <w:p w14:paraId="70ED3883" w14:textId="77777777" w:rsidR="00B8687C" w:rsidRDefault="00B8687C" w:rsidP="00B8687C">
      <w:pPr>
        <w:rPr>
          <w:sz w:val="20"/>
        </w:rPr>
      </w:pPr>
    </w:p>
    <w:p w14:paraId="579DFA77" w14:textId="77777777" w:rsidR="00B8687C" w:rsidRDefault="00B8687C" w:rsidP="00B8687C">
      <w:pPr>
        <w:pStyle w:val="font-claude-response-body"/>
        <w:spacing w:before="0" w:beforeAutospacing="0" w:after="0" w:afterAutospacing="0" w:line="360" w:lineRule="auto"/>
        <w:ind w:firstLine="851"/>
        <w:jc w:val="both"/>
      </w:pPr>
      <w:r>
        <w:t>A superioridade da Mínima Variância com penalidade L1 tem implicação prática imediata para investidores institucionais no Brasil: a adoção de uma estratégia quantitativa simples, baseada exclusivamente na minimização da variância do portfólio com custo transacional explicitamente penalizado, teria gerado retorno acumulado superior ao IBOVESPA e ao CDI no período analisado, com baixíssimo giro da carteira (0,32% ao mês) e, consequentemente, custos operacionais negligenciáveis.</w:t>
      </w:r>
    </w:p>
    <w:p w14:paraId="629E9141" w14:textId="77777777" w:rsidR="00B8687C" w:rsidRDefault="00B8687C" w:rsidP="00B8687C">
      <w:pPr>
        <w:pStyle w:val="font-claude-response-body"/>
        <w:spacing w:before="0" w:beforeAutospacing="0" w:after="0" w:afterAutospacing="0" w:line="360" w:lineRule="auto"/>
        <w:ind w:firstLine="851"/>
        <w:jc w:val="both"/>
      </w:pPr>
      <w:r>
        <w:t xml:space="preserve">Esse resultado é relevante porque o IBOVESPA é o </w:t>
      </w:r>
      <w:r>
        <w:rPr>
          <w:rStyle w:val="nfase"/>
        </w:rPr>
        <w:t>benchmark</w:t>
      </w:r>
      <w:r>
        <w:t xml:space="preserve"> utilizado pela maioria dos fundos de ações brasileiros para avaliação de desempenho. Uma estratégia puramente quantitativa, sem qualquer análise fundamentalista ou visão macroeconômica discricionária, teria superado consistentemente esse </w:t>
      </w:r>
      <w:r>
        <w:rPr>
          <w:rStyle w:val="nfase"/>
        </w:rPr>
        <w:t>benchmark</w:t>
      </w:r>
      <w:r>
        <w:t xml:space="preserve"> durante uma janela de 11 </w:t>
        <w:lastRenderedPageBreak/>
        <w:t>anos que inclui crise política, recessão, pandemia e ciclos extremos de juros — demonstrando que a diversificação eficiente baseada na estrutura de covariância captura oportunidades de risco-retorno que o índice ponderado por capitalização não aproveita.</w:t>
      </w:r>
    </w:p>
    <w:p w14:paraId="78374546" w14:textId="77777777" w:rsidR="00B8687C" w:rsidRDefault="00B8687C" w:rsidP="00B8687C">
      <w:pPr>
        <w:rPr>
          <w:sz w:val="20"/>
        </w:rPr>
      </w:pPr>
    </w:p>
    <w:p w14:paraId="7B698663" w14:textId="77777777" w:rsidR="00B8687C" w:rsidRDefault="00B8687C" w:rsidP="00B8687C">
      <w:pPr>
        <w:rPr>
          <w:sz w:val="20"/>
        </w:rPr>
      </w:pPr>
    </w:p>
    <w:p w14:paraId="1A557CD4" w14:textId="77777777" w:rsidR="00B8687C" w:rsidRPr="00B8687C" w:rsidRDefault="00B8687C" w:rsidP="00B8687C">
      <w:pPr>
        <w:rPr>
          <w:sz w:val="20"/>
        </w:rPr>
      </w:pPr>
    </w:p>
    <w:p w14:paraId="5CA2840A" w14:textId="77777777" w:rsidR="00B8687C" w:rsidRPr="00B8687C" w:rsidRDefault="00B8687C" w:rsidP="003F1C11">
      <w:pPr>
        <w:pStyle w:val="Ttulo3"/>
        <w:numPr>
          <w:ilvl w:val="2"/>
          <w:numId w:val="57"/>
        </w:numPr>
        <w:rPr>
          <w:b w:val="0"/>
          <w:sz w:val="20"/>
        </w:rPr>
      </w:pPr>
      <w:bookmarkStart w:id="154" w:name="_Toc230857094"/>
      <w:r>
        <w:t>Evidência sobre os Limites do Aprendizado de Máquina em Finanças</w:t>
      </w:r>
      <w:bookmarkEnd w:id="154"/>
    </w:p>
    <w:p w14:paraId="61B06838" w14:textId="77777777" w:rsidR="00B8687C" w:rsidRDefault="00B8687C" w:rsidP="00B8687C"/>
    <w:p w14:paraId="479B1E76" w14:textId="77777777" w:rsidR="00B8687C" w:rsidRDefault="00B8687C" w:rsidP="00B8687C">
      <w:pPr>
        <w:pStyle w:val="font-claude-response-body"/>
        <w:spacing w:before="0" w:beforeAutospacing="0" w:after="0" w:afterAutospacing="0" w:line="360" w:lineRule="auto"/>
        <w:ind w:firstLine="851"/>
        <w:jc w:val="both"/>
      </w:pPr>
      <w:r>
        <w:rPr>
          <w:color w:val="000000"/>
          <w:sz w:val="24"/>
          <w:szCs w:val="24"/>
          <w:lang w:val="pt-BR" w:eastAsia="pt-BR"/>
        </w:rPr>
        <w:t xml:space="preserve">O desempenho adverso do Black-Litterman integrado a visões de momentum contribui para o debate em aberto sobre a aplicabilidade de modelos de aprendizado profundo à previsão de retornos acionários. Os resultados deste estudo são consistentes com Welch e Goyal (2008), que demonstraram que praticamente nenhum preditor econométrico melhora a previsão </w:t>
      </w:r>
      <w:r>
        <w:rPr>
          <w:rStyle w:val="nfase"/>
        </w:rPr>
        <w:t>out-of-sample</w:t>
      </w:r>
      <w:r>
        <w:t xml:space="preserve"> de retornos em relação à média histórica simples — conclusão que se estende aos modelos de aprendizado de máquina quando aplicados diretamente às séries de preços ou retornos.</w:t>
      </w:r>
    </w:p>
    <w:p w14:paraId="24EC60D9" w14:textId="77777777" w:rsidR="00B8687C" w:rsidRDefault="00B8687C" w:rsidP="00B8687C">
      <w:pPr>
        <w:pStyle w:val="font-claude-response-body"/>
        <w:spacing w:before="0" w:beforeAutospacing="0" w:after="0" w:afterAutospacing="0" w:line="360" w:lineRule="auto"/>
        <w:ind w:firstLine="851"/>
        <w:jc w:val="both"/>
      </w:pPr>
      <w:r>
        <w:t xml:space="preserve">A constatação não implica que redes neurais sejam inúteis em finanças; implica que o problema de prever a </w:t>
      </w:r>
      <w:r>
        <w:rPr>
          <w:rStyle w:val="Forte"/>
        </w:rPr>
        <w:t>direção</w:t>
      </w:r>
      <w:r>
        <w:r>
          <w:rPr>
            <w:color w:val="000000"/>
            <w:sz w:val="24"/>
            <w:szCs w:val="24"/>
            <w:lang w:val="pt-BR" w:eastAsia="pt-BR"/>
          </w:rPr>
          <w:t xml:space="preserve"> dos retornos acionários de curto prazo permanece fundamentalmente difícil, independentemente da arquitetura do modelo. Os modelos implementados neste trabalho mostraram-se mais informativos para a estrutura de covariância do que como preditores de retorno — dado observado no turnover elevado gerado pelas visões instáveis — o que sugere que a aplicação mais promissora para esse tipo de rede no contexto do Black-Litterman seria a estimação dinâmica da matriz de incerteza </w:t>
        </w:r>
      </w:r>
      <w:r>
        <w:rPr>
          <w:rStyle w:val="katex-mathml"/>
        </w:rPr>
        <w:t xml:space="preserve">Ω\Omega </w:t>
      </w:r>
      <w:r>
        <w:rPr>
          <w:rStyle w:val="mord"/>
        </w:rPr>
        <w:t>Ω</w:t>
      </w:r>
      <w:r>
        <w:t xml:space="preserve">, e não do vetor de visões </w:t>
      </w:r>
      <w:r>
        <w:rPr>
          <w:rStyle w:val="katex-mathml"/>
        </w:rPr>
        <w:t xml:space="preserve">QQ </w:t>
      </w:r>
      <w:r>
        <w:rPr>
          <w:rStyle w:val="mord"/>
        </w:rPr>
        <w:t>Q</w:t>
      </w:r>
      <w:r>
        <w:t>.</w:t>
      </w:r>
    </w:p>
    <w:p w14:paraId="1B4C1F5B" w14:textId="77777777" w:rsidR="00B8687C" w:rsidRDefault="00B8687C" w:rsidP="00B8687C">
      <w:pPr>
        <w:rPr>
          <w:sz w:val="24"/>
          <w:szCs w:val="24"/>
        </w:rPr>
      </w:pPr>
    </w:p>
    <w:p w14:paraId="525B9437" w14:textId="77777777" w:rsidR="00B8687C" w:rsidRPr="00B8687C" w:rsidRDefault="00B8687C" w:rsidP="00B8687C">
      <w:pPr>
        <w:rPr>
          <w:sz w:val="24"/>
          <w:szCs w:val="24"/>
        </w:rPr>
      </w:pPr>
    </w:p>
    <w:p w14:paraId="1E51D7A0" w14:textId="77777777" w:rsidR="00B8687C" w:rsidRPr="00B8687C" w:rsidRDefault="00B8687C" w:rsidP="003F1C11">
      <w:pPr>
        <w:pStyle w:val="Ttulo2"/>
        <w:numPr>
          <w:ilvl w:val="1"/>
          <w:numId w:val="57"/>
        </w:numPr>
        <w:jc w:val="left"/>
        <w:rPr>
          <w:b w:val="0"/>
          <w:sz w:val="24"/>
          <w:szCs w:val="24"/>
        </w:rPr>
      </w:pPr>
      <w:bookmarkStart w:id="155" w:name="_Toc230857095"/>
      <w:r>
        <w:rPr>
          <w:sz w:val="24"/>
          <w:szCs w:val="24"/>
        </w:rPr>
        <w:t>Limitações do Estudo</w:t>
      </w:r>
      <w:bookmarkEnd w:id="155"/>
    </w:p>
    <w:p w14:paraId="44C9E034" w14:textId="77777777" w:rsidR="00B8687C" w:rsidRDefault="00B8687C" w:rsidP="00B8687C"/>
    <w:p w14:paraId="0FAB04E2" w14:textId="77777777" w:rsidR="00C677C0" w:rsidRDefault="00C677C0" w:rsidP="00C677C0">
      <w:pPr>
        <w:pStyle w:val="font-claude-response-body"/>
        <w:spacing w:before="0" w:beforeAutospacing="0" w:after="0" w:afterAutospacing="0" w:line="360" w:lineRule="auto"/>
        <w:ind w:firstLine="851"/>
        <w:jc w:val="both"/>
      </w:pPr>
      <w:r>
        <w:t>A interpretação dos resultados deve ser feita à luz das seguintes limitações metodológicas, reconhecidas explicitamente no espírito da transparência científica:</w:t>
      </w:r>
    </w:p>
    <w:p w14:paraId="2EE70B59" w14:textId="77777777" w:rsidR="00C677C0" w:rsidRPr="00C677C0" w:rsidRDefault="00C677C0" w:rsidP="003F1C11">
      <w:pPr>
        <w:pStyle w:val="font-claude-response-body"/>
        <w:numPr>
          <w:ilvl w:val="0"/>
          <w:numId w:val="56"/>
        </w:numPr>
        <w:spacing w:before="0" w:beforeAutospacing="0" w:after="0" w:afterAutospacing="0" w:line="360" w:lineRule="auto"/>
        <w:ind w:left="1134" w:hanging="283"/>
        <w:jc w:val="both"/>
      </w:pPr>
      <w:r>
        <w:rPr>
          <w:rStyle w:val="Forte"/>
        </w:rPr>
        <w:t>Viés de antecipação parcial no Black-Litterman.</w:t>
      </w:r>
      <w:r>
        <w:t xml:space="preserve"> Os pesos de mercado (</w:t>
      </w:r>
      <m:oMath>
        <m:sSub>
          <m:sSubPr>
            <m:ctrlPr>
              <w:rPr>
                <w:rFonts w:ascii="Cambria Math" w:hAnsi="Cambria Math"/>
                <w:i/>
              </w:rPr>
            </m:ctrlPr>
          </m:sSubPr>
          <m:e>
            <m:r>
              <w:rPr>
                <w:rFonts w:ascii="Cambria Math" w:hAnsi="Cambria Math"/>
              </w:rPr>
              <m:t>ω</m:t>
            </m:r>
          </m:e>
          <m:sub>
            <m:r>
              <w:rPr>
                <w:rFonts w:ascii="Cambria Math" w:hAnsi="Cambria Math"/>
              </w:rPr>
              <m:t>mkt</m:t>
            </m:r>
          </m:sub>
        </m:sSub>
      </m:oMath>
      <w:r>
        <w:t xml:space="preserve">) utilizados no cálculo do prior de equilíbrio  </w:t>
      </w:r>
      <m:oMath>
        <m:r>
          <w:rPr>
            <w:rFonts w:ascii="Cambria Math" w:hAnsi="Cambria Math"/>
          </w:rPr>
          <m:t>(</m:t>
        </m:r>
        <m:r>
          <m:rPr>
            <m:sty m:val="p"/>
          </m:rPr>
          <w:rPr>
            <w:rFonts w:ascii="Cambria Math" w:hAnsi="Cambria Math"/>
          </w:rPr>
          <m:t>Π</m:t>
        </m:r>
        <m:r>
          <w:rPr>
            <w:rFonts w:ascii="Cambria Math" w:hAnsi="Cambria Math"/>
          </w:rPr>
          <m:t xml:space="preserve">= δ ∙ </m:t>
        </m:r>
        <m:r>
          <m:rPr>
            <m:sty m:val="p"/>
          </m:rPr>
          <w:rPr>
            <w:rFonts w:ascii="Cambria Math" w:hAnsi="Cambria Math"/>
          </w:rPr>
          <m:t>Σ</m:t>
        </m:r>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mkt</m:t>
            </m:r>
          </m:sub>
        </m:sSub>
        <m:r>
          <w:rPr>
            <w:rFonts w:ascii="Cambria Math" w:hAnsi="Cambria Math"/>
          </w:rPr>
          <m:t>)</m:t>
        </m:r>
      </m:oMath>
      <w:r>
        <w:t xml:space="preserve"> foram obtidos com as capitalizações de mercado vigentes em maio de 2026, não com as capitalizações históricas de cada ponto de rebalanceamento. Esse procedimento introduz um viés de antecipação no prior do modelo BL que, embora provavelmente não determinante dado o peso reduzido do prior na </w:t>
        <w:lastRenderedPageBreak/>
        <w:t>presença de visões de alta incerteza, deve ser corrigido em estudos futuros mediante a coleta de séries históricas de capitalização.</w:t>
      </w:r>
    </w:p>
    <w:p w14:paraId="70AB267A"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Delta negativo no CAPM reverso.</w:t>
      </w:r>
      <w:r>
        <w:t xml:space="preserve"> O coeficiente de aversão ao risco </w:t>
      </w:r>
      <m:oMath>
        <m:r>
          <w:rPr>
            <w:rFonts w:ascii="Cambria Math" w:hAnsi="Cambria Math"/>
          </w:rPr>
          <m:t>δ</m:t>
        </m:r>
      </m:oMath>
      <w:r>
        <w:t xml:space="preserve"> calculado por otimização reversa (</w:t>
      </w:r>
      <w:r>
        <w:rPr>
          <w:rStyle w:val="katex-mathml"/>
        </w:rPr>
        <w:t xml:space="preserve">δ=E[Rm−Rf]/σm2\delta = E[R_m - R_f] / \sigma_m^2 </w:t>
      </w:r>
      <w:r>
        <w:rPr>
          <w:rStyle w:val="mord"/>
        </w:rPr>
        <w:t>δ</w:t>
      </w:r>
      <w:r>
        <w:rPr>
          <w:rStyle w:val="mrel"/>
        </w:rPr>
        <w:t>=</w:t>
      </w:r>
      <w:r>
        <w:rPr>
          <w:rStyle w:val="mord"/>
        </w:rPr>
        <w:t>E</w:t>
      </w:r>
      <w:r>
        <w:rPr>
          <w:rStyle w:val="mopen"/>
        </w:rPr>
        <w:t>[</w:t>
      </w:r>
      <w:r>
        <w:rPr>
          <w:rStyle w:val="mord"/>
        </w:rPr>
        <w:t>Rm</w:t>
      </w:r>
      <w:r>
        <w:rPr>
          <w:rStyle w:val="vlist-s"/>
        </w:rPr>
        <w:t>​</w:t>
      </w:r>
      <w:r>
        <w:rPr>
          <w:rStyle w:val="mbin"/>
        </w:rPr>
        <w:t>−</w:t>
      </w:r>
      <w:r>
        <w:rPr>
          <w:rStyle w:val="mord"/>
        </w:rPr>
        <w:t>Rf</w:t>
      </w:r>
      <w:r>
        <w:rPr>
          <w:rStyle w:val="vlist-s"/>
        </w:rPr>
        <w:t>​</w:t>
      </w:r>
      <w:r>
        <w:rPr>
          <w:rStyle w:val="mclose"/>
        </w:rPr>
        <w:t>]</w:t>
      </w:r>
      <w:r>
        <w:rPr>
          <w:rStyle w:val="mord"/>
        </w:rPr>
        <w:t>/σm2</w:t>
      </w:r>
      <w:r>
        <w:rPr>
          <w:rStyle w:val="vlist-s"/>
        </w:rPr>
        <w:t>​</w:t>
      </w:r>
      <w:r>
        <w:t xml:space="preserve">) resultou em valor negativo (-0,0884) para o período completo, em razão de subperíodos com prêmio de risco do IBOVESPA negativo. O valor convencional </w:t>
      </w:r>
      <w:r>
        <w:rPr>
          <w:rStyle w:val="katex-mathml"/>
        </w:rPr>
        <w:t xml:space="preserve">δ=2,5\delta = 2{,}5 </w:t>
      </w:r>
      <w:r>
        <w:rPr>
          <w:rStyle w:val="mord"/>
        </w:rPr>
        <w:t>δ</w:t>
      </w:r>
      <w:r>
        <w:rPr>
          <w:rStyle w:val="mrel"/>
        </w:rPr>
        <w:t>=</w:t>
      </w:r>
      <w:r>
        <w:rPr>
          <w:rStyle w:val="mord"/>
        </w:rPr>
        <w:t>2</w:t>
      </w:r>
      <w:r>
        <w:rPr>
          <w:rStyle w:val="mpunct"/>
        </w:rPr>
        <w:t>,</w:t>
      </w:r>
      <w:r>
        <w:rPr>
          <w:rStyle w:val="mord"/>
        </w:rPr>
        <w:t>5</w:t>
      </w:r>
      <w:r>
        <w:t xml:space="preserve"> foi adotado em substituição, conforme He e Litterman (1999), porém essa substituição implica que o prior de equilíbrio não é derivado endogenamente dos dados da amostra, mas sim fixado por premissa externa.</w:t>
      </w:r>
    </w:p>
    <w:p w14:paraId="70F00BA8"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Escala da covariância no modelo BL.</w:t>
      </w:r>
      <w:r>
        <w:rPr>
          <w:color w:val="000000"/>
          <w:sz w:val="24"/>
          <w:szCs w:val="24"/>
          <w:lang w:val="pt-BR" w:eastAsia="pt-BR"/>
        </w:rPr>
        <w:t xml:space="preserve"> A matriz de covariância utilizada na fórmula mestra do BL foi mensalizada (×21 dias úteis) em vez de anualizada (×252), alterando a escala relativa entre prior e visões e conferindo peso excessivo às visões de momentum 12-1. Essa inconsistência de escala contribui para o turnover elevado observado e explica parcialmente a degradação do desempenho.</w:t>
      </w:r>
    </w:p>
    <w:p w14:paraId="43FC1741"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Não padronização dos períodos de backtest.</w:t>
      </w:r>
      <w:r>
        <w:t xml:space="preserve"> As estratégias L1 (Min Variância e Máximo Sharpe) iniciam o período </w:t>
      </w:r>
      <w:r>
        <w:rPr>
          <w:rStyle w:val="nfase"/>
        </w:rPr>
        <w:t>out-of-sample</w:t>
      </w:r>
      <w:r>
        <w:rPr>
          <w:color w:val="000000"/>
          <w:sz w:val="24"/>
          <w:szCs w:val="24"/>
          <w:lang w:val="pt-BR" w:eastAsia="pt-BR"/>
        </w:rPr>
        <w:t xml:space="preserve"> em setembro de 2015, enquanto a estratégia BL com momentum 12-1 inicia em janeiro de 2015, resultando em valores distintos para o IBOVESPA como referência (+215% vs +243,49%). A comparação direta entre estratégias está, portanto, prejudicada, e deve ser tomada com cautela até que todos os backtests sejam recalculados com data de início padronizada.</w:t>
      </w:r>
    </w:p>
    <w:p w14:paraId="3914EFC1" w14:textId="77777777" w:rsidR="00C677C0" w:rsidRPr="00C677C0" w:rsidRDefault="006D1C53" w:rsidP="003F1C11">
      <w:pPr>
        <w:pStyle w:val="font-claude-response-body"/>
        <w:numPr>
          <w:ilvl w:val="0"/>
          <w:numId w:val="56"/>
        </w:numPr>
        <w:spacing w:before="0" w:beforeAutospacing="0" w:after="0" w:afterAutospacing="0" w:line="360" w:lineRule="auto"/>
        <w:ind w:left="1570" w:hanging="357"/>
        <w:jc w:val="both"/>
      </w:pPr>
      <w:r>
        <w:rPr>
          <w:rStyle w:val="Forte"/>
        </w:rPr>
        <w:t>Benchmark 1/N</w:t>
      </w:r>
      <w:r>
        <w:t xml:space="preserve"> O </w:t>
      </w:r>
      <w:r>
        <w:rPr>
          <w:rStyle w:val="nfase"/>
        </w:rPr>
        <w:t>benchmark</w:t>
      </w:r>
      <w:r>
        <w:t xml:space="preserve"> 1/N na versão </w:t>
      </w:r>
      <w:r>
        <w:rPr>
          <w:rStyle w:val="nfase"/>
        </w:rPr>
        <w:t>buy-and-hold</w:t>
      </w:r>
      <w:r>
        <w:t xml:space="preserve"> (sem rebalanceamento) apresenta concentração crescente ao longo do tempo — ao final de 2025, um único ativo representava aproximadamente 25% do portfólio, comprometendo a propriedade de diversificação que caracteriza a estratégia 1/N. Por essa razão, a versão com rebalanceamento mensal foi adotada como referência comparativa primária.</w:t>
      </w:r>
    </w:p>
    <w:p w14:paraId="733EA277" w14:textId="77777777" w:rsidR="00C677C0" w:rsidRPr="00C677C0" w:rsidRDefault="00C677C0" w:rsidP="003F1C11">
      <w:pPr>
        <w:pStyle w:val="font-claude-response-body"/>
        <w:numPr>
          <w:ilvl w:val="0"/>
          <w:numId w:val="56"/>
        </w:numPr>
        <w:spacing w:before="0" w:beforeAutospacing="0" w:after="0" w:afterAutospacing="0" w:line="360" w:lineRule="auto"/>
        <w:jc w:val="both"/>
      </w:pPr>
      <w:r>
        <w:rPr>
          <w:rStyle w:val="Forte"/>
        </w:rPr>
        <w:t>Ausência de testes de significância estatística.</w:t>
      </w:r>
      <w:r>
        <w:t xml:space="preserve"> As diferenças de desempenho entre estratégias são expressas em termos de retornos acumulados e índices de Sharpe, mas não são acompanhadas de testes </w:t>
        <w:lastRenderedPageBreak/>
        <w:t>formais de significância estatística — como o teste de Jobson-Korkie (1981) para igualdade de Índices de Sharpe ou o teste de Ledoit-Wolf (2008) para diferenças de retorno ajustado ao risco. A interpretação dos resultados deve considerar que o período de 132 meses, embora substantivo, pode ser insuficiente para distinguir habilidade de sorte em estratégias de alto risco.</w:t>
      </w:r>
    </w:p>
    <w:p w14:paraId="44EBA9E3" w14:textId="77777777" w:rsidR="00C677C0" w:rsidRDefault="00C677C0" w:rsidP="00B8687C"/>
    <w:p w14:paraId="1FE150A5" w14:textId="77777777" w:rsidR="00B8687C" w:rsidRPr="00B8687C" w:rsidRDefault="00B8687C" w:rsidP="00B8687C">
      <w:pPr>
        <w:rPr>
          <w:sz w:val="24"/>
          <w:szCs w:val="24"/>
        </w:rPr>
      </w:pPr>
    </w:p>
    <w:p w14:paraId="21DF81FD" w14:textId="77777777" w:rsidR="00B8687C" w:rsidRPr="00B8687C" w:rsidRDefault="00B8687C" w:rsidP="003F1C11">
      <w:pPr>
        <w:pStyle w:val="Ttulo2"/>
        <w:numPr>
          <w:ilvl w:val="1"/>
          <w:numId w:val="57"/>
        </w:numPr>
        <w:jc w:val="left"/>
        <w:rPr>
          <w:b w:val="0"/>
          <w:sz w:val="22"/>
          <w:szCs w:val="24"/>
        </w:rPr>
      </w:pPr>
      <w:bookmarkStart w:id="156" w:name="_Toc230857096"/>
      <w:r>
        <w:rPr>
          <w:sz w:val="24"/>
        </w:rPr>
        <w:t>Sugestões para Pesquisas Futuras</w:t>
      </w:r>
      <w:bookmarkEnd w:id="156"/>
    </w:p>
    <w:p w14:paraId="168A9BA8" w14:textId="77777777" w:rsidR="00B8687C" w:rsidRDefault="00B8687C" w:rsidP="00B8687C"/>
    <w:p w14:paraId="5E824037" w14:textId="77777777" w:rsidR="00C677C0" w:rsidRDefault="00C677C0" w:rsidP="00C677C0">
      <w:pPr>
        <w:pStyle w:val="font-claude-response-body"/>
        <w:spacing w:before="0" w:beforeAutospacing="0" w:after="0" w:afterAutospacing="0" w:line="360" w:lineRule="auto"/>
        <w:ind w:firstLine="851"/>
        <w:jc w:val="both"/>
      </w:pPr>
      <w:r>
        <w:t>Com base nos resultados e limitações deste trabalho, identificam-se cinco direções prioritárias para pesquisas futuras:</w:t>
      </w:r>
    </w:p>
    <w:p w14:paraId="45E6630F"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Covariância dinâmica (DCC-GARCH).</w:t>
      </w:r>
      <w:r>
        <w:t xml:space="preserve"> A quebra estrutural na variância detectada nos testes econométricos, com volatilidade do período COVID representando quase o dobro da volatilidade do período normal, sugere que a estimação estática da matriz de covariância é o principal ponto de fragilidade das estratégias L1 implementadas. A substituição por um modelo DCC-GARCH (</w:t>
      </w:r>
      <w:r>
        <w:rPr>
          <w:rStyle w:val="nfase"/>
        </w:rPr>
        <w:t>Dynamic Conditional Correlation</w:t>
      </w:r>
      <w:r>
        <w:t>) permitiria que a covariância se adaptasse em tempo real às mudanças de regime, potencialmente melhorando o desempenho especialmente nos períodos de crise.</w:t>
      </w:r>
    </w:p>
    <w:p w14:paraId="32731190"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Extensão do Black-Litterman com delta e pesos históricos.</w:t>
      </w:r>
      <w:r>
        <w:rPr>
          <w:color w:val="000000"/>
          <w:sz w:val="24"/>
          <w:szCs w:val="24"/>
          <w:lang w:val="pt-BR" w:eastAsia="pt-BR"/>
        </w:rPr>
        <w:t xml:space="preserve"> A reconstrução do modelo BL com capitalizações de mercado históricas e delta derivado de subperíodos de prêmio de risco positivo permitiria avaliar se a falha observada decorre das limitações das visões de momentum ou das inconsistências de implementação do prior identificadas neste trabalho.</w:t>
      </w:r>
    </w:p>
    <w:p w14:paraId="0375965C"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r>
          <w:rPr>
            <w:rStyle w:val="Forte"/>
          </w:rPr>
          <w:t>Modelos de machine learning como estimadores de volatilidade.</w:t>
        </w:r>
      </w:r>
      <w:r>
        <w:rPr>
          <w:color w:val="000000"/>
          <w:sz w:val="24"/>
          <w:szCs w:val="24"/>
          <w:lang w:val="pt-BR" w:eastAsia="pt-BR"/>
        </w:rPr>
        <w:t xml:space="preserve"> Uma extensão direta e metodologicamente mais defensável seria utilizar modelos de machine learning para estimar dinamicamente a diagonal da matriz </w:t>
      </w:r>
      <w:r>
        <w:rPr>
          <w:rStyle w:val="katex-mathml"/>
        </w:rPr>
        <w:t xml:space="preserve">Ω\Omega </w:t>
      </w:r>
      <w:r>
        <w:rPr>
          <w:rStyle w:val="mord"/>
        </w:rPr>
        <w:t>Ω</w:t>
      </w:r>
      <w:r>
        <w:rPr>
          <w:color w:val="000000"/>
          <w:sz w:val="24"/>
          <w:szCs w:val="24"/>
          <w:lang w:val="pt-BR" w:eastAsia="pt-BR"/>
        </w:rPr>
        <w:t xml:space="preserve"> do modelo BL — ou seja, a incerteza das visões — em vez de gerar as próprias visões de retorno. Nessa configuração, o modelo de machine learning atuaria como um calibrador de confiança, deixando a estimação da direção dos retornos para o prior de equilíbrio.</w:t>
      </w:r>
    </w:p>
    <w:p w14:paraId="5116011E"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Inclusão do benchmark 1/N e teste de Jobson-Korkie.</w:t>
      </w:r>
      <w:r>
        <w:t xml:space="preserve"> A adição da carteira igualmente ponderada como referência e a aplicação de testes formais de significância são extensões metodológicas imediatas que elevariam o rigor </w:t>
        <w:lastRenderedPageBreak/>
        <w:t>científico do estudo e permitiriam afirmações mais robustas sobre a geração de alfa pelas estratégias implementadas.</w:t>
      </w:r>
    </w:p>
    <w:p w14:paraId="5435B07E" w14:textId="77777777" w:rsidR="00C677C0" w:rsidRDefault="00C677C0" w:rsidP="003F1C11">
      <w:pPr>
        <w:pStyle w:val="font-claude-response-body"/>
        <w:numPr>
          <w:ilvl w:val="0"/>
          <w:numId w:val="55"/>
        </w:numPr>
        <w:spacing w:before="0" w:beforeAutospacing="0" w:after="0" w:afterAutospacing="0" w:line="360" w:lineRule="auto"/>
        <w:ind w:left="1134" w:hanging="283"/>
        <w:jc w:val="both"/>
      </w:pPr>
      <w:r>
        <w:rPr>
          <w:rStyle w:val="Forte"/>
        </w:rPr>
        <w:t>Análise de subperíodos.</w:t>
      </w:r>
      <w:r>
        <w:t xml:space="preserve"> A avaliação do desempenho das estratégias separadamente nos regimes de alta volatilidade (2015–2016 e 2020) e nos períodos de normalidade (2017–2019 e 2021–2025) permitiria identificar em quais condições de mercado cada estratégia apresenta vantagem relativa — informação de alto valor prático para investidores que precisam selecionar estratégias em função das condições macroeconômicas vigentes.</w:t>
      </w:r>
    </w:p>
    <w:p w14:paraId="2AC0AE63" w14:textId="77777777" w:rsidR="00C677C0" w:rsidRDefault="00C677C0" w:rsidP="00B8687C"/>
    <w:p w14:paraId="3CEED2EC" w14:textId="77777777" w:rsidR="00C677C0" w:rsidRPr="00B8687C" w:rsidRDefault="00C677C0" w:rsidP="003F1C11">
      <w:pPr>
        <w:pStyle w:val="Ttulo2"/>
        <w:numPr>
          <w:ilvl w:val="1"/>
          <w:numId w:val="57"/>
        </w:numPr>
        <w:jc w:val="left"/>
        <w:rPr>
          <w:b w:val="0"/>
          <w:sz w:val="22"/>
          <w:szCs w:val="24"/>
        </w:rPr>
      </w:pPr>
      <w:bookmarkStart w:id="157" w:name="_Toc230857097"/>
      <w:r>
        <w:t>Considerações Finais</w:t>
      </w:r>
      <w:bookmarkEnd w:id="157"/>
    </w:p>
    <w:p w14:paraId="311E8219" w14:textId="77777777" w:rsidR="00B8687C" w:rsidRDefault="00B8687C" w:rsidP="00B8687C"/>
    <w:p w14:paraId="7A71D52A" w14:textId="77777777" w:rsidR="00C677C0" w:rsidRDefault="00C677C0" w:rsidP="00C677C0">
      <w:pPr>
        <w:pStyle w:val="font-claude-response-body"/>
        <w:spacing w:before="0" w:beforeAutospacing="0" w:after="0" w:afterAutospacing="0" w:line="360" w:lineRule="auto"/>
        <w:ind w:firstLine="851"/>
        <w:jc w:val="both"/>
      </w:pPr>
      <w:r>
        <w:t xml:space="preserve">Este trabalho demonstrou que, no mercado acionário brasileiro no período de 2015 a 2025, a complexidade dos modelos de estimação não foi aliada do desempenho </w:t>
      </w:r>
      <w:r>
        <w:rPr>
          <w:rStyle w:val="nfase"/>
        </w:rPr>
        <w:t>out-of-sample</w:t>
      </w:r>
      <w:r>
        <w:t>. A carteira de Mínima Variância, ao ignorar deliberadamente o componente de retorno esperado, eliminou a principal fonte de erro de estimação do processo de otimização e produziu resultados superiores a todos os demais modelos testados, incluindo o índice de mercado e a taxa livre de risco.</w:t>
      </w:r>
    </w:p>
    <w:p w14:paraId="7C0BB586" w14:textId="77777777" w:rsidR="00C677C0" w:rsidRDefault="00C677C0" w:rsidP="00C677C0">
      <w:pPr>
        <w:pStyle w:val="font-claude-response-body"/>
        <w:spacing w:before="0" w:beforeAutospacing="0" w:after="0" w:afterAutospacing="0" w:line="360" w:lineRule="auto"/>
        <w:ind w:firstLine="851"/>
        <w:jc w:val="both"/>
      </w:pPr>
      <w:r>
        <w:rPr>
          <w:color w:val="000000"/>
          <w:sz w:val="24"/>
          <w:szCs w:val="24"/>
          <w:lang w:val="pt-BR" w:eastAsia="pt-BR"/>
        </w:rPr>
        <w:t>Esse achado não é uma crítica à teoria de Black-Litterman ou ao uso de aprendizado de máquina em finanças — é uma evidência sobre as condições necessárias para que esses modelos funcionem. O Black-Litterman exige um prior bem calibrado, visões com poder preditivo genuíno e mecanismos de controle de turnover adequados ao sinal gerado pelas visões. O uso de fatores de momentum exige que tais fatores possuam poder preditivo persistente nas séries de retorno. Em um mercado com a volatilidade e a complexidade macroeconômica do Brasil, nenhuma dessas condições foi plenamente satisfeita na implementação realizada.</w:t>
      </w:r>
    </w:p>
    <w:p w14:paraId="683FCCE3" w14:textId="77777777" w:rsidR="00C677C0" w:rsidRDefault="00C677C0" w:rsidP="00C677C0">
      <w:pPr>
        <w:pStyle w:val="font-claude-response-body"/>
        <w:spacing w:before="0" w:beforeAutospacing="0" w:after="0" w:afterAutospacing="0" w:line="360" w:lineRule="auto"/>
        <w:ind w:firstLine="851"/>
        <w:jc w:val="both"/>
      </w:pPr>
      <w:r>
        <w:t>O resultado, portanto, não é uma falha dos modelos — é um resultado científico. A constatação de que estratégias simples superam estratégias sofisticadas em um mercado emergente específico, durante um período específico, é uma contribuição empírica legítima para a literatura de finanças quantitativas brasileiras, alinhada com os resultados de Santos e Tessari (2012) e com a tradição inaugurada por DeMiguel et al. (2009).</w:t>
      </w:r>
    </w:p>
    <w:p w14:paraId="72A4205D" w14:textId="77777777" w:rsidR="0086671B" w:rsidRDefault="00C677C0" w:rsidP="00F61AE8">
      <w:pPr>
        <w:pStyle w:val="font-claude-response-body"/>
        <w:spacing w:before="0" w:beforeAutospacing="0" w:after="0" w:afterAutospacing="0" w:line="360" w:lineRule="auto"/>
        <w:ind w:firstLine="851"/>
        <w:jc w:val="both"/>
      </w:pPr>
      <w:r>
        <w:t>Ao pesquisador que se debruçar sobre esses dados com modelos mais robustos — prior historicamente calibrado, covariância dinâmica, visões com validação preditiva formal e período padronizado — o desafio permanece em aberto: superar consistentemente a Mínima Variância, a mais simples das estratégias, no mercado acionário brasileiro.</w:t>
        <w:br w:type="page"/>
      </w:r>
    </w:p>
    <w:p w14:paraId="1D7A9250" w14:textId="77777777" w:rsidR="00F61AE8" w:rsidRPr="00B8687C" w:rsidRDefault="00F61AE8" w:rsidP="003F1C11">
      <w:pPr>
        <w:pStyle w:val="Ttulo1"/>
        <w:numPr>
          <w:ilvl w:val="0"/>
          <w:numId w:val="57"/>
        </w:numPr>
        <w:tabs>
          <w:tab w:val="left" w:pos="480"/>
        </w:tabs>
        <w:spacing w:line="360" w:lineRule="auto"/>
        <w:jc w:val="center"/>
        <w:rPr>
          <w:b w:val="0"/>
          <w:sz w:val="24"/>
          <w:szCs w:val="24"/>
        </w:rPr>
      </w:pPr>
      <w:bookmarkStart w:id="158" w:name="_Toc230857098"/>
      <w:r>
        <w:lastRenderedPageBreak/>
        <w:t>REFERÊNCIAS</w:t>
      </w:r>
      <w:bookmarkEnd w:id="158"/>
    </w:p>
    <w:p w14:paraId="024BCABA" w14:textId="77777777" w:rsidR="00F61AE8" w:rsidRDefault="00F61AE8" w:rsidP="00F61AE8"/>
    <w:p w14:paraId="30ACF5DF" w14:textId="77777777" w:rsidR="00F61AE8" w:rsidRPr="008A0506" w:rsidRDefault="00F61AE8" w:rsidP="00F61AE8">
      <w:pPr>
        <w:pStyle w:val="font-claude-response-body"/>
        <w:rPr>
          <w:lang w:val="en-US"/>
        </w:rPr>
      </w:pPr>
      <w:r>
        <w:rPr>
          <w:lang w:val="en-US"/>
        </w:rPr>
        <w:t xml:space="preserve">BLACK, Fischer. Capital market equilibrium with restricted borrowing. </w:t>
      </w:r>
      <w:r>
        <w:rPr>
          <w:rStyle w:val="Forte"/>
          <w:lang w:val="en-US"/>
        </w:rPr>
        <w:t>The Journal of Business</w:t>
      </w:r>
      <w:r>
        <w:rPr>
          <w:lang w:val="en-US"/>
        </w:rPr>
        <w:t>, Chicago, v. 45, n. 3, p. 444–455, jul. 1972.</w:t>
      </w:r>
    </w:p>
    <w:p w14:paraId="76613D9C" w14:textId="77777777" w:rsidR="00F61AE8" w:rsidRPr="008A0506" w:rsidRDefault="00F61AE8" w:rsidP="00F61AE8">
      <w:pPr>
        <w:pStyle w:val="font-claude-response-body"/>
        <w:rPr>
          <w:lang w:val="en-US"/>
        </w:rPr>
      </w:pPr>
      <w:r>
        <w:rPr>
          <w:lang w:val="en-US"/>
        </w:rPr>
        <w:t xml:space="preserve">BLACK, Fischer; LITTERMAN, Robert. Global portfolio optimization. </w:t>
      </w:r>
      <w:r>
        <w:rPr>
          <w:rStyle w:val="Forte"/>
          <w:lang w:val="en-US"/>
        </w:rPr>
        <w:t>Financial Analysts Journal</w:t>
      </w:r>
      <w:r>
        <w:rPr>
          <w:lang w:val="en-US"/>
        </w:rPr>
        <w:t>, Charlottesville, v. 48, n. 5, p. 28–43, set./out. 1992.</w:t>
      </w:r>
    </w:p>
    <w:p w14:paraId="0B857319" w14:textId="77777777" w:rsidR="00F61AE8" w:rsidRPr="008A0506" w:rsidRDefault="00F61AE8" w:rsidP="00F61AE8">
      <w:pPr>
        <w:pStyle w:val="font-claude-response-body"/>
        <w:rPr>
          <w:lang w:val="en-US"/>
        </w:rPr>
      </w:pPr>
      <w:r>
        <w:rPr>
          <w:lang w:val="en-US"/>
        </w:rPr>
        <w:t xml:space="preserve">BOYD, Stephen; VANDENBERGHE, Lieven. </w:t>
      </w:r>
      <w:r>
        <w:rPr>
          <w:rStyle w:val="Forte"/>
          <w:lang w:val="en-US"/>
        </w:rPr>
        <w:t>Convex optimization</w:t>
      </w:r>
      <w:r>
        <w:rPr>
          <w:lang w:val="en-US"/>
        </w:rPr>
        <w:t>. Cambridge: Cambridge University Press, 2004.</w:t>
      </w:r>
    </w:p>
    <w:p w14:paraId="199D4F71" w14:textId="77777777" w:rsidR="00F61AE8" w:rsidRPr="008A0506" w:rsidRDefault="00F61AE8" w:rsidP="00F61AE8">
      <w:pPr>
        <w:pStyle w:val="font-claude-response-body"/>
        <w:rPr>
          <w:lang w:val="en-US"/>
        </w:rPr>
      </w:pPr>
      <w:r>
        <w:rPr>
          <w:lang w:val="en-US"/>
        </w:rPr>
        <w:t xml:space="preserve">CAMPBELL, John Y.; LO, Andrew W.; MACKINLAY, A. Craig. </w:t>
      </w:r>
      <w:r>
        <w:rPr>
          <w:rStyle w:val="Forte"/>
          <w:lang w:val="en-US"/>
        </w:rPr>
        <w:t>The econometrics of financial markets</w:t>
      </w:r>
      <w:r>
        <w:rPr>
          <w:lang w:val="en-US"/>
        </w:rPr>
        <w:t>. Princeton: Princeton University Press, 1997.</w:t>
      </w:r>
    </w:p>
    <w:p w14:paraId="42FD4EDC" w14:textId="77777777" w:rsidR="00F61AE8" w:rsidRPr="008A0506" w:rsidRDefault="00F61AE8" w:rsidP="00F61AE8">
      <w:pPr>
        <w:pStyle w:val="font-claude-response-body"/>
        <w:rPr>
          <w:lang w:val="en-US"/>
        </w:rPr>
      </w:pPr>
      <w:r>
        <w:rPr>
          <w:lang w:val="en-US"/>
        </w:rPr>
        <w:t xml:space="preserve">CHOW, Gregory C. Tests of equality between sets of coefficients in two linear regressions. </w:t>
      </w:r>
      <w:r>
        <w:rPr>
          <w:rStyle w:val="Forte"/>
          <w:lang w:val="en-US"/>
        </w:rPr>
        <w:t>Econometrica</w:t>
      </w:r>
      <w:r>
        <w:rPr>
          <w:lang w:val="en-US"/>
        </w:rPr>
        <w:t>, New Haven, v. 28, n. 3, p. 591–605, jul. 1960.</w:t>
      </w:r>
    </w:p>
    <w:p w14:paraId="0AC7193A" w14:textId="77777777" w:rsidR="00F61AE8" w:rsidRPr="00405771" w:rsidRDefault="00F61AE8" w:rsidP="00F61AE8">
      <w:pPr>
        <w:pStyle w:val="font-claude-response-body"/>
        <w:rPr>
          <w:lang w:val="en-US"/>
        </w:rPr>
      </w:pPr>
      <w:r>
        <w:rPr>
          <w:lang w:val="en-US"/>
        </w:rPr>
        <w:t xml:space="preserve">DAMODARAN, Aswath. </w:t>
      </w:r>
      <w:r>
        <w:rPr>
          <w:rStyle w:val="Forte"/>
          <w:lang w:val="en-US"/>
        </w:rPr>
        <w:t>Investment valuation</w:t>
      </w:r>
      <w:r>
        <w:rPr>
          <w:lang w:val="en-US"/>
        </w:rPr>
        <w:t>: tools and techniques for determining the value of any asset. 3. ed. Hoboken: John Wiley &amp; Sons, 2012.</w:t>
      </w:r>
    </w:p>
    <w:p w14:paraId="131F8E9B" w14:textId="77777777" w:rsidR="00F61AE8" w:rsidRPr="008A0506" w:rsidRDefault="00F61AE8" w:rsidP="00F61AE8">
      <w:pPr>
        <w:pStyle w:val="font-claude-response-body"/>
        <w:rPr>
          <w:lang w:val="en-US"/>
        </w:rPr>
      </w:pPr>
      <w:r>
        <w:t xml:space="preserve">DEMIGUEL, Victor; GARLAPPI, Lorenzo; UPPAL, Raman. </w:t>
      </w:r>
      <w:r>
        <w:rPr>
          <w:lang w:val="en-US"/>
        </w:rPr>
        <w:t xml:space="preserve">Optimal versus naive diversification: how inefficient is the 1/N portfolio strategy? </w:t>
      </w:r>
      <w:r>
        <w:rPr>
          <w:rStyle w:val="Forte"/>
          <w:lang w:val="en-US"/>
        </w:rPr>
        <w:t>The Review of Financial Studies</w:t>
      </w:r>
      <w:r>
        <w:rPr>
          <w:lang w:val="en-US"/>
        </w:rPr>
        <w:t>, Oxford, v. 22, n. 5, p. 1915–1953, maio 2009.</w:t>
      </w:r>
    </w:p>
    <w:p w14:paraId="3CAE7D31" w14:textId="77777777" w:rsidR="00F61AE8" w:rsidRPr="008A0506" w:rsidRDefault="00F61AE8" w:rsidP="00F61AE8">
      <w:pPr>
        <w:pStyle w:val="font-claude-response-body"/>
        <w:rPr>
          <w:lang w:val="en-US"/>
        </w:rPr>
      </w:pPr>
      <w:r>
        <w:rPr>
          <w:lang w:val="en-US"/>
        </w:rPr>
        <w:t xml:space="preserve">DICKEY, David A.; FULLER, Wayne A. Distribution of the estimators for autoregressive time series with a unit root. </w:t>
      </w:r>
      <w:r>
        <w:rPr>
          <w:rStyle w:val="Forte"/>
          <w:lang w:val="en-US"/>
        </w:rPr>
        <w:t>Journal of the American Statistical Association</w:t>
      </w:r>
      <w:r>
        <w:rPr>
          <w:lang w:val="en-US"/>
        </w:rPr>
        <w:t>, Alexandria, v. 74, n. 366, p. 427–431, jun. 1979.</w:t>
      </w:r>
    </w:p>
    <w:p w14:paraId="0D059313" w14:textId="77777777" w:rsidR="00F61AE8" w:rsidRPr="008A0506" w:rsidRDefault="00F61AE8" w:rsidP="00F61AE8">
      <w:pPr>
        <w:pStyle w:val="font-claude-response-body"/>
        <w:rPr>
          <w:lang w:val="en-US"/>
        </w:rPr>
      </w:pPr>
      <w:r>
        <w:rPr>
          <w:lang w:val="en-US"/>
        </w:rPr>
        <w:t xml:space="preserve">ENGLE, Robert F. Autoregressive conditional heteroscedasticity with estimates of the variance of United Kingdom inflation. </w:t>
      </w:r>
      <w:r>
        <w:rPr>
          <w:rStyle w:val="Forte"/>
          <w:lang w:val="en-US"/>
        </w:rPr>
        <w:t>Econometrica</w:t>
      </w:r>
      <w:r>
        <w:rPr>
          <w:lang w:val="en-US"/>
        </w:rPr>
        <w:t>, New Haven, v. 50, n. 4, p. 987–1007, jul. 1982.</w:t>
      </w:r>
    </w:p>
    <w:p w14:paraId="29E80450" w14:textId="77777777" w:rsidR="00F61AE8" w:rsidRPr="008A0506" w:rsidRDefault="00F61AE8" w:rsidP="00F61AE8">
      <w:pPr>
        <w:pStyle w:val="font-claude-response-body"/>
        <w:rPr>
          <w:lang w:val="en-US"/>
        </w:rPr>
      </w:pPr>
      <w:r>
        <w:rPr>
          <w:lang w:val="en-US"/>
        </w:rPr>
        <w:t xml:space="preserve">FAMA, Eugene F. Efficient capital markets: a review of theory and empirical work. </w:t>
      </w:r>
      <w:r>
        <w:rPr>
          <w:rStyle w:val="Forte"/>
          <w:lang w:val="en-US"/>
        </w:rPr>
        <w:t>The Journal of Finance</w:t>
      </w:r>
      <w:r>
        <w:rPr>
          <w:lang w:val="en-US"/>
        </w:rPr>
        <w:t>, Hoboken, v. 25, n. 2, p. 383–417, maio 1970.</w:t>
      </w:r>
    </w:p>
    <w:p w14:paraId="44FA44AF" w14:textId="77777777" w:rsidR="00F61AE8" w:rsidRPr="008A0506" w:rsidRDefault="00F61AE8" w:rsidP="00F61AE8">
      <w:pPr>
        <w:pStyle w:val="font-claude-response-body"/>
        <w:rPr>
          <w:lang w:val="en-US"/>
        </w:rPr>
      </w:pPr>
      <w:r>
        <w:rPr>
          <w:lang w:val="en-US"/>
        </w:rPr>
        <w:t xml:space="preserve">FAMA, Eugene F.; FRENCH, Kenneth R. Common risk factors in the returns on stocks and bonds. </w:t>
      </w:r>
      <w:r>
        <w:rPr>
          <w:rStyle w:val="Forte"/>
          <w:lang w:val="en-US"/>
        </w:rPr>
        <w:t>Journal of Financial Economics</w:t>
      </w:r>
      <w:r>
        <w:rPr>
          <w:lang w:val="en-US"/>
        </w:rPr>
        <w:t>, Amsterdam, v. 33, n. 1, p. 3–56, fev. 1993.</w:t>
      </w:r>
    </w:p>
    <w:p w14:paraId="5029BC53" w14:textId="77777777" w:rsidR="00F61AE8" w:rsidRPr="008A0506" w:rsidRDefault="00F61AE8" w:rsidP="00F61AE8">
      <w:pPr>
        <w:pStyle w:val="font-claude-response-body"/>
        <w:rPr>
          <w:lang w:val="en-US"/>
        </w:rPr>
      </w:pPr>
      <w:r>
        <w:rPr>
          <w:lang w:val="en-US"/>
        </w:rPr>
        <w:t xml:space="preserve">FAMA, Eugene F.; FRENCH, Kenneth R. A five-factor asset pricing model. </w:t>
      </w:r>
      <w:r>
        <w:rPr>
          <w:rStyle w:val="Forte"/>
          <w:lang w:val="en-US"/>
        </w:rPr>
        <w:t>Journal of Financial Economics</w:t>
      </w:r>
      <w:r>
        <w:rPr>
          <w:lang w:val="en-US"/>
        </w:rPr>
        <w:t>, Amsterdam, v. 116, n. 1, p. 1–22, abr. 2015.</w:t>
      </w:r>
    </w:p>
    <w:p w14:paraId="6C2A9251" w14:textId="77777777" w:rsidR="00F61AE8" w:rsidRPr="008A0506" w:rsidRDefault="00F61AE8" w:rsidP="00F61AE8">
      <w:pPr>
        <w:pStyle w:val="font-claude-response-body"/>
        <w:rPr>
          <w:lang w:val="en-US"/>
        </w:rPr>
      </w:pPr>
      <w:r>
        <w:rPr>
          <w:lang w:val="en-US"/>
        </w:rPr>
        <w:t xml:space="preserve">HE, Guangliang; LITTERMAN, Robert. </w:t>
      </w:r>
      <w:r>
        <w:rPr>
          <w:rStyle w:val="Forte"/>
          <w:lang w:val="en-US"/>
        </w:rPr>
        <w:t>The intuition behind Black-Litterman model portfolios</w:t>
      </w:r>
      <w:r>
        <w:rPr>
          <w:lang w:val="en-US"/>
        </w:rPr>
        <w:t>. New York: Goldman Sachs Investment Management Division, 1999. (Investment Management Research).</w:t>
      </w:r>
    </w:p>
    <w:p w14:paraId="383C2948" w14:textId="77777777" w:rsidR="00F61AE8" w:rsidRPr="008A0506" w:rsidRDefault="00F61AE8" w:rsidP="00F61AE8">
      <w:pPr>
        <w:pStyle w:val="font-claude-response-body"/>
        <w:rPr>
          <w:lang w:val="en-US"/>
        </w:rPr>
      </w:pPr>
      <w:r>
        <w:rPr>
          <w:lang w:val="en-US"/>
        </w:rPr>
        <w:t xml:space="preserve">HOCHREITER, Sepp; SCHMIDHUBER, Jürgen. Long short-term memory. </w:t>
      </w:r>
      <w:r>
        <w:rPr>
          <w:rStyle w:val="Forte"/>
          <w:lang w:val="en-US"/>
        </w:rPr>
        <w:t>Neural Computation</w:t>
      </w:r>
      <w:r>
        <w:rPr>
          <w:lang w:val="en-US"/>
        </w:rPr>
        <w:t>, Cambridge, v. 9, n. 8, p. 1735–1780, nov. 1997.</w:t>
      </w:r>
    </w:p>
    <w:p w14:paraId="770892BC" w14:textId="77777777" w:rsidR="00F61AE8" w:rsidRPr="008A0506" w:rsidRDefault="00F61AE8" w:rsidP="00F61AE8">
      <w:pPr>
        <w:pStyle w:val="font-claude-response-body"/>
        <w:rPr>
          <w:lang w:val="en-US"/>
        </w:rPr>
      </w:pPr>
      <w:r>
        <w:rPr>
          <w:lang w:val="en-US"/>
        </w:rPr>
        <w:lastRenderedPageBreak/>
        <w:t xml:space="preserve">JARQUE, Carlos M.; BERA, Anil K. A test for normality of observations and regression residuals. </w:t>
      </w:r>
      <w:r>
        <w:rPr>
          <w:rStyle w:val="Forte"/>
          <w:lang w:val="en-US"/>
        </w:rPr>
        <w:t>International Statistical Review</w:t>
      </w:r>
      <w:r>
        <w:rPr>
          <w:lang w:val="en-US"/>
        </w:rPr>
        <w:t>, Hague, v. 55, n. 2, p. 163–172, ago. 1987.</w:t>
      </w:r>
    </w:p>
    <w:p w14:paraId="1EF21F80" w14:textId="77777777" w:rsidR="00F61AE8" w:rsidRPr="008A0506" w:rsidRDefault="00F61AE8" w:rsidP="00F61AE8">
      <w:pPr>
        <w:pStyle w:val="font-claude-response-body"/>
        <w:rPr>
          <w:lang w:val="en-US"/>
        </w:rPr>
      </w:pPr>
      <w:r>
        <w:rPr>
          <w:lang w:val="en-US"/>
        </w:rPr>
        <w:t xml:space="preserve">JOBSON, J. D.; KORKIE, Bob M. Performance hypothesis testing with the Sharpe and Treynor measures. </w:t>
      </w:r>
      <w:r>
        <w:rPr>
          <w:rStyle w:val="Forte"/>
          <w:lang w:val="en-US"/>
        </w:rPr>
        <w:t>The Journal of Finance</w:t>
      </w:r>
      <w:r>
        <w:rPr>
          <w:lang w:val="en-US"/>
        </w:rPr>
        <w:t>, Hoboken, v. 36, n. 4, p. 889–908, set. 1981.</w:t>
      </w:r>
    </w:p>
    <w:p w14:paraId="49AF25E0" w14:textId="77777777" w:rsidR="00F61AE8" w:rsidRPr="008A0506" w:rsidRDefault="00F61AE8" w:rsidP="00F61AE8">
      <w:pPr>
        <w:pStyle w:val="font-claude-response-body"/>
        <w:rPr>
          <w:lang w:val="en-US"/>
        </w:rPr>
      </w:pPr>
      <w:r>
        <w:rPr>
          <w:lang w:val="en-US"/>
        </w:rPr>
        <w:t xml:space="preserve">KAHNEMAN, Daniel; TVERSKY, Amos. Prospect theory: an analysis of decision under risk. </w:t>
      </w:r>
      <w:r>
        <w:rPr>
          <w:rStyle w:val="Forte"/>
          <w:lang w:val="en-US"/>
        </w:rPr>
        <w:t>Econometrica</w:t>
      </w:r>
      <w:r>
        <w:rPr>
          <w:lang w:val="en-US"/>
        </w:rPr>
        <w:t>, New Haven, v. 47, n. 2, p. 263–291, mar. 1979.</w:t>
      </w:r>
    </w:p>
    <w:p w14:paraId="5F4CDAF0" w14:textId="77777777" w:rsidR="00F61AE8" w:rsidRPr="008A0506" w:rsidRDefault="00F61AE8" w:rsidP="00F61AE8">
      <w:pPr>
        <w:pStyle w:val="font-claude-response-body"/>
        <w:rPr>
          <w:lang w:val="en-US"/>
        </w:rPr>
      </w:pPr>
      <w:r>
        <w:rPr>
          <w:lang w:val="en-US"/>
        </w:rPr>
        <w:t xml:space="preserve">KWIATKOWSKI, Denis; PHILLIPS, Peter C. B.; SCHMIDT, Peter; SHIN, Yongcheol. Testing the null hypothesis of stationarity against the alternative of a unit root. </w:t>
      </w:r>
      <w:r>
        <w:rPr>
          <w:rStyle w:val="Forte"/>
          <w:lang w:val="en-US"/>
        </w:rPr>
        <w:t>Journal of Econometrics</w:t>
      </w:r>
      <w:r>
        <w:rPr>
          <w:lang w:val="en-US"/>
        </w:rPr>
        <w:t>, Amsterdam, v. 54, n. 1–3, p. 159–178, out./dez. 1992.</w:t>
      </w:r>
    </w:p>
    <w:p w14:paraId="22781DDA" w14:textId="77777777" w:rsidR="00F61AE8" w:rsidRPr="008A0506" w:rsidRDefault="00F61AE8" w:rsidP="00F61AE8">
      <w:pPr>
        <w:pStyle w:val="font-claude-response-body"/>
        <w:rPr>
          <w:lang w:val="en-US"/>
        </w:rPr>
      </w:pPr>
      <w:r>
        <w:rPr>
          <w:lang w:val="en-US"/>
        </w:rPr>
        <w:t xml:space="preserve">LEDOIT, Olivier; WOLF, Michael. A well-conditioned estimator for large-dimensional covariance matrices. </w:t>
      </w:r>
      <w:r>
        <w:rPr>
          <w:rStyle w:val="Forte"/>
          <w:lang w:val="en-US"/>
        </w:rPr>
        <w:t>Journal of Multivariate Analysis</w:t>
      </w:r>
      <w:r>
        <w:rPr>
          <w:lang w:val="en-US"/>
        </w:rPr>
        <w:t>, Amsterdam, v. 88, n. 2, p. 365–411, fev. 2004.</w:t>
      </w:r>
    </w:p>
    <w:p w14:paraId="751E06EA" w14:textId="77777777" w:rsidR="00F61AE8" w:rsidRPr="008A0506" w:rsidRDefault="00F61AE8" w:rsidP="00F61AE8">
      <w:pPr>
        <w:pStyle w:val="font-claude-response-body"/>
        <w:rPr>
          <w:lang w:val="en-US"/>
        </w:rPr>
      </w:pPr>
      <w:r>
        <w:rPr>
          <w:lang w:val="en-US"/>
        </w:rPr>
        <w:t xml:space="preserve">LINTNER, John. The valuation of risk assets and the selection of risky investments in stock portfolios and capital budgets. </w:t>
      </w:r>
      <w:r>
        <w:rPr>
          <w:rStyle w:val="Forte"/>
          <w:lang w:val="en-US"/>
        </w:rPr>
        <w:t>The Review of Economics and Statistics</w:t>
      </w:r>
      <w:r>
        <w:rPr>
          <w:lang w:val="en-US"/>
        </w:rPr>
        <w:t>, Cambridge, v. 47, n. 1, p. 13–37, fev. 1965.</w:t>
      </w:r>
    </w:p>
    <w:p w14:paraId="1BFC2D3B" w14:textId="77777777" w:rsidR="00F61AE8" w:rsidRPr="008A0506" w:rsidRDefault="00F61AE8" w:rsidP="00F61AE8">
      <w:pPr>
        <w:pStyle w:val="font-claude-response-body"/>
        <w:rPr>
          <w:lang w:val="en-US"/>
        </w:rPr>
      </w:pPr>
      <w:r>
        <w:rPr>
          <w:lang w:val="en-US"/>
        </w:rPr>
        <w:t xml:space="preserve">LJUNG, Greta M.; BOX, George E. P. On a measure of lack of fit in time series models. </w:t>
      </w:r>
      <w:r>
        <w:rPr>
          <w:rStyle w:val="Forte"/>
          <w:lang w:val="en-US"/>
        </w:rPr>
        <w:t>Biometrika</w:t>
      </w:r>
      <w:r>
        <w:rPr>
          <w:lang w:val="en-US"/>
        </w:rPr>
        <w:t>, Oxford, v. 65, n. 2, p. 297–303, ago. 1978.</w:t>
      </w:r>
    </w:p>
    <w:p w14:paraId="345FEB67" w14:textId="77777777" w:rsidR="00F61AE8" w:rsidRPr="008A0506" w:rsidRDefault="00F61AE8" w:rsidP="00F61AE8">
      <w:pPr>
        <w:pStyle w:val="font-claude-response-body"/>
        <w:rPr>
          <w:lang w:val="en-US"/>
        </w:rPr>
      </w:pPr>
      <w:r>
        <w:rPr>
          <w:lang w:val="en-US"/>
        </w:rPr>
        <w:t xml:space="preserve">LO, Andrew W.; MACKINLAY, A. Craig. Stock market prices do not follow random walks: evidence from a simple specification test. </w:t>
      </w:r>
      <w:r>
        <w:rPr>
          <w:rStyle w:val="Forte"/>
          <w:lang w:val="en-US"/>
        </w:rPr>
        <w:t>The Review of Financial Studies</w:t>
      </w:r>
      <w:r>
        <w:rPr>
          <w:lang w:val="en-US"/>
        </w:rPr>
        <w:t>, Oxford, v. 1, n. 1, p. 41–66, jan. 1988.</w:t>
      </w:r>
    </w:p>
    <w:p w14:paraId="5ED6A662" w14:textId="77777777" w:rsidR="00F61AE8" w:rsidRPr="008A0506" w:rsidRDefault="00F61AE8" w:rsidP="00F61AE8">
      <w:pPr>
        <w:pStyle w:val="font-claude-response-body"/>
        <w:rPr>
          <w:lang w:val="en-US"/>
        </w:rPr>
      </w:pPr>
      <w:r>
        <w:rPr>
          <w:lang w:val="en-US"/>
        </w:rPr>
        <w:t xml:space="preserve">MARKOWITZ, Harry M. Portfolio selection. </w:t>
      </w:r>
      <w:r>
        <w:rPr>
          <w:rStyle w:val="Forte"/>
          <w:lang w:val="en-US"/>
        </w:rPr>
        <w:t>The Journal of Finance</w:t>
      </w:r>
      <w:r>
        <w:rPr>
          <w:lang w:val="en-US"/>
        </w:rPr>
        <w:t>, Hoboken, v. 7, n. 1, p. 77–91, mar. 1952.</w:t>
      </w:r>
    </w:p>
    <w:p w14:paraId="6BB9E0E1" w14:textId="77777777" w:rsidR="00F61AE8" w:rsidRPr="008A0506" w:rsidRDefault="00F61AE8" w:rsidP="00F61AE8">
      <w:pPr>
        <w:pStyle w:val="font-claude-response-body"/>
        <w:rPr>
          <w:lang w:val="en-US"/>
        </w:rPr>
      </w:pPr>
      <w:r>
        <w:rPr>
          <w:lang w:val="en-US"/>
        </w:rPr>
        <w:t xml:space="preserve">MARKOWITZ, Harry M. </w:t>
      </w:r>
      <w:r>
        <w:rPr>
          <w:rStyle w:val="Forte"/>
          <w:lang w:val="en-US"/>
        </w:rPr>
        <w:t>Portfolio selection</w:t>
      </w:r>
      <w:r>
        <w:rPr>
          <w:lang w:val="en-US"/>
        </w:rPr>
        <w:t>: efficient diversification of investments. New York: John Wiley &amp; Sons, 1959.</w:t>
      </w:r>
    </w:p>
    <w:p w14:paraId="54F50B6D" w14:textId="77777777" w:rsidR="00F61AE8" w:rsidRPr="008A0506" w:rsidRDefault="00F61AE8" w:rsidP="00F61AE8">
      <w:pPr>
        <w:pStyle w:val="font-claude-response-body"/>
        <w:rPr>
          <w:lang w:val="en-US"/>
        </w:rPr>
      </w:pPr>
      <w:r>
        <w:rPr>
          <w:lang w:val="en-US"/>
        </w:rPr>
        <w:t xml:space="preserve">MERTON, Robert C. An analytic derivation of the efficient portfolio frontier. </w:t>
      </w:r>
      <w:r>
        <w:rPr>
          <w:rStyle w:val="Forte"/>
          <w:lang w:val="en-US"/>
        </w:rPr>
        <w:t>The Journal of Financial and Quantitative Analysis</w:t>
      </w:r>
      <w:r>
        <w:rPr>
          <w:lang w:val="en-US"/>
        </w:rPr>
        <w:t>, Cambridge, v. 7, n. 4, p. 1851–1872, set. 1972.</w:t>
      </w:r>
    </w:p>
    <w:p w14:paraId="57C43FD2" w14:textId="77777777" w:rsidR="00F61AE8" w:rsidRPr="008A0506" w:rsidRDefault="00F61AE8" w:rsidP="00F61AE8">
      <w:pPr>
        <w:pStyle w:val="font-claude-response-body"/>
        <w:rPr>
          <w:lang w:val="en-US"/>
        </w:rPr>
      </w:pPr>
      <w:r>
        <w:t xml:space="preserve">NÚCLEO DE ECONOMIA FINANCEIRA E APLICADA (NEFIN). </w:t>
      </w:r>
      <w:r>
        <w:rPr>
          <w:rStyle w:val="Forte"/>
        </w:rPr>
        <w:t>Fatores de risco do mercado acionário brasileiro</w:t>
      </w:r>
      <w:r>
        <w:t xml:space="preserve">. São Paulo: FEA-USP, 2024. Disponível em: </w:t>
      </w:r>
      <w:hyperlink r:id="rId17" w:history="1">
        <w:r>
          <w:rPr>
            <w:rStyle w:val="Hyperlink"/>
          </w:rPr>
          <w:t>http://nefin.com.br/risk_factors.html</w:t>
        </w:r>
      </w:hyperlink>
      <w:r>
        <w:t xml:space="preserve">. </w:t>
      </w:r>
      <w:r>
        <w:rPr>
          <w:lang w:val="en-US"/>
        </w:rPr>
        <w:t>Acesso em: jan. 2025.</w:t>
      </w:r>
    </w:p>
    <w:p w14:paraId="1ED1325C" w14:textId="77777777" w:rsidR="00F61AE8" w:rsidRPr="008A0506" w:rsidRDefault="00F61AE8" w:rsidP="00F61AE8">
      <w:pPr>
        <w:pStyle w:val="font-claude-response-body"/>
        <w:rPr>
          <w:lang w:val="en-US"/>
        </w:rPr>
      </w:pPr>
      <w:r>
        <w:rPr>
          <w:lang w:val="en-US"/>
        </w:rPr>
        <w:t xml:space="preserve">ROCKAFELLAR, R. Tyrrell; URYASEV, Stanislav. Conditional value-at-risk for general loss distributions. </w:t>
      </w:r>
      <w:r>
        <w:rPr>
          <w:rStyle w:val="Forte"/>
          <w:lang w:val="en-US"/>
        </w:rPr>
        <w:t>Journal of Banking &amp; Finance</w:t>
      </w:r>
      <w:r>
        <w:rPr>
          <w:lang w:val="en-US"/>
        </w:rPr>
        <w:t>, Amsterdam, v. 26, n. 7, p. 1443–1471, jul. 2002.</w:t>
      </w:r>
    </w:p>
    <w:p w14:paraId="5A85A972" w14:textId="77777777" w:rsidR="00F61AE8" w:rsidRPr="008A0506" w:rsidRDefault="00F61AE8" w:rsidP="00F61AE8">
      <w:pPr>
        <w:pStyle w:val="font-claude-response-body"/>
        <w:rPr>
          <w:lang w:val="en-US"/>
        </w:rPr>
      </w:pPr>
      <w:r>
        <w:rPr>
          <w:lang w:val="en-US"/>
        </w:rPr>
        <w:t xml:space="preserve">ROM, Brian M.; FERGUSON, Kathleen W. Post-modern portfolio theory comes of age. </w:t>
      </w:r>
      <w:r>
        <w:rPr>
          <w:rStyle w:val="Forte"/>
          <w:lang w:val="en-US"/>
        </w:rPr>
        <w:t>The Journal of Investing</w:t>
      </w:r>
      <w:r>
        <w:rPr>
          <w:lang w:val="en-US"/>
        </w:rPr>
        <w:t>, New York, v. 3, n. 3, p. 11–17, out. 1994.</w:t>
      </w:r>
    </w:p>
    <w:p w14:paraId="54C252D4" w14:textId="77777777" w:rsidR="00F61AE8" w:rsidRPr="008A0506" w:rsidRDefault="00F61AE8" w:rsidP="00F61AE8">
      <w:pPr>
        <w:pStyle w:val="font-claude-response-body"/>
        <w:rPr>
          <w:lang w:val="en-US"/>
        </w:rPr>
      </w:pPr>
      <w:r>
        <w:rPr>
          <w:lang w:val="en-US"/>
        </w:rPr>
        <w:lastRenderedPageBreak/>
        <w:t xml:space="preserve">ROLL, Richard. A critique of the asset pricing theory's tests. Part I: on past and potential testability of the theory. </w:t>
      </w:r>
      <w:r>
        <w:rPr>
          <w:rStyle w:val="Forte"/>
          <w:lang w:val="en-US"/>
        </w:rPr>
        <w:t>Journal of Financial Economics</w:t>
      </w:r>
      <w:r>
        <w:rPr>
          <w:lang w:val="en-US"/>
        </w:rPr>
        <w:t>, Amsterdam, v. 4, n. 2, p. 129–176, mar. 1977.</w:t>
      </w:r>
    </w:p>
    <w:p w14:paraId="3DF075BE" w14:textId="77777777" w:rsidR="00F61AE8" w:rsidRPr="008A0506" w:rsidRDefault="00F61AE8" w:rsidP="00F61AE8">
      <w:pPr>
        <w:pStyle w:val="font-claude-response-body"/>
        <w:rPr>
          <w:lang w:val="en-US"/>
        </w:rPr>
      </w:pPr>
      <w:r>
        <w:rPr>
          <w:lang w:val="en-US"/>
        </w:rPr>
        <w:t xml:space="preserve">ROSS, Stephen A. The arbitrage theory of capital asset pricing. </w:t>
      </w:r>
      <w:r>
        <w:rPr>
          <w:rStyle w:val="Forte"/>
          <w:lang w:val="en-US"/>
        </w:rPr>
        <w:t>Journal of Economic Theory</w:t>
      </w:r>
      <w:r>
        <w:rPr>
          <w:lang w:val="en-US"/>
        </w:rPr>
        <w:t>, Amsterdam, v. 13, n. 3, p. 341–360, dez. 1976.</w:t>
      </w:r>
    </w:p>
    <w:p w14:paraId="4CE1D4FC" w14:textId="77777777" w:rsidR="00F61AE8" w:rsidRDefault="00F61AE8" w:rsidP="00F61AE8">
      <w:pPr>
        <w:pStyle w:val="font-claude-response-body"/>
      </w:pPr>
      <w:r>
        <w:t xml:space="preserve">SANTOS, André Alves Portela; TESSARI, Cristina. Técnicas quantitativas de otimização de carteiras aplicadas ao mercado de ações brasileiro. </w:t>
      </w:r>
      <w:r>
        <w:rPr>
          <w:rStyle w:val="Forte"/>
        </w:rPr>
        <w:t>Revista Brasileira de Finanças</w:t>
      </w:r>
      <w:r>
        <w:t>, Rio de Janeiro, v. 10, n. 3, p. 369–393, set. 2012.</w:t>
      </w:r>
    </w:p>
    <w:p w14:paraId="0EB4B505" w14:textId="77777777" w:rsidR="00F61AE8" w:rsidRPr="008A0506" w:rsidRDefault="00F61AE8" w:rsidP="00F61AE8">
      <w:pPr>
        <w:pStyle w:val="font-claude-response-body"/>
        <w:rPr>
          <w:lang w:val="en-US"/>
        </w:rPr>
      </w:pPr>
      <w:r>
        <w:rPr>
          <w:lang w:val="en-US"/>
        </w:rPr>
        <w:t xml:space="preserve">SHARPE, William F. Capital asset prices: a theory of market equilibrium under conditions of risk. </w:t>
      </w:r>
      <w:r>
        <w:rPr>
          <w:rStyle w:val="Forte"/>
          <w:lang w:val="en-US"/>
        </w:rPr>
        <w:t>The Journal of Finance</w:t>
      </w:r>
      <w:r>
        <w:rPr>
          <w:lang w:val="en-US"/>
        </w:rPr>
        <w:t>, Hoboken, v. 19, n. 3, p. 425–442, set. 1964.</w:t>
      </w:r>
    </w:p>
    <w:p w14:paraId="459142C1" w14:textId="77777777" w:rsidR="00F61AE8" w:rsidRPr="008A0506" w:rsidRDefault="00F61AE8" w:rsidP="00F61AE8">
      <w:pPr>
        <w:pStyle w:val="font-claude-response-body"/>
        <w:rPr>
          <w:lang w:val="en-US"/>
        </w:rPr>
      </w:pPr>
      <w:r>
        <w:rPr>
          <w:lang w:val="en-US"/>
        </w:rPr>
        <w:t xml:space="preserve">SHARPE, William F. Mutual fund performance. </w:t>
      </w:r>
      <w:r>
        <w:rPr>
          <w:rStyle w:val="Forte"/>
          <w:lang w:val="en-US"/>
        </w:rPr>
        <w:t>The Journal of Business</w:t>
      </w:r>
      <w:r>
        <w:rPr>
          <w:lang w:val="en-US"/>
        </w:rPr>
        <w:t>, Chicago, v. 39, n. 1, p. 119–138, jan. 1966.</w:t>
      </w:r>
    </w:p>
    <w:p w14:paraId="70BAB9F5" w14:textId="77777777" w:rsidR="00F61AE8" w:rsidRPr="008A0506" w:rsidRDefault="00F61AE8" w:rsidP="00F61AE8">
      <w:pPr>
        <w:pStyle w:val="font-claude-response-body"/>
        <w:rPr>
          <w:lang w:val="en-US"/>
        </w:rPr>
      </w:pPr>
      <w:r>
        <w:rPr>
          <w:lang w:val="en-US"/>
        </w:rPr>
        <w:t xml:space="preserve">SORTINO, Frank A.; PRICE, Lee N. Performance measurement in a downside risk framework. </w:t>
      </w:r>
      <w:r>
        <w:rPr>
          <w:rStyle w:val="Forte"/>
          <w:lang w:val="en-US"/>
        </w:rPr>
        <w:t>The Journal of Investing</w:t>
      </w:r>
      <w:r>
        <w:rPr>
          <w:lang w:val="en-US"/>
        </w:rPr>
        <w:t>, New York, v. 3, n. 3, p. 59–64, out. 1994.</w:t>
      </w:r>
    </w:p>
    <w:p w14:paraId="467CCFA9" w14:textId="77777777" w:rsidR="00F61AE8" w:rsidRPr="008A0506" w:rsidRDefault="00F61AE8" w:rsidP="00F61AE8">
      <w:pPr>
        <w:pStyle w:val="font-claude-response-body"/>
        <w:rPr>
          <w:lang w:val="en-US"/>
        </w:rPr>
      </w:pPr>
      <w:r>
        <w:rPr>
          <w:lang w:val="en-US"/>
        </w:rPr>
        <w:t xml:space="preserve">WELCH, Ivo; GOYAL, Amit. A comprehensive look at the empirical performance of equity premium prediction. </w:t>
      </w:r>
      <w:r>
        <w:rPr>
          <w:rStyle w:val="Forte"/>
          <w:lang w:val="en-US"/>
        </w:rPr>
        <w:t>The Review of Financial Studies</w:t>
      </w:r>
      <w:r>
        <w:rPr>
          <w:lang w:val="en-US"/>
        </w:rPr>
        <w:t>, Oxford, v. 21, n. 4, p. 1455–1508, jul. 2008.</w:t>
      </w:r>
    </w:p>
    <w:p w14:paraId="3D375059" w14:textId="77777777" w:rsidR="00F61AE8" w:rsidRPr="008A0506" w:rsidRDefault="00F61AE8">
      <w:pPr>
        <w:rPr>
          <w:sz w:val="24"/>
          <w:szCs w:val="24"/>
          <w:lang w:val="en-US" w:eastAsia="pt-BR"/>
        </w:rPr>
      </w:pPr>
      <w:r>
        <w:rPr>
          <w:lang w:val="en-US"/>
        </w:rPr>
        <w:br w:type="page"/>
      </w:r>
    </w:p>
    <w:p w14:paraId="0E124AE4" w14:textId="77777777" w:rsidR="0086671B" w:rsidRPr="00C52D1A" w:rsidRDefault="00DC4719" w:rsidP="00C62008">
      <w:pPr>
        <w:pStyle w:val="Ttulo1"/>
        <w:spacing w:line="360" w:lineRule="auto"/>
        <w:jc w:val="center"/>
        <w:rPr>
          <w:b w:val="0"/>
          <w:sz w:val="24"/>
          <w:szCs w:val="24"/>
        </w:rPr>
      </w:pPr>
      <w:bookmarkStart w:id="159" w:name="_Toc153384991"/>
      <w:bookmarkStart w:id="160" w:name="_Toc230857099"/>
      <w:r>
        <w:rPr>
          <w:sz w:val="24"/>
          <w:szCs w:val="24"/>
        </w:rPr>
        <w:lastRenderedPageBreak/>
        <w:t>CRONOGRAMA</w:t>
      </w:r>
      <w:bookmarkEnd w:id="159"/>
      <w:bookmarkEnd w:id="160"/>
    </w:p>
    <w:p w14:paraId="6ECFB729" w14:textId="77777777" w:rsidR="0086671B" w:rsidRPr="00C52D1A" w:rsidRDefault="0086671B" w:rsidP="00C52D1A">
      <w:pPr>
        <w:spacing w:line="360" w:lineRule="auto"/>
        <w:ind w:firstLine="709"/>
        <w:jc w:val="both"/>
        <w:rPr>
          <w:sz w:val="24"/>
          <w:szCs w:val="24"/>
        </w:rPr>
      </w:pPr>
    </w:p>
    <w:p w14:paraId="31B291C9" w14:textId="074A3550" w:rsidR="000B6DD5" w:rsidRPr="000B6DD5" w:rsidRDefault="000B6DD5" w:rsidP="000B6DD5">
      <w:pPr>
        <w:pStyle w:val="Legenda"/>
        <w:keepNext/>
        <w:jc w:val="center"/>
        <w:rPr>
          <w:rFonts w:ascii="Times New Roman" w:hAnsi="Times New Roman" w:cs="Times New Roman"/>
          <w:i w:val="0"/>
          <w:color w:val="auto"/>
          <w:sz w:val="24"/>
        </w:rPr>
      </w:pPr>
      <w:r>
        <w:rPr>
          <w:rFonts w:ascii="Times New Roman" w:hAnsi="Times New Roman" w:cs="Times New Roman"/>
          <w:i w:val="0"/>
          <w:color w:val="auto"/>
          <w:sz w:val="24"/>
        </w:rPr>
        <w:t xml:space="preserve">Tabela </w:t>
        <w:fldChar w:fldCharType="begin"/>
        <w:instrText xml:space="preserve"> SEQ Tabela \* ARABIC </w:instrText>
        <w:fldChar w:fldCharType="separate"/>
      </w:r>
      <w:r>
        <w:rPr>
          <w:rFonts w:ascii="Times New Roman" w:hAnsi="Times New Roman" w:cs="Times New Roman"/>
          <w:i w:val="0"/>
          <w:noProof/>
          <w:color w:val="auto"/>
          <w:sz w:val="24"/>
        </w:rPr>
        <w:t>13</w:t>
      </w:r>
      <w:r>
        <w:rPr>
          <w:rFonts w:ascii="Times New Roman" w:hAnsi="Times New Roman" w:cs="Times New Roman"/>
          <w:i w:val="0"/>
          <w:color w:val="auto"/>
          <w:sz w:val="24"/>
        </w:rPr>
        <w:fldChar w:fldCharType="end"/>
        <w:t xml:space="preserve"> - Cronograma da Pesquisa</w:t>
      </w:r>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19CD0226"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FA97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6464B4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06690D5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073262A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2FE9D0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6CDA9D2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Julho</w:t>
            </w:r>
          </w:p>
        </w:tc>
      </w:tr>
      <w:tr w:rsidR="0086671B" w:rsidRPr="00C52D1A" w14:paraId="1A0DDEE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8D818D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453DA9F3"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69ADB1CE" w14:textId="77777777" w:rsidR="0086671B" w:rsidRPr="00C62008" w:rsidRDefault="00C62008" w:rsidP="00C62008">
            <w:pPr>
              <w:spacing w:line="360" w:lineRule="auto"/>
              <w:jc w:val="center"/>
              <w:rPr>
                <w:b/>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78B269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05376B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FF50B5"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9C808FE" w14:textId="77777777" w:rsidR="0086671B" w:rsidRPr="00C52D1A" w:rsidRDefault="0086671B" w:rsidP="00C52D1A">
            <w:pPr>
              <w:spacing w:line="360" w:lineRule="auto"/>
              <w:jc w:val="both"/>
              <w:rPr>
                <w:color w:val="000000"/>
                <w:sz w:val="24"/>
                <w:szCs w:val="24"/>
                <w:lang w:eastAsia="pt-BR"/>
              </w:rPr>
            </w:pPr>
          </w:p>
        </w:tc>
      </w:tr>
      <w:tr w:rsidR="0086671B" w:rsidRPr="00C52D1A" w14:paraId="32548B3E"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12DFE1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7C79A9F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627990D6"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6CB65F8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B7C56B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C17E18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B33EE95" w14:textId="77777777" w:rsidR="0086671B" w:rsidRPr="00C52D1A" w:rsidRDefault="0086671B" w:rsidP="00C52D1A">
            <w:pPr>
              <w:spacing w:line="360" w:lineRule="auto"/>
              <w:jc w:val="both"/>
              <w:rPr>
                <w:color w:val="000000"/>
                <w:sz w:val="24"/>
                <w:szCs w:val="24"/>
                <w:lang w:eastAsia="pt-BR"/>
              </w:rPr>
            </w:pPr>
          </w:p>
        </w:tc>
      </w:tr>
      <w:tr w:rsidR="0086671B" w:rsidRPr="00C52D1A" w14:paraId="5E5C3750"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6E9D7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5E9AE2AC"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76F6CC9A"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75143444"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3260C8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5BAE8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76CB25" w14:textId="77777777" w:rsidR="0086671B" w:rsidRPr="00C52D1A" w:rsidRDefault="0086671B" w:rsidP="00C52D1A">
            <w:pPr>
              <w:spacing w:line="360" w:lineRule="auto"/>
              <w:jc w:val="both"/>
              <w:rPr>
                <w:color w:val="000000"/>
                <w:sz w:val="24"/>
                <w:szCs w:val="24"/>
                <w:lang w:eastAsia="pt-BR"/>
              </w:rPr>
            </w:pPr>
          </w:p>
        </w:tc>
      </w:tr>
      <w:tr w:rsidR="0086671B" w:rsidRPr="00C52D1A" w14:paraId="50DE0347"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2C2CF0F"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568E218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25A82E67"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67" w:type="dxa"/>
            <w:tcBorders>
              <w:top w:val="nil"/>
              <w:left w:val="nil"/>
              <w:bottom w:val="single" w:sz="4" w:space="0" w:color="auto"/>
              <w:right w:val="single" w:sz="4" w:space="0" w:color="auto"/>
            </w:tcBorders>
            <w:shd w:val="clear" w:color="auto" w:fill="auto"/>
            <w:noWrap/>
            <w:vAlign w:val="center"/>
          </w:tcPr>
          <w:p w14:paraId="4008E56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055A54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0B1FD6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753B1F0" w14:textId="77777777" w:rsidR="0086671B" w:rsidRPr="00C52D1A" w:rsidRDefault="0086671B" w:rsidP="00C52D1A">
            <w:pPr>
              <w:spacing w:line="360" w:lineRule="auto"/>
              <w:jc w:val="both"/>
              <w:rPr>
                <w:color w:val="000000"/>
                <w:sz w:val="24"/>
                <w:szCs w:val="24"/>
                <w:lang w:eastAsia="pt-BR"/>
              </w:rPr>
            </w:pPr>
          </w:p>
        </w:tc>
      </w:tr>
      <w:tr w:rsidR="0086671B" w:rsidRPr="00C52D1A" w14:paraId="098CB969"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0309262"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126CA068"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C527159"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1D34CAF"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1231980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3A26F8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99D7B36" w14:textId="77777777" w:rsidR="0086671B" w:rsidRPr="00C52D1A" w:rsidRDefault="0086671B" w:rsidP="00C52D1A">
            <w:pPr>
              <w:spacing w:line="360" w:lineRule="auto"/>
              <w:jc w:val="both"/>
              <w:rPr>
                <w:color w:val="000000"/>
                <w:sz w:val="24"/>
                <w:szCs w:val="24"/>
                <w:lang w:eastAsia="pt-BR"/>
              </w:rPr>
            </w:pPr>
          </w:p>
        </w:tc>
      </w:tr>
      <w:tr w:rsidR="0086671B" w:rsidRPr="00C52D1A" w14:paraId="4C2ED6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6B1AF1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1997A755"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69FB198E"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11046D5"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87A48F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64D5784"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30231023" w14:textId="77777777" w:rsidR="0086671B" w:rsidRPr="00C52D1A" w:rsidRDefault="0086671B" w:rsidP="00C52D1A">
            <w:pPr>
              <w:spacing w:line="360" w:lineRule="auto"/>
              <w:jc w:val="both"/>
              <w:rPr>
                <w:color w:val="000000"/>
                <w:sz w:val="24"/>
                <w:szCs w:val="24"/>
                <w:lang w:eastAsia="pt-BR"/>
              </w:rPr>
            </w:pPr>
          </w:p>
        </w:tc>
      </w:tr>
      <w:tr w:rsidR="0086671B" w:rsidRPr="00C52D1A" w14:paraId="07AC807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BE7A06D"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40024AB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32F93582"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D868CB4"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140" w:type="dxa"/>
            <w:tcBorders>
              <w:top w:val="nil"/>
              <w:left w:val="nil"/>
              <w:bottom w:val="single" w:sz="4" w:space="0" w:color="auto"/>
              <w:right w:val="single" w:sz="4" w:space="0" w:color="auto"/>
            </w:tcBorders>
            <w:shd w:val="clear" w:color="auto" w:fill="auto"/>
            <w:noWrap/>
            <w:vAlign w:val="center"/>
          </w:tcPr>
          <w:p w14:paraId="4DD08C03"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49838E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ECB4895" w14:textId="77777777" w:rsidR="0086671B" w:rsidRPr="00C52D1A" w:rsidRDefault="0086671B" w:rsidP="00C52D1A">
            <w:pPr>
              <w:spacing w:line="360" w:lineRule="auto"/>
              <w:jc w:val="both"/>
              <w:rPr>
                <w:color w:val="000000"/>
                <w:sz w:val="24"/>
                <w:szCs w:val="24"/>
                <w:lang w:eastAsia="pt-BR"/>
              </w:rPr>
            </w:pPr>
          </w:p>
        </w:tc>
      </w:tr>
      <w:tr w:rsidR="0086671B" w:rsidRPr="00C52D1A" w14:paraId="31DAEC7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FC8B396"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519E6C57"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45AF205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6A78A88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1E65E1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6DB3AB42"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0BDF133" w14:textId="77777777" w:rsidR="0086671B" w:rsidRPr="00C52D1A" w:rsidRDefault="0086671B" w:rsidP="00C52D1A">
            <w:pPr>
              <w:spacing w:line="360" w:lineRule="auto"/>
              <w:jc w:val="both"/>
              <w:rPr>
                <w:color w:val="000000"/>
                <w:sz w:val="24"/>
                <w:szCs w:val="24"/>
                <w:lang w:eastAsia="pt-BR"/>
              </w:rPr>
            </w:pPr>
          </w:p>
        </w:tc>
      </w:tr>
      <w:tr w:rsidR="0086671B" w:rsidRPr="00C52D1A" w14:paraId="3A9345B5"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6AF9C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0A0474BB"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67FED0E5"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5A0CC6A"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74CED592"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3DE444C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92FD1DF" w14:textId="77777777" w:rsidR="0086671B" w:rsidRPr="00C52D1A" w:rsidRDefault="0086671B" w:rsidP="00C52D1A">
            <w:pPr>
              <w:spacing w:line="360" w:lineRule="auto"/>
              <w:jc w:val="both"/>
              <w:rPr>
                <w:color w:val="000000"/>
                <w:sz w:val="24"/>
                <w:szCs w:val="24"/>
                <w:lang w:eastAsia="pt-BR"/>
              </w:rPr>
            </w:pPr>
          </w:p>
        </w:tc>
      </w:tr>
      <w:tr w:rsidR="0086671B" w:rsidRPr="00C52D1A" w14:paraId="69A0EEF3"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3EE60799"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19BE401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32AC8A98"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04DA876"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E447608"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834" w:type="dxa"/>
            <w:tcBorders>
              <w:top w:val="nil"/>
              <w:left w:val="nil"/>
              <w:bottom w:val="single" w:sz="4" w:space="0" w:color="auto"/>
              <w:right w:val="single" w:sz="4" w:space="0" w:color="auto"/>
            </w:tcBorders>
          </w:tcPr>
          <w:p w14:paraId="0370EF78"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1E9F8AEA" w14:textId="77777777" w:rsidR="0086671B" w:rsidRPr="00C52D1A" w:rsidRDefault="0086671B" w:rsidP="00C52D1A">
            <w:pPr>
              <w:spacing w:line="360" w:lineRule="auto"/>
              <w:jc w:val="both"/>
              <w:rPr>
                <w:color w:val="000000"/>
                <w:sz w:val="24"/>
                <w:szCs w:val="24"/>
                <w:lang w:eastAsia="pt-BR"/>
              </w:rPr>
            </w:pPr>
          </w:p>
        </w:tc>
      </w:tr>
      <w:tr w:rsidR="0086671B" w:rsidRPr="00C52D1A" w14:paraId="04D1C79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DFBC61A"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1EEBCDE1" w14:textId="77777777" w:rsidR="0086671B" w:rsidRPr="00C52D1A" w:rsidRDefault="0086671B" w:rsidP="00C52D1A">
            <w:pPr>
              <w:spacing w:line="360" w:lineRule="auto"/>
              <w:jc w:val="both"/>
              <w:rPr>
                <w:color w:val="000000"/>
                <w:sz w:val="24"/>
                <w:szCs w:val="24"/>
                <w:lang w:eastAsia="pt-BR"/>
              </w:rPr>
            </w:pPr>
            <w:r>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574602EF"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3EB6EA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9FFEE3A"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1A631BD0" w14:textId="77777777" w:rsidR="0086671B" w:rsidRPr="00C52D1A" w:rsidRDefault="00C62008" w:rsidP="00C52D1A">
            <w:pPr>
              <w:spacing w:line="360" w:lineRule="auto"/>
              <w:jc w:val="both"/>
              <w:rPr>
                <w:color w:val="000000"/>
                <w:sz w:val="24"/>
                <w:szCs w:val="24"/>
                <w:lang w:eastAsia="pt-BR"/>
              </w:rPr>
            </w:pPr>
            <w:r>
              <w:rPr>
                <w:b/>
                <w:color w:val="000000"/>
                <w:sz w:val="24"/>
                <w:szCs w:val="24"/>
                <w:lang w:eastAsia="pt-BR"/>
              </w:rPr>
              <w:t>X</w:t>
            </w:r>
          </w:p>
        </w:tc>
        <w:tc>
          <w:tcPr>
            <w:tcW w:w="1060" w:type="dxa"/>
            <w:tcBorders>
              <w:top w:val="nil"/>
              <w:left w:val="nil"/>
              <w:bottom w:val="single" w:sz="4" w:space="0" w:color="auto"/>
              <w:right w:val="single" w:sz="4" w:space="0" w:color="auto"/>
            </w:tcBorders>
          </w:tcPr>
          <w:p w14:paraId="672EADE3" w14:textId="77777777" w:rsidR="0086671B" w:rsidRPr="00C52D1A" w:rsidRDefault="0086671B" w:rsidP="00C52D1A">
            <w:pPr>
              <w:spacing w:line="360" w:lineRule="auto"/>
              <w:jc w:val="both"/>
              <w:rPr>
                <w:color w:val="000000"/>
                <w:sz w:val="24"/>
                <w:szCs w:val="24"/>
                <w:lang w:eastAsia="pt-BR"/>
              </w:rPr>
            </w:pPr>
          </w:p>
        </w:tc>
      </w:tr>
    </w:tbl>
    <w:p w14:paraId="7EE1C0F1" w14:textId="77777777" w:rsidR="0086671B" w:rsidRPr="00C52D1A" w:rsidRDefault="0086671B" w:rsidP="00C52D1A">
      <w:pPr>
        <w:spacing w:line="360" w:lineRule="auto"/>
        <w:ind w:firstLine="709"/>
        <w:jc w:val="both"/>
        <w:rPr>
          <w:sz w:val="24"/>
          <w:szCs w:val="24"/>
        </w:rPr>
      </w:pPr>
    </w:p>
    <w:p w14:paraId="35B3D164" w14:textId="77777777" w:rsidR="0086671B" w:rsidRPr="00C52D1A" w:rsidRDefault="0086671B" w:rsidP="00C52D1A">
      <w:pPr>
        <w:spacing w:line="360" w:lineRule="auto"/>
        <w:ind w:firstLine="709"/>
        <w:jc w:val="both"/>
        <w:rPr>
          <w:sz w:val="24"/>
          <w:szCs w:val="24"/>
        </w:rPr>
      </w:pPr>
    </w:p>
    <w:p w14:paraId="4E74BC46" w14:textId="77777777" w:rsidR="0086671B" w:rsidRPr="00C52D1A" w:rsidRDefault="0086671B" w:rsidP="00C52D1A">
      <w:pPr>
        <w:spacing w:line="360" w:lineRule="auto"/>
        <w:ind w:firstLine="709"/>
        <w:jc w:val="both"/>
        <w:rPr>
          <w:sz w:val="24"/>
          <w:szCs w:val="24"/>
        </w:rPr>
      </w:pPr>
    </w:p>
    <w:p w14:paraId="6F67A630" w14:textId="77777777" w:rsidR="0086671B" w:rsidRPr="00C52D1A" w:rsidRDefault="0086671B" w:rsidP="00C52D1A">
      <w:pPr>
        <w:spacing w:line="360" w:lineRule="auto"/>
        <w:jc w:val="both"/>
        <w:rPr>
          <w:sz w:val="24"/>
          <w:szCs w:val="24"/>
        </w:rPr>
      </w:pPr>
      <w:r>
        <w:rPr>
          <w:sz w:val="24"/>
          <w:szCs w:val="24"/>
        </w:rPr>
        <w:br w:type="page"/>
      </w:r>
    </w:p>
    <w:p w14:paraId="765F7AB1" w14:textId="77777777" w:rsidR="00FC4E5E" w:rsidRPr="0074461D" w:rsidRDefault="00FC4E5E" w:rsidP="004A7A54">
      <w:pPr>
        <w:spacing w:line="360" w:lineRule="auto"/>
        <w:jc w:val="center"/>
        <w:outlineLvl w:val="0"/>
        <w:rPr>
          <w:b/>
          <w:sz w:val="28"/>
          <w:szCs w:val="28"/>
          <w:lang w:val="en-US"/>
        </w:rPr>
      </w:pPr>
      <w:bookmarkStart w:id="161" w:name="_Toc230857100"/>
      <w:r>
        <w:rPr>
          <w:b/>
          <w:sz w:val="28"/>
          <w:szCs w:val="28"/>
          <w:lang w:val="en-US"/>
        </w:rPr>
        <w:lastRenderedPageBreak/>
        <w:t>APENDICES</w:t>
      </w:r>
      <w:bookmarkEnd w:id="161"/>
    </w:p>
    <w:p w14:paraId="47F2D0DC" w14:textId="5FB84436" w:rsidR="00FC4E5E" w:rsidRPr="00C34481" w:rsidRDefault="00C34481" w:rsidP="00CB4A48">
      <w:pPr>
        <w:pStyle w:val="PargrafodaLista"/>
        <w:numPr>
          <w:ilvl w:val="1"/>
          <w:numId w:val="62"/>
        </w:numPr>
        <w:spacing w:line="360" w:lineRule="auto"/>
        <w:jc w:val="both"/>
        <w:outlineLvl w:val="1"/>
        <w:rPr>
          <w:b/>
          <w:bCs/>
          <w:sz w:val="28"/>
          <w:szCs w:val="28"/>
          <w:lang w:val="pt-BR"/>
        </w:rPr>
      </w:pPr>
      <w:bookmarkStart w:id="162" w:name="_Toc230857101"/>
      <w:r>
        <w:rPr>
          <w:b/>
          <w:bCs/>
          <w:sz w:val="24"/>
          <w:szCs w:val="24"/>
        </w:rPr>
        <w:t>APÊNDICE A — Universo Investável Habilitado (N = 118)</w:t>
      </w:r>
      <w:bookmarkEnd w:id="162"/>
    </w:p>
    <w:p w14:paraId="701BB663" w14:textId="796E56E1" w:rsidR="005756D6" w:rsidRDefault="005756D6" w:rsidP="00C34481">
      <w:pPr>
        <w:pStyle w:val="Ttulo1"/>
        <w:ind w:left="0" w:firstLine="0"/>
      </w:pPr>
    </w:p>
    <w:p w14:paraId="7230F357" w14:textId="77777777" w:rsidR="005756D6" w:rsidRDefault="005756D6" w:rsidP="00801A4C">
      <w:pPr>
        <w:spacing w:line="360" w:lineRule="auto"/>
        <w:ind w:firstLine="851"/>
        <w:jc w:val="both"/>
      </w:pPr>
      <w:r>
        <w:rPr>
          <w:sz w:val="20"/>
          <w:szCs w:val="20"/>
        </w:rPr>
        <w:t>Relação dos 118 ativos que satisfizeram simultaneamente os critérios de elegibilidade descritos no Capítulo 3 (presença em pregão ≥ 95%, primeiro pregão anterior ou igual a 04/01/2010 e ADTV fora do decil inferior aferido na janela de formação de 2010). A classificação setorial segue o setor econômico da B3.</w:t>
      </w:r>
    </w:p>
    <w:p w14:paraId="13AEF836" w14:textId="1E3774AE" w:rsidR="00AA04B3" w:rsidRPr="00AA04B3" w:rsidRDefault="00AA04B3" w:rsidP="00AA04B3">
      <w:pPr>
        <w:pStyle w:val="Legenda"/>
        <w:keepNext/>
        <w:jc w:val="center"/>
        <w:rPr>
          <w:rFonts w:ascii="Times New Roman" w:hAnsi="Times New Roman" w:cs="Times New Roman"/>
          <w:i w:val="0"/>
          <w:iCs w:val="0"/>
          <w:color w:val="auto"/>
          <w:sz w:val="20"/>
          <w:szCs w:val="20"/>
        </w:rPr>
      </w:pPr>
      <w:r>
        <w:rPr>
          <w:rFonts w:ascii="Times New Roman" w:hAnsi="Times New Roman" w:cs="Times New Roman"/>
          <w:i w:val="0"/>
          <w:iCs w:val="0"/>
          <w:color w:val="auto"/>
          <w:sz w:val="20"/>
          <w:szCs w:val="20"/>
        </w:rPr>
        <w:t xml:space="preserve">Tabela </w:t>
        <w:fldChar w:fldCharType="begin"/>
        <w:instrText xml:space="preserve"> SEQ Tabela \* ARABIC </w:instrText>
        <w:fldChar w:fldCharType="separate"/>
      </w:r>
      <w:r>
        <w:rPr>
          <w:rFonts w:ascii="Times New Roman" w:hAnsi="Times New Roman" w:cs="Times New Roman"/>
          <w:i w:val="0"/>
          <w:iCs w:val="0"/>
          <w:noProof/>
          <w:color w:val="auto"/>
          <w:sz w:val="20"/>
          <w:szCs w:val="20"/>
        </w:rPr>
        <w:t>14</w:t>
      </w:r>
      <w:r>
        <w:rPr>
          <w:rFonts w:ascii="Times New Roman" w:hAnsi="Times New Roman" w:cs="Times New Roman"/>
          <w:i w:val="0"/>
          <w:iCs w:val="0"/>
          <w:color w:val="auto"/>
          <w:sz w:val="20"/>
          <w:szCs w:val="20"/>
        </w:rPr>
        <w:fldChar w:fldCharType="end"/>
        <w:t xml:space="preserve"> - A1 - Composição Setorial</w:t>
      </w:r>
    </w:p>
    <w:tbl>
      <w:tblPr>
        <w:tblStyle w:val="Tabelacomgrade"/>
        <w:tblW w:w="7164" w:type="dxa"/>
        <w:tblLook w:val="0000" w:firstRow="0" w:lastRow="0" w:firstColumn="0" w:lastColumn="0" w:noHBand="0" w:noVBand="0"/>
      </w:tblPr>
      <w:tblGrid>
        <w:gridCol w:w="3964"/>
        <w:gridCol w:w="1600"/>
        <w:gridCol w:w="1600"/>
      </w:tblGrid>
      <w:tr w:rsidR="005756D6" w14:paraId="4F1F051F" w14:textId="77777777" w:rsidTr="00AC5F06">
        <w:tc>
          <w:tcPr>
            <w:tcW w:w="3964" w:type="dxa"/>
          </w:tcPr>
          <w:p w14:paraId="689674E9" w14:textId="77777777" w:rsidR="005756D6" w:rsidRPr="00AC5F06" w:rsidRDefault="005756D6" w:rsidP="00EC3D61">
            <w:r>
              <w:rPr>
                <w:b/>
                <w:bCs/>
                <w:sz w:val="18"/>
                <w:szCs w:val="18"/>
              </w:rPr>
              <w:t>Setor econômico (B3)</w:t>
            </w:r>
          </w:p>
        </w:tc>
        <w:tc>
          <w:tcPr>
            <w:tcW w:w="1600" w:type="dxa"/>
          </w:tcPr>
          <w:p w14:paraId="6F100614" w14:textId="77777777" w:rsidR="005756D6" w:rsidRPr="00AC5F06" w:rsidRDefault="005756D6" w:rsidP="00EC3D61">
            <w:pPr>
              <w:jc w:val="center"/>
            </w:pPr>
            <w:r>
              <w:rPr>
                <w:b/>
                <w:bCs/>
                <w:sz w:val="18"/>
                <w:szCs w:val="18"/>
              </w:rPr>
              <w:t>Nº de ativos</w:t>
            </w:r>
          </w:p>
        </w:tc>
        <w:tc>
          <w:tcPr>
            <w:tcW w:w="1600" w:type="dxa"/>
          </w:tcPr>
          <w:p w14:paraId="54C61BA2" w14:textId="77777777" w:rsidR="005756D6" w:rsidRPr="00AC5F06" w:rsidRDefault="005756D6" w:rsidP="00EC3D61">
            <w:pPr>
              <w:jc w:val="center"/>
            </w:pPr>
            <w:r>
              <w:rPr>
                <w:b/>
                <w:bCs/>
                <w:sz w:val="18"/>
                <w:szCs w:val="18"/>
              </w:rPr>
              <w:t>% do universo</w:t>
            </w:r>
          </w:p>
        </w:tc>
      </w:tr>
      <w:tr w:rsidR="005756D6" w14:paraId="7959B09A" w14:textId="77777777" w:rsidTr="00AC5F06">
        <w:tc>
          <w:tcPr>
            <w:tcW w:w="3964" w:type="dxa"/>
          </w:tcPr>
          <w:p w14:paraId="741445FC" w14:textId="77777777" w:rsidR="005756D6" w:rsidRDefault="005756D6" w:rsidP="00EC3D61">
            <w:r>
              <w:rPr>
                <w:sz w:val="18"/>
                <w:szCs w:val="18"/>
              </w:rPr>
              <w:t>Consumo Cíclico</w:t>
            </w:r>
          </w:p>
        </w:tc>
        <w:tc>
          <w:tcPr>
            <w:tcW w:w="1600" w:type="dxa"/>
          </w:tcPr>
          <w:p w14:paraId="48CDB893" w14:textId="77777777" w:rsidR="005756D6" w:rsidRDefault="005756D6" w:rsidP="00EC3D61">
            <w:pPr>
              <w:jc w:val="center"/>
            </w:pPr>
            <w:r>
              <w:rPr>
                <w:sz w:val="18"/>
                <w:szCs w:val="18"/>
              </w:rPr>
              <w:t>27</w:t>
            </w:r>
          </w:p>
        </w:tc>
        <w:tc>
          <w:tcPr>
            <w:tcW w:w="1600" w:type="dxa"/>
          </w:tcPr>
          <w:p w14:paraId="172ECC20" w14:textId="77777777" w:rsidR="005756D6" w:rsidRDefault="005756D6" w:rsidP="00EC3D61">
            <w:pPr>
              <w:jc w:val="center"/>
            </w:pPr>
            <w:r>
              <w:rPr>
                <w:sz w:val="18"/>
                <w:szCs w:val="18"/>
              </w:rPr>
              <w:t>22,9%</w:t>
            </w:r>
          </w:p>
        </w:tc>
      </w:tr>
      <w:tr w:rsidR="005756D6" w14:paraId="7CBB4D37" w14:textId="77777777" w:rsidTr="00AC5F06">
        <w:tc>
          <w:tcPr>
            <w:tcW w:w="3964" w:type="dxa"/>
          </w:tcPr>
          <w:p w14:paraId="00D90101" w14:textId="77777777" w:rsidR="005756D6" w:rsidRDefault="005756D6" w:rsidP="00EC3D61">
            <w:r>
              <w:rPr>
                <w:sz w:val="18"/>
                <w:szCs w:val="18"/>
              </w:rPr>
              <w:t>Materiais Básicos</w:t>
            </w:r>
          </w:p>
        </w:tc>
        <w:tc>
          <w:tcPr>
            <w:tcW w:w="1600" w:type="dxa"/>
          </w:tcPr>
          <w:p w14:paraId="20083CFC" w14:textId="77777777" w:rsidR="005756D6" w:rsidRDefault="005756D6" w:rsidP="00EC3D61">
            <w:pPr>
              <w:jc w:val="center"/>
            </w:pPr>
            <w:r>
              <w:rPr>
                <w:sz w:val="18"/>
                <w:szCs w:val="18"/>
              </w:rPr>
              <w:t>18</w:t>
            </w:r>
          </w:p>
        </w:tc>
        <w:tc>
          <w:tcPr>
            <w:tcW w:w="1600" w:type="dxa"/>
          </w:tcPr>
          <w:p w14:paraId="77185D2C" w14:textId="77777777" w:rsidR="005756D6" w:rsidRDefault="005756D6" w:rsidP="00EC3D61">
            <w:pPr>
              <w:jc w:val="center"/>
            </w:pPr>
            <w:r>
              <w:rPr>
                <w:sz w:val="18"/>
                <w:szCs w:val="18"/>
              </w:rPr>
              <w:t>15,3%</w:t>
            </w:r>
          </w:p>
        </w:tc>
      </w:tr>
      <w:tr w:rsidR="005756D6" w14:paraId="6431A53E" w14:textId="77777777" w:rsidTr="00AC5F06">
        <w:tc>
          <w:tcPr>
            <w:tcW w:w="3964" w:type="dxa"/>
          </w:tcPr>
          <w:p w14:paraId="388E32B0" w14:textId="77777777" w:rsidR="005756D6" w:rsidRDefault="005756D6" w:rsidP="00EC3D61">
            <w:r>
              <w:rPr>
                <w:sz w:val="18"/>
                <w:szCs w:val="18"/>
              </w:rPr>
              <w:t>Utilidade Pública</w:t>
            </w:r>
          </w:p>
        </w:tc>
        <w:tc>
          <w:tcPr>
            <w:tcW w:w="1600" w:type="dxa"/>
          </w:tcPr>
          <w:p w14:paraId="423B5F95" w14:textId="77777777" w:rsidR="005756D6" w:rsidRDefault="005756D6" w:rsidP="00EC3D61">
            <w:pPr>
              <w:jc w:val="center"/>
            </w:pPr>
            <w:r>
              <w:rPr>
                <w:sz w:val="18"/>
                <w:szCs w:val="18"/>
              </w:rPr>
              <w:t>17</w:t>
            </w:r>
          </w:p>
        </w:tc>
        <w:tc>
          <w:tcPr>
            <w:tcW w:w="1600" w:type="dxa"/>
          </w:tcPr>
          <w:p w14:paraId="7ACEA234" w14:textId="77777777" w:rsidR="005756D6" w:rsidRDefault="005756D6" w:rsidP="00EC3D61">
            <w:pPr>
              <w:jc w:val="center"/>
            </w:pPr>
            <w:r>
              <w:rPr>
                <w:sz w:val="18"/>
                <w:szCs w:val="18"/>
              </w:rPr>
              <w:t>14,4%</w:t>
            </w:r>
          </w:p>
        </w:tc>
      </w:tr>
      <w:tr w:rsidR="005756D6" w14:paraId="65D6BE3B" w14:textId="77777777" w:rsidTr="00AC5F06">
        <w:tc>
          <w:tcPr>
            <w:tcW w:w="3964" w:type="dxa"/>
          </w:tcPr>
          <w:p w14:paraId="5F9D1B35" w14:textId="77777777" w:rsidR="005756D6" w:rsidRDefault="005756D6" w:rsidP="00EC3D61">
            <w:r>
              <w:rPr>
                <w:sz w:val="18"/>
                <w:szCs w:val="18"/>
              </w:rPr>
              <w:t>Financeiro</w:t>
            </w:r>
          </w:p>
        </w:tc>
        <w:tc>
          <w:tcPr>
            <w:tcW w:w="1600" w:type="dxa"/>
          </w:tcPr>
          <w:p w14:paraId="2929985F" w14:textId="77777777" w:rsidR="005756D6" w:rsidRDefault="005756D6" w:rsidP="00EC3D61">
            <w:pPr>
              <w:jc w:val="center"/>
            </w:pPr>
            <w:r>
              <w:rPr>
                <w:sz w:val="18"/>
                <w:szCs w:val="18"/>
              </w:rPr>
              <w:t>14</w:t>
            </w:r>
          </w:p>
        </w:tc>
        <w:tc>
          <w:tcPr>
            <w:tcW w:w="1600" w:type="dxa"/>
          </w:tcPr>
          <w:p w14:paraId="3BC73F5E" w14:textId="77777777" w:rsidR="005756D6" w:rsidRDefault="005756D6" w:rsidP="00EC3D61">
            <w:pPr>
              <w:jc w:val="center"/>
            </w:pPr>
            <w:r>
              <w:rPr>
                <w:sz w:val="18"/>
                <w:szCs w:val="18"/>
              </w:rPr>
              <w:t>11,9%</w:t>
            </w:r>
          </w:p>
        </w:tc>
      </w:tr>
      <w:tr w:rsidR="005756D6" w14:paraId="1DB1511D" w14:textId="77777777" w:rsidTr="00AC5F06">
        <w:tc>
          <w:tcPr>
            <w:tcW w:w="3964" w:type="dxa"/>
          </w:tcPr>
          <w:p w14:paraId="7A4CC967" w14:textId="77777777" w:rsidR="005756D6" w:rsidRDefault="005756D6" w:rsidP="00EC3D61">
            <w:r>
              <w:rPr>
                <w:sz w:val="18"/>
                <w:szCs w:val="18"/>
              </w:rPr>
              <w:t>Bens Industriais</w:t>
            </w:r>
          </w:p>
        </w:tc>
        <w:tc>
          <w:tcPr>
            <w:tcW w:w="1600" w:type="dxa"/>
          </w:tcPr>
          <w:p w14:paraId="6ED76ACD" w14:textId="77777777" w:rsidR="005756D6" w:rsidRDefault="005756D6" w:rsidP="00EC3D61">
            <w:pPr>
              <w:jc w:val="center"/>
            </w:pPr>
            <w:r>
              <w:rPr>
                <w:sz w:val="18"/>
                <w:szCs w:val="18"/>
              </w:rPr>
              <w:t>11</w:t>
            </w:r>
          </w:p>
        </w:tc>
        <w:tc>
          <w:tcPr>
            <w:tcW w:w="1600" w:type="dxa"/>
          </w:tcPr>
          <w:p w14:paraId="59293A60" w14:textId="77777777" w:rsidR="005756D6" w:rsidRDefault="005756D6" w:rsidP="00EC3D61">
            <w:pPr>
              <w:jc w:val="center"/>
            </w:pPr>
            <w:r>
              <w:rPr>
                <w:sz w:val="18"/>
                <w:szCs w:val="18"/>
              </w:rPr>
              <w:t>9,3%</w:t>
            </w:r>
          </w:p>
        </w:tc>
      </w:tr>
      <w:tr w:rsidR="005756D6" w14:paraId="633C1EE8" w14:textId="77777777" w:rsidTr="00AC5F06">
        <w:tc>
          <w:tcPr>
            <w:tcW w:w="3964" w:type="dxa"/>
          </w:tcPr>
          <w:p w14:paraId="36819004" w14:textId="77777777" w:rsidR="005756D6" w:rsidRDefault="005756D6" w:rsidP="00EC3D61">
            <w:r>
              <w:rPr>
                <w:sz w:val="18"/>
                <w:szCs w:val="18"/>
              </w:rPr>
              <w:t>Consumo Não Cíclico</w:t>
            </w:r>
          </w:p>
        </w:tc>
        <w:tc>
          <w:tcPr>
            <w:tcW w:w="1600" w:type="dxa"/>
          </w:tcPr>
          <w:p w14:paraId="237EB210" w14:textId="77777777" w:rsidR="005756D6" w:rsidRDefault="005756D6" w:rsidP="00EC3D61">
            <w:pPr>
              <w:jc w:val="center"/>
            </w:pPr>
            <w:r>
              <w:rPr>
                <w:sz w:val="18"/>
                <w:szCs w:val="18"/>
              </w:rPr>
              <w:t>10</w:t>
            </w:r>
          </w:p>
        </w:tc>
        <w:tc>
          <w:tcPr>
            <w:tcW w:w="1600" w:type="dxa"/>
          </w:tcPr>
          <w:p w14:paraId="4E81C3AA" w14:textId="77777777" w:rsidR="005756D6" w:rsidRDefault="005756D6" w:rsidP="00EC3D61">
            <w:pPr>
              <w:jc w:val="center"/>
            </w:pPr>
            <w:r>
              <w:rPr>
                <w:sz w:val="18"/>
                <w:szCs w:val="18"/>
              </w:rPr>
              <w:t>8,5%</w:t>
            </w:r>
          </w:p>
        </w:tc>
      </w:tr>
      <w:tr w:rsidR="005756D6" w14:paraId="4733670B" w14:textId="77777777" w:rsidTr="00AC5F06">
        <w:tc>
          <w:tcPr>
            <w:tcW w:w="3964" w:type="dxa"/>
          </w:tcPr>
          <w:p w14:paraId="147A956F" w14:textId="77777777" w:rsidR="005756D6" w:rsidRDefault="005756D6" w:rsidP="00EC3D61">
            <w:r>
              <w:rPr>
                <w:sz w:val="18"/>
                <w:szCs w:val="18"/>
              </w:rPr>
              <w:t>Comunicações</w:t>
            </w:r>
          </w:p>
        </w:tc>
        <w:tc>
          <w:tcPr>
            <w:tcW w:w="1600" w:type="dxa"/>
          </w:tcPr>
          <w:p w14:paraId="3DC36D0F" w14:textId="77777777" w:rsidR="005756D6" w:rsidRDefault="005756D6" w:rsidP="00EC3D61">
            <w:pPr>
              <w:jc w:val="center"/>
            </w:pPr>
            <w:r>
              <w:rPr>
                <w:sz w:val="18"/>
                <w:szCs w:val="18"/>
              </w:rPr>
              <w:t>7</w:t>
            </w:r>
          </w:p>
        </w:tc>
        <w:tc>
          <w:tcPr>
            <w:tcW w:w="1600" w:type="dxa"/>
          </w:tcPr>
          <w:p w14:paraId="0D3BB8F6" w14:textId="77777777" w:rsidR="005756D6" w:rsidRDefault="005756D6" w:rsidP="00EC3D61">
            <w:pPr>
              <w:jc w:val="center"/>
            </w:pPr>
            <w:r>
              <w:rPr>
                <w:sz w:val="18"/>
                <w:szCs w:val="18"/>
              </w:rPr>
              <w:t>5,9%</w:t>
            </w:r>
          </w:p>
        </w:tc>
      </w:tr>
      <w:tr w:rsidR="005756D6" w14:paraId="18679E30" w14:textId="77777777" w:rsidTr="00AC5F06">
        <w:tc>
          <w:tcPr>
            <w:tcW w:w="3964" w:type="dxa"/>
          </w:tcPr>
          <w:p w14:paraId="1A04FB3F" w14:textId="77777777" w:rsidR="005756D6" w:rsidRDefault="005756D6" w:rsidP="00EC3D61">
            <w:r>
              <w:rPr>
                <w:sz w:val="18"/>
                <w:szCs w:val="18"/>
              </w:rPr>
              <w:t>Petróleo, Gás e Biocombustíveis</w:t>
            </w:r>
          </w:p>
        </w:tc>
        <w:tc>
          <w:tcPr>
            <w:tcW w:w="1600" w:type="dxa"/>
          </w:tcPr>
          <w:p w14:paraId="4C276917" w14:textId="77777777" w:rsidR="005756D6" w:rsidRDefault="005756D6" w:rsidP="00EC3D61">
            <w:pPr>
              <w:jc w:val="center"/>
            </w:pPr>
            <w:r>
              <w:rPr>
                <w:sz w:val="18"/>
                <w:szCs w:val="18"/>
              </w:rPr>
              <w:t>5</w:t>
            </w:r>
          </w:p>
        </w:tc>
        <w:tc>
          <w:tcPr>
            <w:tcW w:w="1600" w:type="dxa"/>
          </w:tcPr>
          <w:p w14:paraId="1EF782F4" w14:textId="77777777" w:rsidR="005756D6" w:rsidRDefault="005756D6" w:rsidP="00EC3D61">
            <w:pPr>
              <w:jc w:val="center"/>
            </w:pPr>
            <w:r>
              <w:rPr>
                <w:sz w:val="18"/>
                <w:szCs w:val="18"/>
              </w:rPr>
              <w:t>4,2%</w:t>
            </w:r>
          </w:p>
        </w:tc>
      </w:tr>
      <w:tr w:rsidR="005756D6" w14:paraId="6838691E" w14:textId="77777777" w:rsidTr="00AC5F06">
        <w:tc>
          <w:tcPr>
            <w:tcW w:w="3964" w:type="dxa"/>
          </w:tcPr>
          <w:p w14:paraId="5A2C5F38" w14:textId="77777777" w:rsidR="005756D6" w:rsidRDefault="005756D6" w:rsidP="00EC3D61">
            <w:r>
              <w:rPr>
                <w:sz w:val="18"/>
                <w:szCs w:val="18"/>
              </w:rPr>
              <w:t>Saúde</w:t>
            </w:r>
          </w:p>
        </w:tc>
        <w:tc>
          <w:tcPr>
            <w:tcW w:w="1600" w:type="dxa"/>
          </w:tcPr>
          <w:p w14:paraId="734DC1A1" w14:textId="77777777" w:rsidR="005756D6" w:rsidRDefault="005756D6" w:rsidP="00EC3D61">
            <w:pPr>
              <w:jc w:val="center"/>
            </w:pPr>
            <w:r>
              <w:rPr>
                <w:sz w:val="18"/>
                <w:szCs w:val="18"/>
              </w:rPr>
              <w:t>5</w:t>
            </w:r>
          </w:p>
        </w:tc>
        <w:tc>
          <w:tcPr>
            <w:tcW w:w="1600" w:type="dxa"/>
          </w:tcPr>
          <w:p w14:paraId="090A38F9" w14:textId="77777777" w:rsidR="005756D6" w:rsidRDefault="005756D6" w:rsidP="00EC3D61">
            <w:pPr>
              <w:jc w:val="center"/>
            </w:pPr>
            <w:r>
              <w:rPr>
                <w:sz w:val="18"/>
                <w:szCs w:val="18"/>
              </w:rPr>
              <w:t>4,2%</w:t>
            </w:r>
          </w:p>
        </w:tc>
      </w:tr>
      <w:tr w:rsidR="005756D6" w14:paraId="4F4896C3" w14:textId="77777777" w:rsidTr="00AC5F06">
        <w:tc>
          <w:tcPr>
            <w:tcW w:w="3964" w:type="dxa"/>
          </w:tcPr>
          <w:p w14:paraId="57259ABC" w14:textId="77777777" w:rsidR="005756D6" w:rsidRDefault="005756D6" w:rsidP="00EC3D61">
            <w:r>
              <w:rPr>
                <w:sz w:val="18"/>
                <w:szCs w:val="18"/>
              </w:rPr>
              <w:t>Tecnologia da Informação</w:t>
            </w:r>
          </w:p>
        </w:tc>
        <w:tc>
          <w:tcPr>
            <w:tcW w:w="1600" w:type="dxa"/>
          </w:tcPr>
          <w:p w14:paraId="58ADFB48" w14:textId="77777777" w:rsidR="005756D6" w:rsidRDefault="005756D6" w:rsidP="00EC3D61">
            <w:pPr>
              <w:jc w:val="center"/>
            </w:pPr>
            <w:r>
              <w:rPr>
                <w:sz w:val="18"/>
                <w:szCs w:val="18"/>
              </w:rPr>
              <w:t>4</w:t>
            </w:r>
          </w:p>
        </w:tc>
        <w:tc>
          <w:tcPr>
            <w:tcW w:w="1600" w:type="dxa"/>
          </w:tcPr>
          <w:p w14:paraId="258DE2F5" w14:textId="77777777" w:rsidR="005756D6" w:rsidRDefault="005756D6" w:rsidP="00EC3D61">
            <w:pPr>
              <w:jc w:val="center"/>
            </w:pPr>
            <w:r>
              <w:rPr>
                <w:sz w:val="18"/>
                <w:szCs w:val="18"/>
              </w:rPr>
              <w:t>3,4%</w:t>
            </w:r>
          </w:p>
        </w:tc>
      </w:tr>
      <w:tr w:rsidR="005756D6" w14:paraId="2E033A27" w14:textId="77777777" w:rsidTr="00AC5F06">
        <w:tc>
          <w:tcPr>
            <w:tcW w:w="3964" w:type="dxa"/>
          </w:tcPr>
          <w:p w14:paraId="2ECC94CD" w14:textId="77777777" w:rsidR="005756D6" w:rsidRDefault="005756D6" w:rsidP="00EC3D61">
            <w:r>
              <w:rPr>
                <w:b/>
                <w:bCs/>
                <w:sz w:val="18"/>
                <w:szCs w:val="18"/>
              </w:rPr>
              <w:t>Total</w:t>
            </w:r>
          </w:p>
        </w:tc>
        <w:tc>
          <w:tcPr>
            <w:tcW w:w="1600" w:type="dxa"/>
          </w:tcPr>
          <w:p w14:paraId="79754DC4" w14:textId="77777777" w:rsidR="005756D6" w:rsidRDefault="005756D6" w:rsidP="00EC3D61">
            <w:pPr>
              <w:jc w:val="center"/>
            </w:pPr>
            <w:r>
              <w:rPr>
                <w:b/>
                <w:bCs/>
                <w:sz w:val="18"/>
                <w:szCs w:val="18"/>
              </w:rPr>
              <w:t>118</w:t>
            </w:r>
          </w:p>
        </w:tc>
        <w:tc>
          <w:tcPr>
            <w:tcW w:w="1600" w:type="dxa"/>
          </w:tcPr>
          <w:p w14:paraId="24355B7B" w14:textId="77777777" w:rsidR="005756D6" w:rsidRDefault="005756D6" w:rsidP="00EC3D61">
            <w:pPr>
              <w:jc w:val="center"/>
            </w:pPr>
            <w:r>
              <w:rPr>
                <w:b/>
                <w:bCs/>
                <w:sz w:val="18"/>
                <w:szCs w:val="18"/>
              </w:rPr>
              <w:t>100,0%</w:t>
            </w:r>
          </w:p>
        </w:tc>
      </w:tr>
    </w:tbl>
    <w:p w14:paraId="4CDAB40C" w14:textId="77777777" w:rsidR="005756D6" w:rsidRDefault="005756D6" w:rsidP="00AA04B3">
      <w:pPr>
        <w:spacing w:before="100" w:after="240"/>
        <w:jc w:val="center"/>
        <w:rPr>
          <w:i/>
          <w:iCs/>
          <w:sz w:val="18"/>
          <w:szCs w:val="18"/>
        </w:rPr>
      </w:pPr>
      <w:r>
        <w:rPr>
          <w:i/>
          <w:iCs/>
          <w:sz w:val="18"/>
          <w:szCs w:val="18"/>
        </w:rPr>
        <w:t>Fonte: elaboração própria, a partir de dados da Economatica e da classificação setorial da B3.</w:t>
      </w:r>
    </w:p>
    <w:p w14:paraId="06145326" w14:textId="77777777" w:rsidR="00AA04B3" w:rsidRDefault="00AA04B3" w:rsidP="00AA04B3">
      <w:pPr>
        <w:spacing w:before="100" w:after="240"/>
        <w:jc w:val="center"/>
      </w:pPr>
    </w:p>
    <w:p w14:paraId="422A7EB5" w14:textId="171F1736" w:rsidR="00AA04B3" w:rsidRPr="00AA04B3" w:rsidRDefault="00AA04B3" w:rsidP="00AA04B3">
      <w:pPr>
        <w:pStyle w:val="Legenda"/>
        <w:keepNext/>
        <w:jc w:val="center"/>
        <w:rPr>
          <w:rFonts w:ascii="Times New Roman" w:hAnsi="Times New Roman" w:cs="Times New Roman"/>
          <w:i w:val="0"/>
          <w:iCs w:val="0"/>
          <w:color w:val="auto"/>
          <w:sz w:val="22"/>
          <w:szCs w:val="22"/>
        </w:rPr>
      </w:pPr>
      <w:r>
        <w:rPr>
          <w:rFonts w:ascii="Times New Roman" w:hAnsi="Times New Roman" w:cs="Times New Roman"/>
          <w:i w:val="0"/>
          <w:iCs w:val="0"/>
          <w:color w:val="auto"/>
          <w:sz w:val="22"/>
          <w:szCs w:val="22"/>
        </w:rPr>
        <w:t xml:space="preserve">Tabela </w:t>
        <w:fldChar w:fldCharType="begin"/>
        <w:instrText xml:space="preserve"> SEQ Tabela \* ARABIC </w:instrText>
        <w:fldChar w:fldCharType="separate"/>
      </w:r>
      <w:r>
        <w:rPr>
          <w:rFonts w:ascii="Times New Roman" w:hAnsi="Times New Roman" w:cs="Times New Roman"/>
          <w:i w:val="0"/>
          <w:iCs w:val="0"/>
          <w:noProof/>
          <w:color w:val="auto"/>
          <w:sz w:val="22"/>
          <w:szCs w:val="22"/>
        </w:rPr>
        <w:t>15</w:t>
      </w:r>
      <w:r>
        <w:rPr>
          <w:rFonts w:ascii="Times New Roman" w:hAnsi="Times New Roman" w:cs="Times New Roman"/>
          <w:i w:val="0"/>
          <w:iCs w:val="0"/>
          <w:color w:val="auto"/>
          <w:sz w:val="22"/>
          <w:szCs w:val="22"/>
        </w:rPr>
        <w:fldChar w:fldCharType="end"/>
        <w:t xml:space="preserve"> -Relação Completa dos Ativos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180"/>
        <w:gridCol w:w="4438"/>
        <w:gridCol w:w="2400"/>
      </w:tblGrid>
      <w:tr w:rsidR="005756D6" w14:paraId="7137EB8A" w14:textId="77777777" w:rsidTr="00EC3D61">
        <w:tblPrEx>
          <w:tblCellMar>
            <w:top w:w="0" w:type="dxa"/>
            <w:bottom w:w="0" w:type="dxa"/>
          </w:tblCellMar>
        </w:tblPrEx>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3735D1BC" w14:textId="77777777" w:rsidR="005756D6" w:rsidRDefault="005756D6" w:rsidP="00EC3D61">
            <w:pPr>
              <w:jc w:val="center"/>
            </w:pPr>
            <w:r>
              <w:rPr>
                <w:b/>
                <w:bCs/>
                <w:color w:val="FFFFFF"/>
                <w:sz w:val="18"/>
                <w:szCs w:val="18"/>
              </w:rPr>
              <w:t>Posição</w:t>
            </w:r>
          </w:p>
        </w:tc>
        <w:tc>
          <w:tcPr>
            <w:tcW w:w="118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6BBE474" w14:textId="77777777" w:rsidR="005756D6" w:rsidRDefault="005756D6" w:rsidP="00EC3D61">
            <w:r>
              <w:rPr>
                <w:b/>
                <w:bCs/>
                <w:color w:val="FFFFFF"/>
                <w:sz w:val="18"/>
                <w:szCs w:val="18"/>
              </w:rPr>
              <w:t>Ticker</w:t>
            </w:r>
          </w:p>
        </w:tc>
        <w:tc>
          <w:tcPr>
            <w:tcW w:w="4438"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1137F0BD" w14:textId="77777777" w:rsidR="005756D6" w:rsidRDefault="005756D6" w:rsidP="00EC3D61">
            <w:r>
              <w:rPr>
                <w:b/>
                <w:bCs/>
                <w:color w:val="FFFFFF"/>
                <w:sz w:val="18"/>
                <w:szCs w:val="18"/>
              </w:rPr>
              <w:t>Nome da Empresa</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40" w:type="dxa"/>
              <w:left w:w="100" w:type="dxa"/>
              <w:bottom w:w="40" w:type="dxa"/>
              <w:right w:w="100" w:type="dxa"/>
            </w:tcMar>
          </w:tcPr>
          <w:p w14:paraId="2A1B37C9" w14:textId="77777777" w:rsidR="005756D6" w:rsidRDefault="005756D6" w:rsidP="00EC3D61">
            <w:r>
              <w:rPr>
                <w:b/>
                <w:bCs/>
                <w:color w:val="FFFFFF"/>
                <w:sz w:val="18"/>
                <w:szCs w:val="18"/>
              </w:rPr>
              <w:t>Setor (B3)</w:t>
            </w:r>
          </w:p>
        </w:tc>
      </w:tr>
      <w:tr w:rsidR="005756D6" w14:paraId="7FC1550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3FEF4" w14:textId="77777777" w:rsidR="005756D6" w:rsidRDefault="005756D6" w:rsidP="00EC3D61">
            <w:pPr>
              <w:jc w:val="center"/>
            </w:pPr>
            <w:r>
              <w:rPr>
                <w:sz w:val="18"/>
                <w:szCs w:val="18"/>
              </w:rPr>
              <w:t>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6886D1" w14:textId="77777777" w:rsidR="005756D6" w:rsidRDefault="005756D6" w:rsidP="00EC3D61">
            <w:r>
              <w:rPr>
                <w:sz w:val="18"/>
                <w:szCs w:val="18"/>
              </w:rPr>
              <w:t>ABCB4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08F843" w14:textId="77777777" w:rsidR="005756D6" w:rsidRDefault="005756D6" w:rsidP="00EC3D61">
            <w:r>
              <w:rPr>
                <w:sz w:val="18"/>
                <w:szCs w:val="18"/>
              </w:rPr>
              <w:t>Banco ABC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28F164" w14:textId="77777777" w:rsidR="005756D6" w:rsidRDefault="005756D6" w:rsidP="00EC3D61">
            <w:r>
              <w:rPr>
                <w:sz w:val="18"/>
                <w:szCs w:val="18"/>
              </w:rPr>
              <w:t>Financeiro</w:t>
            </w:r>
          </w:p>
        </w:tc>
      </w:tr>
      <w:tr w:rsidR="005756D6" w14:paraId="0A3F42B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E6F2BD" w14:textId="77777777" w:rsidR="005756D6" w:rsidRDefault="005756D6" w:rsidP="00EC3D61">
            <w:pPr>
              <w:jc w:val="center"/>
            </w:pPr>
            <w:r>
              <w:rPr>
                <w:sz w:val="18"/>
                <w:szCs w:val="18"/>
              </w:rPr>
              <w:t>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FAFB60" w14:textId="77777777" w:rsidR="005756D6" w:rsidRDefault="005756D6" w:rsidP="00EC3D61">
            <w:r>
              <w:rPr>
                <w:sz w:val="18"/>
                <w:szCs w:val="18"/>
              </w:rPr>
              <w:t>ABEV3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8A6CFD" w14:textId="77777777" w:rsidR="005756D6" w:rsidRDefault="005756D6" w:rsidP="00EC3D61">
            <w:r>
              <w:rPr>
                <w:sz w:val="18"/>
                <w:szCs w:val="18"/>
              </w:rPr>
              <w:t>Ambev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83FAF4" w14:textId="77777777" w:rsidR="005756D6" w:rsidRDefault="005756D6" w:rsidP="00EC3D61">
            <w:r>
              <w:rPr>
                <w:sz w:val="18"/>
                <w:szCs w:val="18"/>
              </w:rPr>
              <w:t>Consumo Não Cíclico</w:t>
            </w:r>
          </w:p>
        </w:tc>
      </w:tr>
      <w:tr w:rsidR="005756D6" w14:paraId="1A12F81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EEA19F" w14:textId="77777777" w:rsidR="005756D6" w:rsidRDefault="005756D6" w:rsidP="00EC3D61">
            <w:pPr>
              <w:jc w:val="center"/>
            </w:pPr>
            <w:r>
              <w:rPr>
                <w:sz w:val="18"/>
                <w:szCs w:val="18"/>
              </w:rPr>
              <w:t>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B2D5F" w14:textId="77777777" w:rsidR="005756D6" w:rsidRDefault="005756D6" w:rsidP="00EC3D61">
            <w:r>
              <w:rPr>
                <w:sz w:val="18"/>
                <w:szCs w:val="18"/>
              </w:rPr>
              <w:t>AGRO3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C882D6" w14:textId="77777777" w:rsidR="005756D6" w:rsidRDefault="005756D6" w:rsidP="00EC3D61">
            <w:r>
              <w:rPr>
                <w:sz w:val="18"/>
                <w:szCs w:val="18"/>
              </w:rPr>
              <w:t>BrasilAgro – Cia Brasileira de Propriedades Agrícolas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4FFFBD" w14:textId="77777777" w:rsidR="005756D6" w:rsidRDefault="005756D6" w:rsidP="00EC3D61">
            <w:r>
              <w:rPr>
                <w:sz w:val="18"/>
                <w:szCs w:val="18"/>
              </w:rPr>
              <w:t>Consumo Não Cíclico</w:t>
            </w:r>
          </w:p>
        </w:tc>
      </w:tr>
      <w:tr w:rsidR="005756D6" w14:paraId="22AF758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C52D13" w14:textId="77777777" w:rsidR="005756D6" w:rsidRDefault="005756D6" w:rsidP="00EC3D61">
            <w:pPr>
              <w:jc w:val="center"/>
            </w:pPr>
            <w:r>
              <w:rPr>
                <w:sz w:val="18"/>
                <w:szCs w:val="18"/>
              </w:rPr>
              <w:t>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5F291C" w14:textId="77777777" w:rsidR="005756D6" w:rsidRDefault="005756D6" w:rsidP="00EC3D61">
            <w:r>
              <w:rPr>
                <w:sz w:val="18"/>
                <w:szCs w:val="18"/>
              </w:rPr>
              <w:t>ALPA4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B91701" w14:textId="77777777" w:rsidR="005756D6" w:rsidRDefault="005756D6" w:rsidP="00EC3D61">
            <w:r>
              <w:rPr>
                <w:sz w:val="18"/>
                <w:szCs w:val="18"/>
              </w:rPr>
              <w:t>Alpargatas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3B43058" w14:textId="77777777" w:rsidR="005756D6" w:rsidRDefault="005756D6" w:rsidP="00EC3D61">
            <w:r>
              <w:rPr>
                <w:sz w:val="18"/>
                <w:szCs w:val="18"/>
              </w:rPr>
              <w:t>Consumo Cíclico</w:t>
            </w:r>
          </w:p>
        </w:tc>
      </w:tr>
      <w:tr w:rsidR="005756D6" w14:paraId="1233B7E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3CF33E" w14:textId="77777777" w:rsidR="005756D6" w:rsidRDefault="005756D6" w:rsidP="00EC3D61">
            <w:pPr>
              <w:jc w:val="center"/>
            </w:pPr>
            <w:r>
              <w:rPr>
                <w:sz w:val="18"/>
                <w:szCs w:val="18"/>
              </w:rPr>
              <w:t>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D4C6FA1" w14:textId="77777777" w:rsidR="005756D6" w:rsidRDefault="005756D6" w:rsidP="00EC3D61">
            <w:r>
              <w:rPr>
                <w:sz w:val="18"/>
                <w:szCs w:val="18"/>
              </w:rPr>
              <w:t>AMAR3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637915" w14:textId="77777777" w:rsidR="005756D6" w:rsidRDefault="005756D6" w:rsidP="00EC3D61">
            <w:r>
              <w:rPr>
                <w:sz w:val="18"/>
                <w:szCs w:val="18"/>
              </w:rPr>
              <w:t>Marisa Lojas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2915BD" w14:textId="77777777" w:rsidR="005756D6" w:rsidRDefault="005756D6" w:rsidP="00EC3D61">
            <w:r>
              <w:rPr>
                <w:sz w:val="18"/>
                <w:szCs w:val="18"/>
              </w:rPr>
              <w:t>Consumo Cíclico</w:t>
            </w:r>
          </w:p>
        </w:tc>
      </w:tr>
      <w:tr w:rsidR="005756D6" w14:paraId="7C2FEF7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239E6A" w14:textId="77777777" w:rsidR="005756D6" w:rsidRDefault="005756D6" w:rsidP="00EC3D61">
            <w:pPr>
              <w:jc w:val="center"/>
            </w:pPr>
            <w:r>
              <w:rPr>
                <w:sz w:val="18"/>
                <w:szCs w:val="18"/>
              </w:rPr>
              <w:t>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8145DD" w14:textId="77777777" w:rsidR="005756D6" w:rsidRDefault="005756D6" w:rsidP="00EC3D61">
            <w:r>
              <w:rPr>
                <w:sz w:val="18"/>
                <w:szCs w:val="18"/>
              </w:rPr>
              <w:t>AMER3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204B4" w14:textId="77777777" w:rsidR="005756D6" w:rsidRDefault="005756D6" w:rsidP="00EC3D61">
            <w:r>
              <w:rPr>
                <w:sz w:val="18"/>
                <w:szCs w:val="18"/>
              </w:rPr>
              <w:t>Americanas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5B49ED" w14:textId="77777777" w:rsidR="005756D6" w:rsidRDefault="005756D6" w:rsidP="00EC3D61">
            <w:r>
              <w:rPr>
                <w:sz w:val="18"/>
                <w:szCs w:val="18"/>
              </w:rPr>
              <w:t>Consumo Cíclico</w:t>
            </w:r>
          </w:p>
        </w:tc>
      </w:tr>
      <w:tr w:rsidR="005756D6" w14:paraId="6D7B42C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01ED43" w14:textId="77777777" w:rsidR="005756D6" w:rsidRDefault="005756D6" w:rsidP="00EC3D61">
            <w:pPr>
              <w:jc w:val="center"/>
            </w:pPr>
            <w:r>
              <w:rPr>
                <w:sz w:val="18"/>
                <w:szCs w:val="18"/>
              </w:rPr>
              <w:t>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F7FF21" w14:textId="77777777" w:rsidR="005756D6" w:rsidRDefault="005756D6" w:rsidP="00EC3D61">
            <w:r>
              <w:rPr>
                <w:sz w:val="18"/>
                <w:szCs w:val="18"/>
              </w:rPr>
              <w:t>AXIA3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035C06"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0D26" w14:textId="77777777" w:rsidR="005756D6" w:rsidRDefault="005756D6" w:rsidP="00EC3D61">
            <w:r>
              <w:rPr>
                <w:sz w:val="18"/>
                <w:szCs w:val="18"/>
              </w:rPr>
              <w:t>Utilidade Pública</w:t>
            </w:r>
          </w:p>
        </w:tc>
      </w:tr>
      <w:tr w:rsidR="005756D6" w14:paraId="3D59754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BD62D9" w14:textId="77777777" w:rsidR="005756D6" w:rsidRDefault="005756D6" w:rsidP="00EC3D61">
            <w:pPr>
              <w:jc w:val="center"/>
            </w:pPr>
            <w:r>
              <w:rPr>
                <w:sz w:val="18"/>
                <w:szCs w:val="18"/>
              </w:rPr>
              <w:t>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85EC3B" w14:textId="77777777" w:rsidR="005756D6" w:rsidRDefault="005756D6" w:rsidP="00EC3D61">
            <w:r>
              <w:rPr>
                <w:sz w:val="18"/>
                <w:szCs w:val="18"/>
              </w:rPr>
              <w:t>AXIA6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C485A0" w14:textId="77777777" w:rsidR="005756D6" w:rsidRDefault="005756D6" w:rsidP="00EC3D61">
            <w:r>
              <w:rPr>
                <w:sz w:val="18"/>
                <w:szCs w:val="18"/>
              </w:rPr>
              <w:t>Companhia de Participações Aliança da Bahia*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471E12" w14:textId="77777777" w:rsidR="005756D6" w:rsidRDefault="005756D6" w:rsidP="00EC3D61">
            <w:r>
              <w:rPr>
                <w:sz w:val="18"/>
                <w:szCs w:val="18"/>
              </w:rPr>
              <w:t>Utilidade Pública</w:t>
            </w:r>
          </w:p>
        </w:tc>
      </w:tr>
      <w:tr w:rsidR="005756D6" w14:paraId="3FAC462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F5DFDE" w14:textId="77777777" w:rsidR="005756D6" w:rsidRDefault="005756D6" w:rsidP="00EC3D61">
            <w:pPr>
              <w:jc w:val="center"/>
            </w:pPr>
            <w:r>
              <w:rPr>
                <w:sz w:val="18"/>
                <w:szCs w:val="18"/>
              </w:rPr>
              <w:t>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29A19C6" w14:textId="77777777" w:rsidR="005756D6" w:rsidRDefault="005756D6" w:rsidP="00EC3D61">
            <w:r>
              <w:rPr>
                <w:sz w:val="18"/>
                <w:szCs w:val="18"/>
              </w:rPr>
              <w:t>B3SA3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DB7767" w14:textId="77777777" w:rsidR="005756D6" w:rsidRDefault="005756D6" w:rsidP="00EC3D61">
            <w:r>
              <w:rPr>
                <w:sz w:val="18"/>
                <w:szCs w:val="18"/>
              </w:rPr>
              <w:t>B3 S.A. – Brasil, Bolsa, Balcão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A808648" w14:textId="77777777" w:rsidR="005756D6" w:rsidRDefault="005756D6" w:rsidP="00EC3D61">
            <w:r>
              <w:rPr>
                <w:sz w:val="18"/>
                <w:szCs w:val="18"/>
              </w:rPr>
              <w:t>Financeiro</w:t>
            </w:r>
          </w:p>
        </w:tc>
      </w:tr>
      <w:tr w:rsidR="005756D6" w14:paraId="274FD6D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0C49BE" w14:textId="77777777" w:rsidR="005756D6" w:rsidRDefault="005756D6" w:rsidP="00EC3D61">
            <w:pPr>
              <w:jc w:val="center"/>
            </w:pPr>
            <w:r>
              <w:rPr>
                <w:sz w:val="18"/>
                <w:szCs w:val="18"/>
              </w:rPr>
              <w:t>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75D65E" w14:textId="77777777" w:rsidR="005756D6" w:rsidRDefault="005756D6" w:rsidP="00EC3D61">
            <w:r>
              <w:rPr>
                <w:sz w:val="18"/>
                <w:szCs w:val="18"/>
              </w:rPr>
              <w:t>BBAS3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AD8D8B" w14:textId="77777777" w:rsidR="005756D6" w:rsidRDefault="005756D6" w:rsidP="00EC3D61">
            <w:r>
              <w:rPr>
                <w:sz w:val="18"/>
                <w:szCs w:val="18"/>
              </w:rPr>
              <w:t>Banco do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11BEC96" w14:textId="77777777" w:rsidR="005756D6" w:rsidRDefault="005756D6" w:rsidP="00EC3D61">
            <w:r>
              <w:rPr>
                <w:sz w:val="18"/>
                <w:szCs w:val="18"/>
              </w:rPr>
              <w:t>Financeiro</w:t>
            </w:r>
          </w:p>
        </w:tc>
      </w:tr>
      <w:tr w:rsidR="005756D6" w14:paraId="55FBECA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CF2A1BF" w14:textId="77777777" w:rsidR="005756D6" w:rsidRDefault="005756D6" w:rsidP="00EC3D61">
            <w:pPr>
              <w:jc w:val="center"/>
            </w:pPr>
            <w:r>
              <w:rPr>
                <w:sz w:val="18"/>
                <w:szCs w:val="18"/>
              </w:rPr>
              <w:t>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33E9FA" w14:textId="77777777" w:rsidR="005756D6" w:rsidRDefault="005756D6" w:rsidP="00EC3D61">
            <w:r>
              <w:rPr>
                <w:sz w:val="18"/>
                <w:szCs w:val="18"/>
              </w:rPr>
              <w:t>BBDC3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A3E5DA"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B5A15A" w14:textId="77777777" w:rsidR="005756D6" w:rsidRDefault="005756D6" w:rsidP="00EC3D61">
            <w:r>
              <w:rPr>
                <w:sz w:val="18"/>
                <w:szCs w:val="18"/>
              </w:rPr>
              <w:t>Financeiro</w:t>
            </w:r>
          </w:p>
        </w:tc>
      </w:tr>
      <w:tr w:rsidR="005756D6" w14:paraId="34C6F47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CB1F51E" w14:textId="77777777" w:rsidR="005756D6" w:rsidRDefault="005756D6" w:rsidP="00EC3D61">
            <w:pPr>
              <w:jc w:val="center"/>
            </w:pPr>
            <w:r>
              <w:rPr>
                <w:sz w:val="18"/>
                <w:szCs w:val="18"/>
              </w:rPr>
              <w:t>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1559D1" w14:textId="77777777" w:rsidR="005756D6" w:rsidRDefault="005756D6" w:rsidP="00EC3D61">
            <w:r>
              <w:rPr>
                <w:sz w:val="18"/>
                <w:szCs w:val="18"/>
              </w:rPr>
              <w:t>BBDC4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8235934" w14:textId="77777777" w:rsidR="005756D6" w:rsidRDefault="005756D6" w:rsidP="00EC3D61">
            <w:r>
              <w:rPr>
                <w:sz w:val="18"/>
                <w:szCs w:val="18"/>
              </w:rPr>
              <w:t>Banco Bradesco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21F528" w14:textId="77777777" w:rsidR="005756D6" w:rsidRDefault="005756D6" w:rsidP="00EC3D61">
            <w:r>
              <w:rPr>
                <w:sz w:val="18"/>
                <w:szCs w:val="18"/>
              </w:rPr>
              <w:t>Financeiro</w:t>
            </w:r>
          </w:p>
        </w:tc>
      </w:tr>
      <w:tr w:rsidR="005756D6" w14:paraId="7F41922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F9E745E" w14:textId="77777777" w:rsidR="005756D6" w:rsidRDefault="005756D6" w:rsidP="00EC3D61">
            <w:pPr>
              <w:jc w:val="center"/>
            </w:pPr>
            <w:r>
              <w:rPr>
                <w:sz w:val="18"/>
                <w:szCs w:val="18"/>
              </w:rPr>
              <w:t>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E317E3" w14:textId="77777777" w:rsidR="005756D6" w:rsidRDefault="005756D6" w:rsidP="00EC3D61">
            <w:r>
              <w:rPr>
                <w:sz w:val="18"/>
                <w:szCs w:val="18"/>
              </w:rPr>
              <w:t>BEEF3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181BDB" w14:textId="77777777" w:rsidR="005756D6" w:rsidRDefault="005756D6" w:rsidP="00EC3D61">
            <w:r>
              <w:rPr>
                <w:sz w:val="18"/>
                <w:szCs w:val="18"/>
              </w:rPr>
              <w:t>Minerva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F189D5" w14:textId="77777777" w:rsidR="005756D6" w:rsidRDefault="005756D6" w:rsidP="00EC3D61">
            <w:r>
              <w:rPr>
                <w:sz w:val="18"/>
                <w:szCs w:val="18"/>
              </w:rPr>
              <w:t>Consumo Não Cíclico</w:t>
            </w:r>
          </w:p>
        </w:tc>
      </w:tr>
      <w:tr w:rsidR="005756D6" w14:paraId="72F1BF0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10A4F" w14:textId="77777777" w:rsidR="005756D6" w:rsidRDefault="005756D6" w:rsidP="00EC3D61">
            <w:pPr>
              <w:jc w:val="center"/>
            </w:pPr>
            <w:r>
              <w:rPr>
                <w:sz w:val="18"/>
                <w:szCs w:val="18"/>
              </w:rPr>
              <w:t>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4454342" w14:textId="77777777" w:rsidR="005756D6" w:rsidRDefault="005756D6" w:rsidP="00EC3D61">
            <w:r>
              <w:rPr>
                <w:sz w:val="18"/>
                <w:szCs w:val="18"/>
              </w:rPr>
              <w:t>BRAP4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31E42F" w14:textId="77777777" w:rsidR="005756D6" w:rsidRDefault="005756D6" w:rsidP="00EC3D61">
            <w:r>
              <w:rPr>
                <w:sz w:val="18"/>
                <w:szCs w:val="18"/>
              </w:rPr>
              <w:t>Bradespar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0BDB88" w14:textId="77777777" w:rsidR="005756D6" w:rsidRDefault="005756D6" w:rsidP="00EC3D61">
            <w:r>
              <w:rPr>
                <w:sz w:val="18"/>
                <w:szCs w:val="18"/>
              </w:rPr>
              <w:t>Materiais Básicos</w:t>
            </w:r>
          </w:p>
        </w:tc>
      </w:tr>
      <w:tr w:rsidR="005756D6" w14:paraId="61A1415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3977F5" w14:textId="77777777" w:rsidR="005756D6" w:rsidRDefault="005756D6" w:rsidP="00EC3D61">
            <w:pPr>
              <w:jc w:val="center"/>
            </w:pPr>
            <w:r>
              <w:rPr>
                <w:sz w:val="18"/>
                <w:szCs w:val="18"/>
              </w:rPr>
              <w:t>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BBCFBE" w14:textId="77777777" w:rsidR="005756D6" w:rsidRDefault="005756D6" w:rsidP="00EC3D61">
            <w:r>
              <w:rPr>
                <w:sz w:val="18"/>
                <w:szCs w:val="18"/>
              </w:rPr>
              <w:t>BRKM5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D686B" w14:textId="77777777" w:rsidR="005756D6" w:rsidRDefault="005756D6" w:rsidP="00EC3D61">
            <w:r>
              <w:rPr>
                <w:sz w:val="18"/>
                <w:szCs w:val="18"/>
              </w:rPr>
              <w:t>Braskem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3B93C9" w14:textId="77777777" w:rsidR="005756D6" w:rsidRDefault="005756D6" w:rsidP="00EC3D61">
            <w:r>
              <w:rPr>
                <w:sz w:val="18"/>
                <w:szCs w:val="18"/>
              </w:rPr>
              <w:t>Materiais Básicos</w:t>
            </w:r>
          </w:p>
        </w:tc>
      </w:tr>
      <w:tr w:rsidR="005756D6" w14:paraId="2E8D5D0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55613C" w14:textId="77777777" w:rsidR="005756D6" w:rsidRDefault="005756D6" w:rsidP="00EC3D61">
            <w:pPr>
              <w:jc w:val="center"/>
            </w:pPr>
            <w:r>
              <w:rPr>
                <w:sz w:val="18"/>
                <w:szCs w:val="18"/>
              </w:rPr>
              <w:t>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7FE31C" w14:textId="77777777" w:rsidR="005756D6" w:rsidRDefault="005756D6" w:rsidP="00EC3D61">
            <w:r>
              <w:rPr>
                <w:sz w:val="18"/>
                <w:szCs w:val="18"/>
              </w:rPr>
              <w:t>BRSR6</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538785F" w14:textId="77777777" w:rsidR="005756D6" w:rsidRDefault="005756D6" w:rsidP="00EC3D61">
            <w:r>
              <w:rPr>
                <w:sz w:val="18"/>
                <w:szCs w:val="18"/>
              </w:rPr>
              <w:t>Banco do Estado do Rio Grande do Sul S.A. – Banrisul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6EC521" w14:textId="77777777" w:rsidR="005756D6" w:rsidRDefault="005756D6" w:rsidP="00EC3D61">
            <w:r>
              <w:rPr>
                <w:sz w:val="18"/>
                <w:szCs w:val="18"/>
              </w:rPr>
              <w:t>Financeiro</w:t>
            </w:r>
          </w:p>
        </w:tc>
      </w:tr>
      <w:tr w:rsidR="005756D6" w14:paraId="0DDC250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37A24E" w14:textId="77777777" w:rsidR="005756D6" w:rsidRDefault="005756D6" w:rsidP="00EC3D61">
            <w:pPr>
              <w:jc w:val="center"/>
            </w:pPr>
            <w:r>
              <w:rPr>
                <w:sz w:val="18"/>
                <w:szCs w:val="18"/>
              </w:rPr>
              <w:t>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5A30FF" w14:textId="77777777" w:rsidR="005756D6" w:rsidRDefault="005756D6" w:rsidP="00EC3D61">
            <w:r>
              <w:rPr>
                <w:sz w:val="18"/>
                <w:szCs w:val="18"/>
              </w:rPr>
              <w:t>CGAS5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169C5A" w14:textId="77777777" w:rsidR="005756D6" w:rsidRDefault="005756D6" w:rsidP="00EC3D61">
            <w:r>
              <w:rPr>
                <w:sz w:val="18"/>
                <w:szCs w:val="18"/>
              </w:rPr>
              <w:t>Companhia de Gás de São Paulo – COMGÁS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A78F857" w14:textId="77777777" w:rsidR="005756D6" w:rsidRDefault="005756D6" w:rsidP="00EC3D61">
            <w:r>
              <w:rPr>
                <w:sz w:val="18"/>
                <w:szCs w:val="18"/>
              </w:rPr>
              <w:t>Utilidade Pública</w:t>
            </w:r>
          </w:p>
        </w:tc>
      </w:tr>
      <w:tr w:rsidR="005756D6" w14:paraId="1B1C315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856E76" w14:textId="77777777" w:rsidR="005756D6" w:rsidRDefault="005756D6" w:rsidP="00EC3D61">
            <w:pPr>
              <w:jc w:val="center"/>
            </w:pPr>
            <w:r>
              <w:rPr>
                <w:sz w:val="18"/>
                <w:szCs w:val="18"/>
              </w:rPr>
              <w:t>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EB7472" w14:textId="77777777" w:rsidR="005756D6" w:rsidRDefault="005756D6" w:rsidP="00EC3D61">
            <w:r>
              <w:rPr>
                <w:sz w:val="18"/>
                <w:szCs w:val="18"/>
              </w:rPr>
              <w:t>CLSC4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DEE926" w14:textId="77777777" w:rsidR="005756D6" w:rsidRDefault="005756D6" w:rsidP="00EC3D61">
            <w:r>
              <w:rPr>
                <w:sz w:val="18"/>
                <w:szCs w:val="18"/>
              </w:rPr>
              <w:t>Centrais Elétricas de Santa Catarina S.A. – CELESC</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FA2FEF8" w14:textId="77777777" w:rsidR="005756D6" w:rsidRDefault="005756D6" w:rsidP="00EC3D61">
            <w:r>
              <w:rPr>
                <w:sz w:val="18"/>
                <w:szCs w:val="18"/>
              </w:rPr>
              <w:t>Utilidade Pública</w:t>
            </w:r>
          </w:p>
        </w:tc>
      </w:tr>
      <w:tr w:rsidR="005756D6" w14:paraId="694431F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9E51EB" w14:textId="77777777" w:rsidR="005756D6" w:rsidRDefault="005756D6" w:rsidP="00EC3D61">
            <w:pPr>
              <w:jc w:val="center"/>
            </w:pPr>
            <w:r>
              <w:rPr>
                <w:sz w:val="18"/>
                <w:szCs w:val="18"/>
              </w:rPr>
              <w:t>19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BB96064" w14:textId="77777777" w:rsidR="005756D6" w:rsidRDefault="005756D6" w:rsidP="00EC3D61">
            <w:r>
              <w:rPr>
                <w:sz w:val="18"/>
                <w:szCs w:val="18"/>
              </w:rPr>
              <w:t>CMIG3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1B3A2C2"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377E2CA" w14:textId="77777777" w:rsidR="005756D6" w:rsidRDefault="005756D6" w:rsidP="00EC3D61">
            <w:r>
              <w:rPr>
                <w:sz w:val="18"/>
                <w:szCs w:val="18"/>
              </w:rPr>
              <w:t>Utilidade Pública</w:t>
            </w:r>
          </w:p>
        </w:tc>
      </w:tr>
      <w:tr w:rsidR="005756D6" w14:paraId="5A8970D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3D3DEC" w14:textId="77777777" w:rsidR="005756D6" w:rsidRDefault="005756D6" w:rsidP="00EC3D61">
            <w:pPr>
              <w:jc w:val="center"/>
            </w:pPr>
            <w:r>
              <w:rPr>
                <w:sz w:val="18"/>
                <w:szCs w:val="18"/>
              </w:rPr>
              <w:t>20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7D703B" w14:textId="77777777" w:rsidR="005756D6" w:rsidRDefault="005756D6" w:rsidP="00EC3D61">
            <w:r>
              <w:rPr>
                <w:sz w:val="18"/>
                <w:szCs w:val="18"/>
              </w:rPr>
              <w:t>CMIG4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477E0C" w14:textId="77777777" w:rsidR="005756D6" w:rsidRDefault="005756D6" w:rsidP="00EC3D61">
            <w:r>
              <w:rPr>
                <w:sz w:val="18"/>
                <w:szCs w:val="18"/>
              </w:rPr>
              <w:t>Companhia Energética de Minas Gerais – CEMIG</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BB5A71" w14:textId="77777777" w:rsidR="005756D6" w:rsidRDefault="005756D6" w:rsidP="00EC3D61">
            <w:r>
              <w:rPr>
                <w:sz w:val="18"/>
                <w:szCs w:val="18"/>
              </w:rPr>
              <w:t>Utilidade Pública</w:t>
            </w:r>
          </w:p>
        </w:tc>
      </w:tr>
      <w:tr w:rsidR="005756D6" w14:paraId="2A53249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5BB1FD4" w14:textId="77777777" w:rsidR="005756D6" w:rsidRDefault="005756D6" w:rsidP="00EC3D61">
            <w:pPr>
              <w:jc w:val="center"/>
            </w:pPr>
            <w:r>
              <w:rPr>
                <w:sz w:val="18"/>
                <w:szCs w:val="18"/>
              </w:rPr>
              <w:t>21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C0F08A" w14:textId="77777777" w:rsidR="005756D6" w:rsidRDefault="005756D6" w:rsidP="00EC3D61">
            <w:r>
              <w:rPr>
                <w:sz w:val="18"/>
                <w:szCs w:val="18"/>
              </w:rPr>
              <w:t>COCE5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D8C6E2" w14:textId="77777777" w:rsidR="005756D6" w:rsidRDefault="005756D6" w:rsidP="00EC3D61">
            <w:r>
              <w:rPr>
                <w:sz w:val="18"/>
                <w:szCs w:val="18"/>
              </w:rPr>
              <w:t>Companhia Energética do Ceará – COELCE</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152A365" w14:textId="77777777" w:rsidR="005756D6" w:rsidRDefault="005756D6" w:rsidP="00EC3D61">
            <w:r>
              <w:rPr>
                <w:sz w:val="18"/>
                <w:szCs w:val="18"/>
              </w:rPr>
              <w:t>Utilidade Pública</w:t>
            </w:r>
          </w:p>
        </w:tc>
      </w:tr>
      <w:tr w:rsidR="005756D6" w14:paraId="6D2C8787"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2B0B3D0" w14:textId="77777777" w:rsidR="005756D6" w:rsidRDefault="005756D6" w:rsidP="00EC3D61">
            <w:pPr>
              <w:jc w:val="center"/>
            </w:pPr>
            <w:r>
              <w:rPr>
                <w:sz w:val="18"/>
                <w:szCs w:val="18"/>
              </w:rPr>
              <w:t>22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F1A69" w14:textId="77777777" w:rsidR="005756D6" w:rsidRDefault="005756D6" w:rsidP="00EC3D61">
            <w:r>
              <w:rPr>
                <w:sz w:val="18"/>
                <w:szCs w:val="18"/>
              </w:rPr>
              <w:t>CPFE3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D524E7" w14:textId="77777777" w:rsidR="005756D6" w:rsidRDefault="005756D6" w:rsidP="00EC3D61">
            <w:r>
              <w:rPr>
                <w:sz w:val="18"/>
                <w:szCs w:val="18"/>
              </w:rPr>
              <w:t>CPFL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5F5AE4C" w14:textId="77777777" w:rsidR="005756D6" w:rsidRDefault="005756D6" w:rsidP="00EC3D61">
            <w:r>
              <w:rPr>
                <w:sz w:val="18"/>
                <w:szCs w:val="18"/>
              </w:rPr>
              <w:t>Utilidade Pública</w:t>
            </w:r>
          </w:p>
        </w:tc>
      </w:tr>
      <w:tr w:rsidR="005756D6" w14:paraId="14707CF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5831DD" w14:textId="77777777" w:rsidR="005756D6" w:rsidRDefault="005756D6" w:rsidP="00EC3D61">
            <w:pPr>
              <w:jc w:val="center"/>
            </w:pPr>
            <w:r>
              <w:rPr>
                <w:sz w:val="18"/>
                <w:szCs w:val="18"/>
              </w:rPr>
              <w:lastRenderedPageBreak/>
              <w:t>23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7DD3D0" w14:textId="77777777" w:rsidR="005756D6" w:rsidRDefault="005756D6" w:rsidP="00EC3D61">
            <w:r>
              <w:rPr>
                <w:sz w:val="18"/>
                <w:szCs w:val="18"/>
              </w:rPr>
              <w:t>CPLE3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03394F4" w14:textId="77777777" w:rsidR="005756D6" w:rsidRDefault="005756D6" w:rsidP="00EC3D61">
            <w:r>
              <w:rPr>
                <w:sz w:val="18"/>
                <w:szCs w:val="18"/>
              </w:rPr>
              <w:t>Companhia Paranaense de Energia – COPEL</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E60591" w14:textId="77777777" w:rsidR="005756D6" w:rsidRDefault="005756D6" w:rsidP="00EC3D61">
            <w:r>
              <w:rPr>
                <w:sz w:val="18"/>
                <w:szCs w:val="18"/>
              </w:rPr>
              <w:t>Utilidade Pública</w:t>
            </w:r>
          </w:p>
        </w:tc>
      </w:tr>
      <w:tr w:rsidR="005756D6" w14:paraId="5CB6C50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770226" w14:textId="77777777" w:rsidR="005756D6" w:rsidRDefault="005756D6" w:rsidP="00EC3D61">
            <w:pPr>
              <w:jc w:val="center"/>
            </w:pPr>
            <w:r>
              <w:rPr>
                <w:sz w:val="18"/>
                <w:szCs w:val="18"/>
              </w:rPr>
              <w:t>24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A2D4C" w14:textId="77777777" w:rsidR="005756D6" w:rsidRDefault="005756D6" w:rsidP="00EC3D61">
            <w:r>
              <w:rPr>
                <w:sz w:val="18"/>
                <w:szCs w:val="18"/>
              </w:rPr>
              <w:t>CSAN3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866A4" w14:textId="77777777" w:rsidR="005756D6" w:rsidRDefault="005756D6" w:rsidP="00EC3D61">
            <w:r>
              <w:rPr>
                <w:sz w:val="18"/>
                <w:szCs w:val="18"/>
              </w:rPr>
              <w:t>Cosan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169DF5" w14:textId="77777777" w:rsidR="005756D6" w:rsidRDefault="005756D6" w:rsidP="00EC3D61">
            <w:r>
              <w:rPr>
                <w:sz w:val="18"/>
                <w:szCs w:val="18"/>
              </w:rPr>
              <w:t>Petróleo, Gás e Biocombustíveis</w:t>
            </w:r>
          </w:p>
        </w:tc>
      </w:tr>
      <w:tr w:rsidR="005756D6" w14:paraId="20EA637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AB07AB9" w14:textId="77777777" w:rsidR="005756D6" w:rsidRDefault="005756D6" w:rsidP="00EC3D61">
            <w:pPr>
              <w:jc w:val="center"/>
            </w:pPr>
            <w:r>
              <w:rPr>
                <w:sz w:val="18"/>
                <w:szCs w:val="18"/>
              </w:rPr>
              <w:t>25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60F05D" w14:textId="77777777" w:rsidR="005756D6" w:rsidRDefault="005756D6" w:rsidP="00EC3D61">
            <w:r>
              <w:rPr>
                <w:sz w:val="18"/>
                <w:szCs w:val="18"/>
              </w:rPr>
              <w:t>CSMG3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F1DB82" w14:textId="77777777" w:rsidR="005756D6" w:rsidRDefault="005756D6" w:rsidP="00EC3D61">
            <w:r>
              <w:rPr>
                <w:sz w:val="18"/>
                <w:szCs w:val="18"/>
              </w:rPr>
              <w:t>Companhia de Saneamento de Minas Gerais – COPASA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7EB4CA" w14:textId="77777777" w:rsidR="005756D6" w:rsidRDefault="005756D6" w:rsidP="00EC3D61">
            <w:r>
              <w:rPr>
                <w:sz w:val="18"/>
                <w:szCs w:val="18"/>
              </w:rPr>
              <w:t>Utilidade Pública</w:t>
            </w:r>
          </w:p>
        </w:tc>
      </w:tr>
      <w:tr w:rsidR="005756D6" w14:paraId="4F347C7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F62A36" w14:textId="77777777" w:rsidR="005756D6" w:rsidRDefault="005756D6" w:rsidP="00EC3D61">
            <w:pPr>
              <w:jc w:val="center"/>
            </w:pPr>
            <w:r>
              <w:rPr>
                <w:sz w:val="18"/>
                <w:szCs w:val="18"/>
              </w:rPr>
              <w:t>26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BE47FD" w14:textId="77777777" w:rsidR="005756D6" w:rsidRDefault="005756D6" w:rsidP="00EC3D61">
            <w:r>
              <w:rPr>
                <w:sz w:val="18"/>
                <w:szCs w:val="18"/>
              </w:rPr>
              <w:t>CSNA3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DC7DBE" w14:textId="77777777" w:rsidR="005756D6" w:rsidRDefault="005756D6" w:rsidP="00EC3D61">
            <w:r>
              <w:rPr>
                <w:sz w:val="18"/>
                <w:szCs w:val="18"/>
              </w:rPr>
              <w:t>Companhia Siderúrgica Nacional – CSN</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D0AAC8" w14:textId="77777777" w:rsidR="005756D6" w:rsidRDefault="005756D6" w:rsidP="00EC3D61">
            <w:r>
              <w:rPr>
                <w:sz w:val="18"/>
                <w:szCs w:val="18"/>
              </w:rPr>
              <w:t>Materiais Básicos</w:t>
            </w:r>
          </w:p>
        </w:tc>
      </w:tr>
      <w:tr w:rsidR="005756D6" w14:paraId="332ECD9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6E753" w14:textId="77777777" w:rsidR="005756D6" w:rsidRDefault="005756D6" w:rsidP="00EC3D61">
            <w:pPr>
              <w:jc w:val="center"/>
            </w:pPr>
            <w:r>
              <w:rPr>
                <w:sz w:val="18"/>
                <w:szCs w:val="18"/>
              </w:rPr>
              <w:t>27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3520AF" w14:textId="77777777" w:rsidR="005756D6" w:rsidRDefault="005756D6" w:rsidP="00EC3D61">
            <w:r>
              <w:rPr>
                <w:sz w:val="18"/>
                <w:szCs w:val="18"/>
              </w:rPr>
              <w:t>CSUD3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3C8FE" w14:textId="77777777" w:rsidR="005756D6" w:rsidRDefault="005756D6" w:rsidP="00EC3D61">
            <w:r>
              <w:rPr>
                <w:sz w:val="18"/>
                <w:szCs w:val="18"/>
              </w:rPr>
              <w:t>Companhia Siderúrgica Nacional – CSN Mineração*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B295EF" w14:textId="77777777" w:rsidR="005756D6" w:rsidRDefault="005756D6" w:rsidP="00EC3D61">
            <w:r>
              <w:rPr>
                <w:sz w:val="18"/>
                <w:szCs w:val="18"/>
              </w:rPr>
              <w:t>Materiais Básicos</w:t>
            </w:r>
          </w:p>
        </w:tc>
      </w:tr>
      <w:tr w:rsidR="005756D6" w14:paraId="0F2E24F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92C712" w14:textId="77777777" w:rsidR="005756D6" w:rsidRDefault="005756D6" w:rsidP="00EC3D61">
            <w:pPr>
              <w:jc w:val="center"/>
            </w:pPr>
            <w:r>
              <w:rPr>
                <w:sz w:val="18"/>
                <w:szCs w:val="18"/>
              </w:rPr>
              <w:t>28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EBB883" w14:textId="77777777" w:rsidR="005756D6" w:rsidRDefault="005756D6" w:rsidP="00EC3D61">
            <w:r>
              <w:rPr>
                <w:sz w:val="18"/>
                <w:szCs w:val="18"/>
              </w:rPr>
              <w:t>CYRE3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122B32" w14:textId="77777777" w:rsidR="005756D6" w:rsidRDefault="005756D6" w:rsidP="00EC3D61">
            <w:r>
              <w:rPr>
                <w:sz w:val="18"/>
                <w:szCs w:val="18"/>
              </w:rPr>
              <w:t>Cyrela Brazil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FDA15" w14:textId="77777777" w:rsidR="005756D6" w:rsidRDefault="005756D6" w:rsidP="00EC3D61">
            <w:r>
              <w:rPr>
                <w:sz w:val="18"/>
                <w:szCs w:val="18"/>
              </w:rPr>
              <w:t>Consumo Cíclico</w:t>
            </w:r>
          </w:p>
        </w:tc>
      </w:tr>
      <w:tr w:rsidR="005756D6" w14:paraId="10DB0FA8"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4C8FDC" w14:textId="77777777" w:rsidR="005756D6" w:rsidRDefault="005756D6" w:rsidP="00EC3D61">
            <w:pPr>
              <w:jc w:val="center"/>
            </w:pPr>
            <w:r>
              <w:rPr>
                <w:sz w:val="18"/>
                <w:szCs w:val="18"/>
              </w:rPr>
              <w:t>29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37E85A" w14:textId="77777777" w:rsidR="005756D6" w:rsidRDefault="005756D6" w:rsidP="00EC3D61">
            <w:r>
              <w:rPr>
                <w:sz w:val="18"/>
                <w:szCs w:val="18"/>
              </w:rPr>
              <w:t>DXCO3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D9A13B" w14:textId="77777777" w:rsidR="005756D6" w:rsidRDefault="005756D6" w:rsidP="00EC3D61">
            <w:r>
              <w:rPr>
                <w:sz w:val="18"/>
                <w:szCs w:val="18"/>
              </w:rPr>
              <w:t>Dexco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30B3AC8" w14:textId="77777777" w:rsidR="005756D6" w:rsidRDefault="005756D6" w:rsidP="00EC3D61">
            <w:r>
              <w:rPr>
                <w:sz w:val="18"/>
                <w:szCs w:val="18"/>
              </w:rPr>
              <w:t>Materiais Básicos</w:t>
            </w:r>
          </w:p>
        </w:tc>
      </w:tr>
      <w:tr w:rsidR="005756D6" w14:paraId="31D8240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F46364" w14:textId="77777777" w:rsidR="005756D6" w:rsidRDefault="005756D6" w:rsidP="00EC3D61">
            <w:pPr>
              <w:jc w:val="center"/>
            </w:pPr>
            <w:r>
              <w:rPr>
                <w:sz w:val="18"/>
                <w:szCs w:val="18"/>
              </w:rPr>
              <w:t>30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095D87B" w14:textId="77777777" w:rsidR="005756D6" w:rsidRDefault="005756D6" w:rsidP="00EC3D61">
            <w:r>
              <w:rPr>
                <w:sz w:val="18"/>
                <w:szCs w:val="18"/>
              </w:rPr>
              <w:t>EGIE3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F9EC8C4" w14:textId="77777777" w:rsidR="005756D6" w:rsidRDefault="005756D6" w:rsidP="00EC3D61">
            <w:r>
              <w:rPr>
                <w:sz w:val="18"/>
                <w:szCs w:val="18"/>
              </w:rPr>
              <w:t>Engie Brasil Energia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988D821" w14:textId="77777777" w:rsidR="005756D6" w:rsidRDefault="005756D6" w:rsidP="00EC3D61">
            <w:r>
              <w:rPr>
                <w:sz w:val="18"/>
                <w:szCs w:val="18"/>
              </w:rPr>
              <w:t>Utilidade Pública</w:t>
            </w:r>
          </w:p>
        </w:tc>
      </w:tr>
      <w:tr w:rsidR="005756D6" w14:paraId="591B9FF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EC2485" w14:textId="77777777" w:rsidR="005756D6" w:rsidRDefault="005756D6" w:rsidP="00EC3D61">
            <w:pPr>
              <w:jc w:val="center"/>
            </w:pPr>
            <w:r>
              <w:rPr>
                <w:sz w:val="18"/>
                <w:szCs w:val="18"/>
              </w:rPr>
              <w:t>31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41F0B0" w14:textId="77777777" w:rsidR="005756D6" w:rsidRDefault="005756D6" w:rsidP="00EC3D61">
            <w:r>
              <w:rPr>
                <w:sz w:val="18"/>
                <w:szCs w:val="18"/>
              </w:rPr>
              <w:t>EMBJ3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BB58C5" w14:textId="77777777" w:rsidR="005756D6" w:rsidRDefault="005756D6" w:rsidP="00EC3D61">
            <w:r>
              <w:rPr>
                <w:sz w:val="18"/>
                <w:szCs w:val="18"/>
              </w:rPr>
              <w:t>Empresa Elétrica Bragantina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F494653" w14:textId="77777777" w:rsidR="005756D6" w:rsidRDefault="005756D6" w:rsidP="00EC3D61">
            <w:r>
              <w:rPr>
                <w:sz w:val="18"/>
                <w:szCs w:val="18"/>
              </w:rPr>
              <w:t>Utilidade Pública</w:t>
            </w:r>
          </w:p>
        </w:tc>
      </w:tr>
      <w:tr w:rsidR="005756D6" w14:paraId="7B8DEE2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D3A676" w14:textId="77777777" w:rsidR="005756D6" w:rsidRDefault="005756D6" w:rsidP="00EC3D61">
            <w:pPr>
              <w:jc w:val="center"/>
            </w:pPr>
            <w:r>
              <w:rPr>
                <w:sz w:val="18"/>
                <w:szCs w:val="18"/>
              </w:rPr>
              <w:t>32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A5C267" w14:textId="77777777" w:rsidR="005756D6" w:rsidRDefault="005756D6" w:rsidP="00EC3D61">
            <w:r>
              <w:rPr>
                <w:sz w:val="18"/>
                <w:szCs w:val="18"/>
              </w:rPr>
              <w:t>ENEV3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1FB27A" w14:textId="77777777" w:rsidR="005756D6" w:rsidRDefault="005756D6" w:rsidP="00EC3D61">
            <w:r>
              <w:rPr>
                <w:sz w:val="18"/>
                <w:szCs w:val="18"/>
              </w:rPr>
              <w:t>Eneva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0EA99F" w14:textId="77777777" w:rsidR="005756D6" w:rsidRDefault="005756D6" w:rsidP="00EC3D61">
            <w:r>
              <w:rPr>
                <w:sz w:val="18"/>
                <w:szCs w:val="18"/>
              </w:rPr>
              <w:t>Utilidade Pública</w:t>
            </w:r>
          </w:p>
        </w:tc>
      </w:tr>
      <w:tr w:rsidR="005756D6" w14:paraId="6215410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F76E79" w14:textId="77777777" w:rsidR="005756D6" w:rsidRDefault="005756D6" w:rsidP="00EC3D61">
            <w:pPr>
              <w:jc w:val="center"/>
            </w:pPr>
            <w:r>
              <w:rPr>
                <w:sz w:val="18"/>
                <w:szCs w:val="18"/>
              </w:rPr>
              <w:t>33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55D2ED" w14:textId="77777777" w:rsidR="005756D6" w:rsidRDefault="005756D6" w:rsidP="00EC3D61">
            <w:r>
              <w:rPr>
                <w:sz w:val="18"/>
                <w:szCs w:val="18"/>
              </w:rPr>
              <w:t>EQTL3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89A611" w14:textId="77777777" w:rsidR="005756D6" w:rsidRDefault="005756D6" w:rsidP="00EC3D61">
            <w:r>
              <w:rPr>
                <w:sz w:val="18"/>
                <w:szCs w:val="18"/>
              </w:rPr>
              <w:t>Equatorial Energia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B49718" w14:textId="77777777" w:rsidR="005756D6" w:rsidRDefault="005756D6" w:rsidP="00EC3D61">
            <w:r>
              <w:rPr>
                <w:sz w:val="18"/>
                <w:szCs w:val="18"/>
              </w:rPr>
              <w:t>Utilidade Pública</w:t>
            </w:r>
          </w:p>
        </w:tc>
      </w:tr>
      <w:tr w:rsidR="005756D6" w14:paraId="1B86210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6D2E37" w14:textId="77777777" w:rsidR="005756D6" w:rsidRDefault="005756D6" w:rsidP="00EC3D61">
            <w:pPr>
              <w:jc w:val="center"/>
            </w:pPr>
            <w:r>
              <w:rPr>
                <w:sz w:val="18"/>
                <w:szCs w:val="18"/>
              </w:rPr>
              <w:t>34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92F169" w14:textId="77777777" w:rsidR="005756D6" w:rsidRDefault="005756D6" w:rsidP="00EC3D61">
            <w:r>
              <w:rPr>
                <w:sz w:val="18"/>
                <w:szCs w:val="18"/>
              </w:rPr>
              <w:t>ETER3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442588" w14:textId="77777777" w:rsidR="005756D6" w:rsidRDefault="005756D6" w:rsidP="00EC3D61">
            <w:r>
              <w:rPr>
                <w:sz w:val="18"/>
                <w:szCs w:val="18"/>
              </w:rPr>
              <w:t>Eternit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60AAD2" w14:textId="77777777" w:rsidR="005756D6" w:rsidRDefault="005756D6" w:rsidP="00EC3D61">
            <w:r>
              <w:rPr>
                <w:sz w:val="18"/>
                <w:szCs w:val="18"/>
              </w:rPr>
              <w:t>Materiais Básicos</w:t>
            </w:r>
          </w:p>
        </w:tc>
      </w:tr>
      <w:tr w:rsidR="005756D6" w14:paraId="0367C78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3AD716C" w14:textId="77777777" w:rsidR="005756D6" w:rsidRDefault="005756D6" w:rsidP="00EC3D61">
            <w:pPr>
              <w:jc w:val="center"/>
            </w:pPr>
            <w:r>
              <w:rPr>
                <w:sz w:val="18"/>
                <w:szCs w:val="18"/>
              </w:rPr>
              <w:t>35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FE4DCFB" w14:textId="77777777" w:rsidR="005756D6" w:rsidRDefault="005756D6" w:rsidP="00EC3D61">
            <w:r>
              <w:rPr>
                <w:sz w:val="18"/>
                <w:szCs w:val="18"/>
              </w:rPr>
              <w:t>EUCA4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9FE4B1E" w14:textId="77777777" w:rsidR="005756D6" w:rsidRDefault="005756D6" w:rsidP="00EC3D61">
            <w:r>
              <w:rPr>
                <w:sz w:val="18"/>
                <w:szCs w:val="18"/>
              </w:rPr>
              <w:t>Eucatex S.A. Indústria e Comércio</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94B81C" w14:textId="77777777" w:rsidR="005756D6" w:rsidRDefault="005756D6" w:rsidP="00EC3D61">
            <w:r>
              <w:rPr>
                <w:sz w:val="18"/>
                <w:szCs w:val="18"/>
              </w:rPr>
              <w:t>Materiais Básicos</w:t>
            </w:r>
          </w:p>
        </w:tc>
      </w:tr>
      <w:tr w:rsidR="005756D6" w14:paraId="153AEF56"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5EC9E8" w14:textId="77777777" w:rsidR="005756D6" w:rsidRDefault="005756D6" w:rsidP="00EC3D61">
            <w:pPr>
              <w:jc w:val="center"/>
            </w:pPr>
            <w:r>
              <w:rPr>
                <w:sz w:val="18"/>
                <w:szCs w:val="18"/>
              </w:rPr>
              <w:t>36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749BC7" w14:textId="77777777" w:rsidR="005756D6" w:rsidRDefault="005756D6" w:rsidP="00EC3D61">
            <w:r>
              <w:rPr>
                <w:sz w:val="18"/>
                <w:szCs w:val="18"/>
              </w:rPr>
              <w:t>EVEN3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88FA9C" w14:textId="77777777" w:rsidR="005756D6" w:rsidRDefault="005756D6" w:rsidP="00EC3D61">
            <w:r>
              <w:rPr>
                <w:sz w:val="18"/>
                <w:szCs w:val="18"/>
              </w:rPr>
              <w:t>Even Construtora e Incorporadora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02F9EE" w14:textId="77777777" w:rsidR="005756D6" w:rsidRDefault="005756D6" w:rsidP="00EC3D61">
            <w:r>
              <w:rPr>
                <w:sz w:val="18"/>
                <w:szCs w:val="18"/>
              </w:rPr>
              <w:t>Consumo Cíclico</w:t>
            </w:r>
          </w:p>
        </w:tc>
      </w:tr>
      <w:tr w:rsidR="005756D6" w14:paraId="363E8AB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FC81D9" w14:textId="77777777" w:rsidR="005756D6" w:rsidRDefault="005756D6" w:rsidP="00EC3D61">
            <w:pPr>
              <w:jc w:val="center"/>
            </w:pPr>
            <w:r>
              <w:rPr>
                <w:sz w:val="18"/>
                <w:szCs w:val="18"/>
              </w:rPr>
              <w:t>37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0E1FDF" w14:textId="77777777" w:rsidR="005756D6" w:rsidRDefault="005756D6" w:rsidP="00EC3D61">
            <w:r>
              <w:rPr>
                <w:sz w:val="18"/>
                <w:szCs w:val="18"/>
              </w:rPr>
              <w:t>EZTC3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E99723" w14:textId="77777777" w:rsidR="005756D6" w:rsidRDefault="005756D6" w:rsidP="00EC3D61">
            <w:r>
              <w:rPr>
                <w:sz w:val="18"/>
                <w:szCs w:val="18"/>
              </w:rPr>
              <w:t>EZTEC Empreendimentos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57ED7C" w14:textId="77777777" w:rsidR="005756D6" w:rsidRDefault="005756D6" w:rsidP="00EC3D61">
            <w:r>
              <w:rPr>
                <w:sz w:val="18"/>
                <w:szCs w:val="18"/>
              </w:rPr>
              <w:t>Consumo Cíclico</w:t>
            </w:r>
          </w:p>
        </w:tc>
      </w:tr>
      <w:tr w:rsidR="005756D6" w14:paraId="3F82649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5D1C3A" w14:textId="77777777" w:rsidR="005756D6" w:rsidRDefault="005756D6" w:rsidP="00EC3D61">
            <w:pPr>
              <w:jc w:val="center"/>
            </w:pPr>
            <w:r>
              <w:rPr>
                <w:sz w:val="18"/>
                <w:szCs w:val="18"/>
              </w:rPr>
              <w:t>38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108CF3" w14:textId="77777777" w:rsidR="005756D6" w:rsidRDefault="005756D6" w:rsidP="00EC3D61">
            <w:r>
              <w:rPr>
                <w:sz w:val="18"/>
                <w:szCs w:val="18"/>
              </w:rPr>
              <w:t>FESA4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FC22BD" w14:textId="77777777" w:rsidR="005756D6" w:rsidRDefault="005756D6" w:rsidP="00EC3D61">
            <w:r>
              <w:rPr>
                <w:sz w:val="18"/>
                <w:szCs w:val="18"/>
              </w:rPr>
              <w:t>Cia de Ferro Ligas da Bahia – FERBASA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CD8C0B" w14:textId="77777777" w:rsidR="005756D6" w:rsidRDefault="005756D6" w:rsidP="00EC3D61">
            <w:r>
              <w:rPr>
                <w:sz w:val="18"/>
                <w:szCs w:val="18"/>
              </w:rPr>
              <w:t>Materiais Básicos</w:t>
            </w:r>
          </w:p>
        </w:tc>
      </w:tr>
      <w:tr w:rsidR="005756D6" w14:paraId="3CACB62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5A4349" w14:textId="77777777" w:rsidR="005756D6" w:rsidRDefault="005756D6" w:rsidP="00EC3D61">
            <w:pPr>
              <w:jc w:val="center"/>
            </w:pPr>
            <w:r>
              <w:rPr>
                <w:sz w:val="18"/>
                <w:szCs w:val="18"/>
              </w:rPr>
              <w:t>39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D40B1C" w14:textId="77777777" w:rsidR="005756D6" w:rsidRDefault="005756D6" w:rsidP="00EC3D61">
            <w:r>
              <w:rPr>
                <w:sz w:val="18"/>
                <w:szCs w:val="18"/>
              </w:rPr>
              <w:t>FHER3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ADE81" w14:textId="77777777" w:rsidR="005756D6" w:rsidRDefault="005756D6" w:rsidP="00EC3D61">
            <w:r>
              <w:rPr>
                <w:sz w:val="18"/>
                <w:szCs w:val="18"/>
              </w:rPr>
              <w:t>Fertilizantes Heringer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9F6D094" w14:textId="77777777" w:rsidR="005756D6" w:rsidRDefault="005756D6" w:rsidP="00EC3D61">
            <w:r>
              <w:rPr>
                <w:sz w:val="18"/>
                <w:szCs w:val="18"/>
              </w:rPr>
              <w:t>Consumo Não Cíclico</w:t>
            </w:r>
          </w:p>
        </w:tc>
      </w:tr>
      <w:tr w:rsidR="005756D6" w14:paraId="11CEC55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D5B237" w14:textId="77777777" w:rsidR="005756D6" w:rsidRDefault="005756D6" w:rsidP="00EC3D61">
            <w:pPr>
              <w:jc w:val="center"/>
            </w:pPr>
            <w:r>
              <w:rPr>
                <w:sz w:val="18"/>
                <w:szCs w:val="18"/>
              </w:rPr>
              <w:t>40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922C7F7" w14:textId="77777777" w:rsidR="005756D6" w:rsidRDefault="005756D6" w:rsidP="00EC3D61">
            <w:r>
              <w:rPr>
                <w:sz w:val="18"/>
                <w:szCs w:val="18"/>
              </w:rPr>
              <w:t>FICT3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5E1C5B" w14:textId="77777777" w:rsidR="005756D6" w:rsidRDefault="005756D6" w:rsidP="00EC3D61">
            <w:r>
              <w:rPr>
                <w:sz w:val="18"/>
                <w:szCs w:val="18"/>
              </w:rPr>
              <w:t>Companhia de Telecomunicações do Brasil Central*</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72AFCA" w14:textId="77777777" w:rsidR="005756D6" w:rsidRDefault="005756D6" w:rsidP="00EC3D61">
            <w:r>
              <w:rPr>
                <w:sz w:val="18"/>
                <w:szCs w:val="18"/>
              </w:rPr>
              <w:t>Comunicações</w:t>
            </w:r>
          </w:p>
        </w:tc>
      </w:tr>
      <w:tr w:rsidR="005756D6" w14:paraId="6B7523A7"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75058D" w14:textId="77777777" w:rsidR="005756D6" w:rsidRDefault="005756D6" w:rsidP="00EC3D61">
            <w:pPr>
              <w:jc w:val="center"/>
            </w:pPr>
            <w:r>
              <w:rPr>
                <w:sz w:val="18"/>
                <w:szCs w:val="18"/>
              </w:rPr>
              <w:t>41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2CA7D" w14:textId="77777777" w:rsidR="005756D6" w:rsidRDefault="005756D6" w:rsidP="00EC3D61">
            <w:r>
              <w:rPr>
                <w:sz w:val="18"/>
                <w:szCs w:val="18"/>
              </w:rPr>
              <w:t>FLRY3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FEF633" w14:textId="77777777" w:rsidR="005756D6" w:rsidRDefault="005756D6" w:rsidP="00EC3D61">
            <w:r>
              <w:rPr>
                <w:sz w:val="18"/>
                <w:szCs w:val="18"/>
              </w:rPr>
              <w:t>Fleury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37E5BC" w14:textId="77777777" w:rsidR="005756D6" w:rsidRDefault="005756D6" w:rsidP="00EC3D61">
            <w:r>
              <w:rPr>
                <w:sz w:val="18"/>
                <w:szCs w:val="18"/>
              </w:rPr>
              <w:t>Saúde</w:t>
            </w:r>
          </w:p>
        </w:tc>
      </w:tr>
      <w:tr w:rsidR="005756D6" w14:paraId="48E4612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E5AD04" w14:textId="77777777" w:rsidR="005756D6" w:rsidRDefault="005756D6" w:rsidP="00EC3D61">
            <w:pPr>
              <w:jc w:val="center"/>
            </w:pPr>
            <w:r>
              <w:rPr>
                <w:sz w:val="18"/>
                <w:szCs w:val="18"/>
              </w:rPr>
              <w:t>42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B22EF" w14:textId="77777777" w:rsidR="005756D6" w:rsidRDefault="005756D6" w:rsidP="00EC3D61">
            <w:r>
              <w:rPr>
                <w:sz w:val="18"/>
                <w:szCs w:val="18"/>
              </w:rPr>
              <w:t>GFSA3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7F24E" w14:textId="77777777" w:rsidR="005756D6" w:rsidRDefault="005756D6" w:rsidP="00EC3D61">
            <w:r>
              <w:rPr>
                <w:sz w:val="18"/>
                <w:szCs w:val="18"/>
              </w:rPr>
              <w:t>Gafisa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3477F1D" w14:textId="77777777" w:rsidR="005756D6" w:rsidRDefault="005756D6" w:rsidP="00EC3D61">
            <w:r>
              <w:rPr>
                <w:sz w:val="18"/>
                <w:szCs w:val="18"/>
              </w:rPr>
              <w:t>Consumo Cíclico</w:t>
            </w:r>
          </w:p>
        </w:tc>
      </w:tr>
      <w:tr w:rsidR="005756D6" w14:paraId="31F55AF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6F613D" w14:textId="77777777" w:rsidR="005756D6" w:rsidRDefault="005756D6" w:rsidP="00EC3D61">
            <w:pPr>
              <w:jc w:val="center"/>
            </w:pPr>
            <w:r>
              <w:rPr>
                <w:sz w:val="18"/>
                <w:szCs w:val="18"/>
              </w:rPr>
              <w:t>43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7F26615" w14:textId="77777777" w:rsidR="005756D6" w:rsidRDefault="005756D6" w:rsidP="00EC3D61">
            <w:r>
              <w:rPr>
                <w:sz w:val="18"/>
                <w:szCs w:val="18"/>
              </w:rPr>
              <w:t>GGBR3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431677"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176BE" w14:textId="77777777" w:rsidR="005756D6" w:rsidRDefault="005756D6" w:rsidP="00EC3D61">
            <w:r>
              <w:rPr>
                <w:sz w:val="18"/>
                <w:szCs w:val="18"/>
              </w:rPr>
              <w:t>Materiais Básicos</w:t>
            </w:r>
          </w:p>
        </w:tc>
      </w:tr>
      <w:tr w:rsidR="005756D6" w14:paraId="7795164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AFD75A" w14:textId="77777777" w:rsidR="005756D6" w:rsidRDefault="005756D6" w:rsidP="00EC3D61">
            <w:pPr>
              <w:jc w:val="center"/>
            </w:pPr>
            <w:r>
              <w:rPr>
                <w:sz w:val="18"/>
                <w:szCs w:val="18"/>
              </w:rPr>
              <w:t>44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E569D0" w14:textId="77777777" w:rsidR="005756D6" w:rsidRDefault="005756D6" w:rsidP="00EC3D61">
            <w:r>
              <w:rPr>
                <w:sz w:val="18"/>
                <w:szCs w:val="18"/>
              </w:rPr>
              <w:t>GGBR4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1953C3" w14:textId="77777777" w:rsidR="005756D6" w:rsidRDefault="005756D6" w:rsidP="00EC3D61">
            <w:r>
              <w:rPr>
                <w:sz w:val="18"/>
                <w:szCs w:val="18"/>
              </w:rPr>
              <w:t>Gerdau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2AF3BC6" w14:textId="77777777" w:rsidR="005756D6" w:rsidRDefault="005756D6" w:rsidP="00EC3D61">
            <w:r>
              <w:rPr>
                <w:sz w:val="18"/>
                <w:szCs w:val="18"/>
              </w:rPr>
              <w:t>Materiais Básicos</w:t>
            </w:r>
          </w:p>
        </w:tc>
      </w:tr>
      <w:tr w:rsidR="005756D6" w14:paraId="46C45EC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D83E16E" w14:textId="77777777" w:rsidR="005756D6" w:rsidRDefault="005756D6" w:rsidP="00EC3D61">
            <w:pPr>
              <w:jc w:val="center"/>
            </w:pPr>
            <w:r>
              <w:rPr>
                <w:sz w:val="18"/>
                <w:szCs w:val="18"/>
              </w:rPr>
              <w:t>45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6C11C0" w14:textId="77777777" w:rsidR="005756D6" w:rsidRDefault="005756D6" w:rsidP="00EC3D61">
            <w:r>
              <w:rPr>
                <w:sz w:val="18"/>
                <w:szCs w:val="18"/>
              </w:rPr>
              <w:t>GOAU4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7F1D5F4" w14:textId="77777777" w:rsidR="005756D6" w:rsidRDefault="005756D6" w:rsidP="00EC3D61">
            <w:r>
              <w:rPr>
                <w:sz w:val="18"/>
                <w:szCs w:val="18"/>
              </w:rPr>
              <w:t>Metalúrgica Gerdau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3A9DE5D" w14:textId="77777777" w:rsidR="005756D6" w:rsidRDefault="005756D6" w:rsidP="00EC3D61">
            <w:r>
              <w:rPr>
                <w:sz w:val="18"/>
                <w:szCs w:val="18"/>
              </w:rPr>
              <w:t>Materiais Básicos</w:t>
            </w:r>
          </w:p>
        </w:tc>
      </w:tr>
      <w:tr w:rsidR="005756D6" w14:paraId="000FFE2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745BE4" w14:textId="77777777" w:rsidR="005756D6" w:rsidRDefault="005756D6" w:rsidP="00EC3D61">
            <w:pPr>
              <w:jc w:val="center"/>
            </w:pPr>
            <w:r>
              <w:rPr>
                <w:sz w:val="18"/>
                <w:szCs w:val="18"/>
              </w:rPr>
              <w:t>46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F64019" w14:textId="77777777" w:rsidR="005756D6" w:rsidRDefault="005756D6" w:rsidP="00EC3D61">
            <w:r>
              <w:rPr>
                <w:sz w:val="18"/>
                <w:szCs w:val="18"/>
              </w:rPr>
              <w:t>GOLL54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05EC1A" w14:textId="77777777" w:rsidR="005756D6" w:rsidRDefault="005756D6" w:rsidP="00EC3D61">
            <w:r>
              <w:rPr>
                <w:sz w:val="18"/>
                <w:szCs w:val="18"/>
              </w:rPr>
              <w:t>Gol Linhas Aéreas Inteligentes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3F864C" w14:textId="77777777" w:rsidR="005756D6" w:rsidRDefault="005756D6" w:rsidP="00EC3D61">
            <w:r>
              <w:rPr>
                <w:sz w:val="18"/>
                <w:szCs w:val="18"/>
              </w:rPr>
              <w:t>Consumo Cíclico</w:t>
            </w:r>
          </w:p>
        </w:tc>
      </w:tr>
      <w:tr w:rsidR="005756D6" w14:paraId="0CCE6DA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970C1F" w14:textId="77777777" w:rsidR="005756D6" w:rsidRDefault="005756D6" w:rsidP="00EC3D61">
            <w:pPr>
              <w:jc w:val="center"/>
            </w:pPr>
            <w:r>
              <w:rPr>
                <w:sz w:val="18"/>
                <w:szCs w:val="18"/>
              </w:rPr>
              <w:t>47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DB8B9D6" w14:textId="77777777" w:rsidR="005756D6" w:rsidRDefault="005756D6" w:rsidP="00EC3D61">
            <w:r>
              <w:rPr>
                <w:sz w:val="18"/>
                <w:szCs w:val="18"/>
              </w:rPr>
              <w:t>GRND3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BE0D31" w14:textId="77777777" w:rsidR="005756D6" w:rsidRDefault="005756D6" w:rsidP="00EC3D61">
            <w:r>
              <w:rPr>
                <w:sz w:val="18"/>
                <w:szCs w:val="18"/>
              </w:rPr>
              <w:t>Grendene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0CF98E" w14:textId="77777777" w:rsidR="005756D6" w:rsidRDefault="005756D6" w:rsidP="00EC3D61">
            <w:r>
              <w:rPr>
                <w:sz w:val="18"/>
                <w:szCs w:val="18"/>
              </w:rPr>
              <w:t>Consumo Cíclico</w:t>
            </w:r>
          </w:p>
        </w:tc>
      </w:tr>
      <w:tr w:rsidR="005756D6" w14:paraId="5E62752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1EB9F" w14:textId="77777777" w:rsidR="005756D6" w:rsidRDefault="005756D6" w:rsidP="00EC3D61">
            <w:pPr>
              <w:jc w:val="center"/>
            </w:pPr>
            <w:r>
              <w:rPr>
                <w:sz w:val="18"/>
                <w:szCs w:val="18"/>
              </w:rPr>
              <w:t>48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C92A97" w14:textId="77777777" w:rsidR="005756D6" w:rsidRDefault="005756D6" w:rsidP="00EC3D61">
            <w:r>
              <w:rPr>
                <w:sz w:val="18"/>
                <w:szCs w:val="18"/>
              </w:rPr>
              <w:t>HAGA4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373C5D7" w14:textId="77777777" w:rsidR="005756D6" w:rsidRDefault="005756D6" w:rsidP="00EC3D61">
            <w:r>
              <w:rPr>
                <w:sz w:val="18"/>
                <w:szCs w:val="18"/>
              </w:rPr>
              <w:t>Companhia Haga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797AA2" w14:textId="77777777" w:rsidR="005756D6" w:rsidRDefault="005756D6" w:rsidP="00EC3D61">
            <w:r>
              <w:rPr>
                <w:sz w:val="18"/>
                <w:szCs w:val="18"/>
              </w:rPr>
              <w:t>Bens Industriais</w:t>
            </w:r>
          </w:p>
        </w:tc>
      </w:tr>
      <w:tr w:rsidR="005756D6" w14:paraId="48A9371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2359DB5" w14:textId="77777777" w:rsidR="005756D6" w:rsidRDefault="005756D6" w:rsidP="00EC3D61">
            <w:pPr>
              <w:jc w:val="center"/>
            </w:pPr>
            <w:r>
              <w:rPr>
                <w:sz w:val="18"/>
                <w:szCs w:val="18"/>
              </w:rPr>
              <w:t>49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DEFED3D" w14:textId="77777777" w:rsidR="005756D6" w:rsidRDefault="005756D6" w:rsidP="00EC3D61">
            <w:r>
              <w:rPr>
                <w:sz w:val="18"/>
                <w:szCs w:val="18"/>
              </w:rPr>
              <w:t>HBOR3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6D17C0" w14:textId="77777777" w:rsidR="005756D6" w:rsidRDefault="005756D6" w:rsidP="00EC3D61">
            <w:r>
              <w:rPr>
                <w:sz w:val="18"/>
                <w:szCs w:val="18"/>
              </w:rPr>
              <w:t>Helbor Empreendimentos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350261" w14:textId="77777777" w:rsidR="005756D6" w:rsidRDefault="005756D6" w:rsidP="00EC3D61">
            <w:r>
              <w:rPr>
                <w:sz w:val="18"/>
                <w:szCs w:val="18"/>
              </w:rPr>
              <w:t>Consumo Cíclico</w:t>
            </w:r>
          </w:p>
        </w:tc>
      </w:tr>
      <w:tr w:rsidR="005756D6" w14:paraId="5ABCEFC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B2CD37" w14:textId="77777777" w:rsidR="005756D6" w:rsidRDefault="005756D6" w:rsidP="00EC3D61">
            <w:pPr>
              <w:jc w:val="center"/>
            </w:pPr>
            <w:r>
              <w:rPr>
                <w:sz w:val="18"/>
                <w:szCs w:val="18"/>
              </w:rPr>
              <w:t>50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776D61" w14:textId="77777777" w:rsidR="005756D6" w:rsidRDefault="005756D6" w:rsidP="00EC3D61">
            <w:r>
              <w:rPr>
                <w:sz w:val="18"/>
                <w:szCs w:val="18"/>
              </w:rPr>
              <w:t>HYPE3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CABF722" w14:textId="77777777" w:rsidR="005756D6" w:rsidRDefault="005756D6" w:rsidP="00EC3D61">
            <w:r>
              <w:rPr>
                <w:sz w:val="18"/>
                <w:szCs w:val="18"/>
              </w:rPr>
              <w:t>Hypera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C34A57A" w14:textId="77777777" w:rsidR="005756D6" w:rsidRDefault="005756D6" w:rsidP="00EC3D61">
            <w:r>
              <w:rPr>
                <w:sz w:val="18"/>
                <w:szCs w:val="18"/>
              </w:rPr>
              <w:t>Saúde</w:t>
            </w:r>
          </w:p>
        </w:tc>
      </w:tr>
      <w:tr w:rsidR="005756D6" w14:paraId="2ACB723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481A9C" w14:textId="77777777" w:rsidR="005756D6" w:rsidRDefault="005756D6" w:rsidP="00EC3D61">
            <w:pPr>
              <w:jc w:val="center"/>
            </w:pPr>
            <w:r>
              <w:rPr>
                <w:sz w:val="18"/>
                <w:szCs w:val="18"/>
              </w:rPr>
              <w:t>51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31A0AB" w14:textId="77777777" w:rsidR="005756D6" w:rsidRDefault="005756D6" w:rsidP="00EC3D61">
            <w:r>
              <w:rPr>
                <w:sz w:val="18"/>
                <w:szCs w:val="18"/>
              </w:rPr>
              <w:t>INEP4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4EDC3B1" w14:textId="77777777" w:rsidR="005756D6" w:rsidRDefault="005756D6" w:rsidP="00EC3D61">
            <w:r>
              <w:rPr>
                <w:sz w:val="18"/>
                <w:szCs w:val="18"/>
              </w:rPr>
              <w:t>Inepar Indústria e Construções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795C01" w14:textId="77777777" w:rsidR="005756D6" w:rsidRDefault="005756D6" w:rsidP="00EC3D61">
            <w:r>
              <w:rPr>
                <w:sz w:val="18"/>
                <w:szCs w:val="18"/>
              </w:rPr>
              <w:t>Bens Industriais</w:t>
            </w:r>
          </w:p>
        </w:tc>
      </w:tr>
      <w:tr w:rsidR="005756D6" w14:paraId="3E7239A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E8CE37" w14:textId="77777777" w:rsidR="005756D6" w:rsidRDefault="005756D6" w:rsidP="00EC3D61">
            <w:pPr>
              <w:jc w:val="center"/>
            </w:pPr>
            <w:r>
              <w:rPr>
                <w:sz w:val="18"/>
                <w:szCs w:val="18"/>
              </w:rPr>
              <w:t>52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3BFCF4" w14:textId="77777777" w:rsidR="005756D6" w:rsidRDefault="005756D6" w:rsidP="00EC3D61">
            <w:r>
              <w:rPr>
                <w:sz w:val="18"/>
                <w:szCs w:val="18"/>
              </w:rPr>
              <w:t>ISAE4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6408D6" w14:textId="77777777" w:rsidR="005756D6" w:rsidRDefault="005756D6" w:rsidP="00EC3D61">
            <w:r>
              <w:rPr>
                <w:sz w:val="18"/>
                <w:szCs w:val="18"/>
              </w:rPr>
              <w:t>ISA Cteep – Cia de Transmissão de Energia Elétrica Paulista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BB3DEAB" w14:textId="77777777" w:rsidR="005756D6" w:rsidRDefault="005756D6" w:rsidP="00EC3D61">
            <w:r>
              <w:rPr>
                <w:sz w:val="18"/>
                <w:szCs w:val="18"/>
              </w:rPr>
              <w:t>Utilidade Pública</w:t>
            </w:r>
          </w:p>
        </w:tc>
      </w:tr>
      <w:tr w:rsidR="005756D6" w14:paraId="39F5876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F1AE5D5" w14:textId="77777777" w:rsidR="005756D6" w:rsidRDefault="005756D6" w:rsidP="00EC3D61">
            <w:pPr>
              <w:jc w:val="center"/>
            </w:pPr>
            <w:r>
              <w:rPr>
                <w:sz w:val="18"/>
                <w:szCs w:val="18"/>
              </w:rPr>
              <w:t>53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EFE344" w14:textId="77777777" w:rsidR="005756D6" w:rsidRDefault="005756D6" w:rsidP="00EC3D61">
            <w:r>
              <w:rPr>
                <w:sz w:val="18"/>
                <w:szCs w:val="18"/>
              </w:rPr>
              <w:t>ITSA3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EE54BC"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8359080" w14:textId="77777777" w:rsidR="005756D6" w:rsidRDefault="005756D6" w:rsidP="00EC3D61">
            <w:r>
              <w:rPr>
                <w:sz w:val="18"/>
                <w:szCs w:val="18"/>
              </w:rPr>
              <w:t>Financeiro</w:t>
            </w:r>
          </w:p>
        </w:tc>
      </w:tr>
      <w:tr w:rsidR="005756D6" w14:paraId="75FD9A2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B580223" w14:textId="77777777" w:rsidR="005756D6" w:rsidRDefault="005756D6" w:rsidP="00EC3D61">
            <w:pPr>
              <w:jc w:val="center"/>
            </w:pPr>
            <w:r>
              <w:rPr>
                <w:sz w:val="18"/>
                <w:szCs w:val="18"/>
              </w:rPr>
              <w:t>54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56C764" w14:textId="77777777" w:rsidR="005756D6" w:rsidRDefault="005756D6" w:rsidP="00EC3D61">
            <w:r>
              <w:rPr>
                <w:sz w:val="18"/>
                <w:szCs w:val="18"/>
              </w:rPr>
              <w:t>ITSA4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2C1688" w14:textId="77777777" w:rsidR="005756D6" w:rsidRDefault="005756D6" w:rsidP="00EC3D61">
            <w:r>
              <w:rPr>
                <w:sz w:val="18"/>
                <w:szCs w:val="18"/>
              </w:rPr>
              <w:t>Itaúsa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C6912A8" w14:textId="77777777" w:rsidR="005756D6" w:rsidRDefault="005756D6" w:rsidP="00EC3D61">
            <w:r>
              <w:rPr>
                <w:sz w:val="18"/>
                <w:szCs w:val="18"/>
              </w:rPr>
              <w:t>Financeiro</w:t>
            </w:r>
          </w:p>
        </w:tc>
      </w:tr>
      <w:tr w:rsidR="005756D6" w14:paraId="7E31E04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0FFCA6" w14:textId="77777777" w:rsidR="005756D6" w:rsidRDefault="005756D6" w:rsidP="00EC3D61">
            <w:pPr>
              <w:jc w:val="center"/>
            </w:pPr>
            <w:r>
              <w:rPr>
                <w:sz w:val="18"/>
                <w:szCs w:val="18"/>
              </w:rPr>
              <w:t>55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5C398F" w14:textId="77777777" w:rsidR="005756D6" w:rsidRDefault="005756D6" w:rsidP="00EC3D61">
            <w:r>
              <w:rPr>
                <w:sz w:val="18"/>
                <w:szCs w:val="18"/>
              </w:rPr>
              <w:t>ITUB3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18E0D7"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76734A" w14:textId="77777777" w:rsidR="005756D6" w:rsidRDefault="005756D6" w:rsidP="00EC3D61">
            <w:r>
              <w:rPr>
                <w:sz w:val="18"/>
                <w:szCs w:val="18"/>
              </w:rPr>
              <w:t>Financeiro</w:t>
            </w:r>
          </w:p>
        </w:tc>
      </w:tr>
      <w:tr w:rsidR="005756D6" w14:paraId="10749BD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751FEA" w14:textId="77777777" w:rsidR="005756D6" w:rsidRDefault="005756D6" w:rsidP="00EC3D61">
            <w:pPr>
              <w:jc w:val="center"/>
            </w:pPr>
            <w:r>
              <w:rPr>
                <w:sz w:val="18"/>
                <w:szCs w:val="18"/>
              </w:rPr>
              <w:t>56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A56290D" w14:textId="77777777" w:rsidR="005756D6" w:rsidRDefault="005756D6" w:rsidP="00EC3D61">
            <w:r>
              <w:rPr>
                <w:sz w:val="18"/>
                <w:szCs w:val="18"/>
              </w:rPr>
              <w:t>ITUB4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671B7C8" w14:textId="77777777" w:rsidR="005756D6" w:rsidRDefault="005756D6" w:rsidP="00EC3D61">
            <w:r>
              <w:rPr>
                <w:sz w:val="18"/>
                <w:szCs w:val="18"/>
              </w:rPr>
              <w:t>Itaú Unibanco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3A44840" w14:textId="77777777" w:rsidR="005756D6" w:rsidRDefault="005756D6" w:rsidP="00EC3D61">
            <w:r>
              <w:rPr>
                <w:sz w:val="18"/>
                <w:szCs w:val="18"/>
              </w:rPr>
              <w:t>Financeiro</w:t>
            </w:r>
          </w:p>
        </w:tc>
      </w:tr>
      <w:tr w:rsidR="005756D6" w14:paraId="15271EC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8C343E" w14:textId="77777777" w:rsidR="005756D6" w:rsidRDefault="005756D6" w:rsidP="00EC3D61">
            <w:pPr>
              <w:jc w:val="center"/>
            </w:pPr>
            <w:r>
              <w:rPr>
                <w:sz w:val="18"/>
                <w:szCs w:val="18"/>
              </w:rPr>
              <w:t>57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1BD08E2" w14:textId="77777777" w:rsidR="005756D6" w:rsidRDefault="005756D6" w:rsidP="00EC3D61">
            <w:r>
              <w:rPr>
                <w:sz w:val="18"/>
                <w:szCs w:val="18"/>
              </w:rPr>
              <w:t>JHSF3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C0AC88C" w14:textId="77777777" w:rsidR="005756D6" w:rsidRDefault="005756D6" w:rsidP="00EC3D61">
            <w:r>
              <w:rPr>
                <w:sz w:val="18"/>
                <w:szCs w:val="18"/>
              </w:rPr>
              <w:t>JHSF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BCAC34" w14:textId="77777777" w:rsidR="005756D6" w:rsidRDefault="005756D6" w:rsidP="00EC3D61">
            <w:r>
              <w:rPr>
                <w:sz w:val="18"/>
                <w:szCs w:val="18"/>
              </w:rPr>
              <w:t>Consumo Cíclico</w:t>
            </w:r>
          </w:p>
        </w:tc>
      </w:tr>
      <w:tr w:rsidR="005756D6" w14:paraId="0E55CA9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8D4BAF8" w14:textId="77777777" w:rsidR="005756D6" w:rsidRDefault="005756D6" w:rsidP="00EC3D61">
            <w:pPr>
              <w:jc w:val="center"/>
            </w:pPr>
            <w:r>
              <w:rPr>
                <w:sz w:val="18"/>
                <w:szCs w:val="18"/>
              </w:rPr>
              <w:t>58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158D8B" w14:textId="77777777" w:rsidR="005756D6" w:rsidRDefault="005756D6" w:rsidP="00EC3D61">
            <w:r>
              <w:rPr>
                <w:sz w:val="18"/>
                <w:szCs w:val="18"/>
              </w:rPr>
              <w:t>KEPL3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9E3D1FB" w14:textId="77777777" w:rsidR="005756D6" w:rsidRDefault="005756D6" w:rsidP="00EC3D61">
            <w:r>
              <w:rPr>
                <w:sz w:val="18"/>
                <w:szCs w:val="18"/>
              </w:rPr>
              <w:t>Kepler Weber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FB64C5" w14:textId="77777777" w:rsidR="005756D6" w:rsidRDefault="005756D6" w:rsidP="00EC3D61">
            <w:r>
              <w:rPr>
                <w:sz w:val="18"/>
                <w:szCs w:val="18"/>
              </w:rPr>
              <w:t>Bens Industriais</w:t>
            </w:r>
          </w:p>
        </w:tc>
      </w:tr>
      <w:tr w:rsidR="005756D6" w14:paraId="4E922E6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48A67F" w14:textId="77777777" w:rsidR="005756D6" w:rsidRDefault="005756D6" w:rsidP="00EC3D61">
            <w:pPr>
              <w:jc w:val="center"/>
            </w:pPr>
            <w:r>
              <w:rPr>
                <w:sz w:val="18"/>
                <w:szCs w:val="18"/>
              </w:rPr>
              <w:t>59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A2801BE" w14:textId="77777777" w:rsidR="005756D6" w:rsidRDefault="005756D6" w:rsidP="00EC3D61">
            <w:r>
              <w:rPr>
                <w:sz w:val="18"/>
                <w:szCs w:val="18"/>
              </w:rPr>
              <w:t>KLBN4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BD7CB49" w14:textId="77777777" w:rsidR="005756D6" w:rsidRDefault="005756D6" w:rsidP="00EC3D61">
            <w:r>
              <w:rPr>
                <w:sz w:val="18"/>
                <w:szCs w:val="18"/>
              </w:rPr>
              <w:t>Klabin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9E93A0" w14:textId="77777777" w:rsidR="005756D6" w:rsidRDefault="005756D6" w:rsidP="00EC3D61">
            <w:r>
              <w:rPr>
                <w:sz w:val="18"/>
                <w:szCs w:val="18"/>
              </w:rPr>
              <w:t>Materiais Básicos</w:t>
            </w:r>
          </w:p>
        </w:tc>
      </w:tr>
      <w:tr w:rsidR="005756D6" w14:paraId="45D0076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09FD21" w14:textId="77777777" w:rsidR="005756D6" w:rsidRDefault="005756D6" w:rsidP="00EC3D61">
            <w:pPr>
              <w:jc w:val="center"/>
            </w:pPr>
            <w:r>
              <w:rPr>
                <w:sz w:val="18"/>
                <w:szCs w:val="18"/>
              </w:rPr>
              <w:t>60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40B62C" w14:textId="77777777" w:rsidR="005756D6" w:rsidRDefault="005756D6" w:rsidP="00EC3D61">
            <w:r>
              <w:rPr>
                <w:sz w:val="18"/>
                <w:szCs w:val="18"/>
              </w:rPr>
              <w:t>LAND3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099B85D" w14:textId="77777777" w:rsidR="005756D6" w:rsidRDefault="005756D6" w:rsidP="00EC3D61">
            <w:r>
              <w:rPr>
                <w:sz w:val="18"/>
                <w:szCs w:val="18"/>
              </w:rPr>
              <w:t>Terra Santa Propriedades Agrícolas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4427D5C" w14:textId="77777777" w:rsidR="005756D6" w:rsidRDefault="005756D6" w:rsidP="00EC3D61">
            <w:r>
              <w:rPr>
                <w:sz w:val="18"/>
                <w:szCs w:val="18"/>
              </w:rPr>
              <w:t>Consumo Não Cíclico</w:t>
            </w:r>
          </w:p>
        </w:tc>
      </w:tr>
      <w:tr w:rsidR="005756D6" w14:paraId="3E8B861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B8606B" w14:textId="77777777" w:rsidR="005756D6" w:rsidRDefault="005756D6" w:rsidP="00EC3D61">
            <w:pPr>
              <w:jc w:val="center"/>
            </w:pPr>
            <w:r>
              <w:rPr>
                <w:sz w:val="18"/>
                <w:szCs w:val="18"/>
              </w:rPr>
              <w:t>61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57C196" w14:textId="77777777" w:rsidR="005756D6" w:rsidRDefault="005756D6" w:rsidP="00EC3D61">
            <w:r>
              <w:rPr>
                <w:sz w:val="18"/>
                <w:szCs w:val="18"/>
              </w:rPr>
              <w:t>LIGT3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AA73BB" w14:textId="77777777" w:rsidR="005756D6" w:rsidRDefault="005756D6" w:rsidP="00EC3D61">
            <w:r>
              <w:rPr>
                <w:sz w:val="18"/>
                <w:szCs w:val="18"/>
              </w:rPr>
              <w:t>Light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26976A" w14:textId="77777777" w:rsidR="005756D6" w:rsidRDefault="005756D6" w:rsidP="00EC3D61">
            <w:r>
              <w:rPr>
                <w:sz w:val="18"/>
                <w:szCs w:val="18"/>
              </w:rPr>
              <w:t>Utilidade Pública</w:t>
            </w:r>
          </w:p>
        </w:tc>
      </w:tr>
      <w:tr w:rsidR="005756D6" w14:paraId="335A51E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A4E0C1" w14:textId="77777777" w:rsidR="005756D6" w:rsidRDefault="005756D6" w:rsidP="00EC3D61">
            <w:pPr>
              <w:jc w:val="center"/>
            </w:pPr>
            <w:r>
              <w:rPr>
                <w:sz w:val="18"/>
                <w:szCs w:val="18"/>
              </w:rPr>
              <w:t>62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4EF3E7" w14:textId="77777777" w:rsidR="005756D6" w:rsidRDefault="005756D6" w:rsidP="00EC3D61">
            <w:r>
              <w:rPr>
                <w:sz w:val="18"/>
                <w:szCs w:val="18"/>
              </w:rPr>
              <w:t>LOGN3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EFA9B5" w14:textId="77777777" w:rsidR="005756D6" w:rsidRDefault="005756D6" w:rsidP="00EC3D61">
            <w:r>
              <w:rPr>
                <w:sz w:val="18"/>
                <w:szCs w:val="18"/>
              </w:rPr>
              <w:t>Log-In Logística Intermodal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4E2E7D" w14:textId="77777777" w:rsidR="005756D6" w:rsidRDefault="005756D6" w:rsidP="00EC3D61">
            <w:r>
              <w:rPr>
                <w:sz w:val="18"/>
                <w:szCs w:val="18"/>
              </w:rPr>
              <w:t>Bens Industriais</w:t>
            </w:r>
          </w:p>
        </w:tc>
      </w:tr>
      <w:tr w:rsidR="005756D6" w14:paraId="4843E1E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57C6A" w14:textId="77777777" w:rsidR="005756D6" w:rsidRDefault="005756D6" w:rsidP="00EC3D61">
            <w:pPr>
              <w:jc w:val="center"/>
            </w:pPr>
            <w:r>
              <w:rPr>
                <w:sz w:val="18"/>
                <w:szCs w:val="18"/>
              </w:rPr>
              <w:t>63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82B265" w14:textId="77777777" w:rsidR="005756D6" w:rsidRDefault="005756D6" w:rsidP="00EC3D61">
            <w:r>
              <w:rPr>
                <w:sz w:val="18"/>
                <w:szCs w:val="18"/>
              </w:rPr>
              <w:t>LPSB3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0295E6" w14:textId="77777777" w:rsidR="005756D6" w:rsidRDefault="005756D6" w:rsidP="00EC3D61">
            <w:r>
              <w:rPr>
                <w:sz w:val="18"/>
                <w:szCs w:val="18"/>
              </w:rPr>
              <w:t>LPS Brasil – Consultoria de Imóveis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D5DCA" w14:textId="77777777" w:rsidR="005756D6" w:rsidRDefault="005756D6" w:rsidP="00EC3D61">
            <w:r>
              <w:rPr>
                <w:sz w:val="18"/>
                <w:szCs w:val="18"/>
              </w:rPr>
              <w:t>Consumo Cíclico</w:t>
            </w:r>
          </w:p>
        </w:tc>
      </w:tr>
      <w:tr w:rsidR="005756D6" w14:paraId="1F3A4387"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3F2F3D" w14:textId="77777777" w:rsidR="005756D6" w:rsidRDefault="005756D6" w:rsidP="00EC3D61">
            <w:pPr>
              <w:jc w:val="center"/>
            </w:pPr>
            <w:r>
              <w:rPr>
                <w:sz w:val="18"/>
                <w:szCs w:val="18"/>
              </w:rPr>
              <w:t>64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0437CF" w14:textId="77777777" w:rsidR="005756D6" w:rsidRDefault="005756D6" w:rsidP="00EC3D61">
            <w:r>
              <w:rPr>
                <w:sz w:val="18"/>
                <w:szCs w:val="18"/>
              </w:rPr>
              <w:t>LREN3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ADDFBC1" w14:textId="77777777" w:rsidR="005756D6" w:rsidRDefault="005756D6" w:rsidP="00EC3D61">
            <w:r>
              <w:rPr>
                <w:sz w:val="18"/>
                <w:szCs w:val="18"/>
              </w:rPr>
              <w:t>Lojas Renner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10091C" w14:textId="77777777" w:rsidR="005756D6" w:rsidRDefault="005756D6" w:rsidP="00EC3D61">
            <w:r>
              <w:rPr>
                <w:sz w:val="18"/>
                <w:szCs w:val="18"/>
              </w:rPr>
              <w:t>Consumo Cíclico</w:t>
            </w:r>
          </w:p>
        </w:tc>
      </w:tr>
      <w:tr w:rsidR="005756D6" w14:paraId="04FA1DA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3D490B" w14:textId="77777777" w:rsidR="005756D6" w:rsidRDefault="005756D6" w:rsidP="00EC3D61">
            <w:pPr>
              <w:jc w:val="center"/>
            </w:pPr>
            <w:r>
              <w:rPr>
                <w:sz w:val="18"/>
                <w:szCs w:val="18"/>
              </w:rPr>
              <w:t>65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27EAE9" w14:textId="77777777" w:rsidR="005756D6" w:rsidRDefault="005756D6" w:rsidP="00EC3D61">
            <w:r>
              <w:rPr>
                <w:sz w:val="18"/>
                <w:szCs w:val="18"/>
              </w:rPr>
              <w:t>LUPA3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6BC42A" w14:textId="77777777" w:rsidR="005756D6" w:rsidRDefault="005756D6" w:rsidP="00EC3D61">
            <w:r>
              <w:rPr>
                <w:sz w:val="18"/>
                <w:szCs w:val="18"/>
              </w:rPr>
              <w:t>Lupatech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5138BA" w14:textId="77777777" w:rsidR="005756D6" w:rsidRDefault="005756D6" w:rsidP="00EC3D61">
            <w:r>
              <w:rPr>
                <w:sz w:val="18"/>
                <w:szCs w:val="18"/>
              </w:rPr>
              <w:t>Petróleo, Gás e Biocombustíveis</w:t>
            </w:r>
          </w:p>
        </w:tc>
      </w:tr>
      <w:tr w:rsidR="005756D6" w14:paraId="3521C8F6"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A4F45BD" w14:textId="77777777" w:rsidR="005756D6" w:rsidRDefault="005756D6" w:rsidP="00EC3D61">
            <w:pPr>
              <w:jc w:val="center"/>
            </w:pPr>
            <w:r>
              <w:rPr>
                <w:sz w:val="18"/>
                <w:szCs w:val="18"/>
              </w:rPr>
              <w:t>66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E33297F" w14:textId="77777777" w:rsidR="005756D6" w:rsidRDefault="005756D6" w:rsidP="00EC3D61">
            <w:r>
              <w:rPr>
                <w:sz w:val="18"/>
                <w:szCs w:val="18"/>
              </w:rPr>
              <w:t>MBRF3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BCBABB4" w14:textId="77777777" w:rsidR="005756D6" w:rsidRDefault="005756D6" w:rsidP="00EC3D61">
            <w:r>
              <w:rPr>
                <w:sz w:val="18"/>
                <w:szCs w:val="18"/>
              </w:rPr>
              <w:t>MBRF Global Foods Company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F86E591" w14:textId="77777777" w:rsidR="005756D6" w:rsidRDefault="005756D6" w:rsidP="00EC3D61">
            <w:r>
              <w:rPr>
                <w:sz w:val="18"/>
                <w:szCs w:val="18"/>
              </w:rPr>
              <w:t>Consumo Não Cíclico</w:t>
            </w:r>
          </w:p>
        </w:tc>
      </w:tr>
      <w:tr w:rsidR="005756D6" w14:paraId="0F0B2FC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2764AC" w14:textId="77777777" w:rsidR="005756D6" w:rsidRDefault="005756D6" w:rsidP="00EC3D61">
            <w:pPr>
              <w:jc w:val="center"/>
            </w:pPr>
            <w:r>
              <w:rPr>
                <w:sz w:val="18"/>
                <w:szCs w:val="18"/>
              </w:rPr>
              <w:lastRenderedPageBreak/>
              <w:t>67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E4E1C7C" w14:textId="77777777" w:rsidR="005756D6" w:rsidRDefault="005756D6" w:rsidP="00EC3D61">
            <w:r>
              <w:rPr>
                <w:sz w:val="18"/>
                <w:szCs w:val="18"/>
              </w:rPr>
              <w:t>MDIA3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5A7A094" w14:textId="77777777" w:rsidR="005756D6" w:rsidRDefault="005756D6" w:rsidP="00EC3D61">
            <w:r>
              <w:rPr>
                <w:sz w:val="18"/>
                <w:szCs w:val="18"/>
              </w:rPr>
              <w:t>M. Dias Branco S.A. Ind. e Com. de Alimentos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C83E4F" w14:textId="77777777" w:rsidR="005756D6" w:rsidRDefault="005756D6" w:rsidP="00EC3D61">
            <w:r>
              <w:rPr>
                <w:sz w:val="18"/>
                <w:szCs w:val="18"/>
              </w:rPr>
              <w:t>Consumo Não Cíclico</w:t>
            </w:r>
          </w:p>
        </w:tc>
      </w:tr>
      <w:tr w:rsidR="005756D6" w14:paraId="2EA3452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356972" w14:textId="77777777" w:rsidR="005756D6" w:rsidRDefault="005756D6" w:rsidP="00EC3D61">
            <w:pPr>
              <w:jc w:val="center"/>
            </w:pPr>
            <w:r>
              <w:rPr>
                <w:sz w:val="18"/>
                <w:szCs w:val="18"/>
              </w:rPr>
              <w:t>68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1B0712" w14:textId="77777777" w:rsidR="005756D6" w:rsidRDefault="005756D6" w:rsidP="00EC3D61">
            <w:r>
              <w:rPr>
                <w:sz w:val="18"/>
                <w:szCs w:val="18"/>
              </w:rPr>
              <w:t>MOTV3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6EAEA0C" w14:textId="77777777" w:rsidR="005756D6" w:rsidRDefault="005756D6" w:rsidP="00EC3D61">
            <w:r>
              <w:rPr>
                <w:sz w:val="18"/>
                <w:szCs w:val="18"/>
              </w:rPr>
              <w:t>Telequality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21A428" w14:textId="77777777" w:rsidR="005756D6" w:rsidRDefault="005756D6" w:rsidP="00EC3D61">
            <w:r>
              <w:rPr>
                <w:sz w:val="18"/>
                <w:szCs w:val="18"/>
              </w:rPr>
              <w:t>Comunicações</w:t>
            </w:r>
          </w:p>
        </w:tc>
      </w:tr>
      <w:tr w:rsidR="005756D6" w14:paraId="6CE45CE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8A1EDD2" w14:textId="77777777" w:rsidR="005756D6" w:rsidRDefault="005756D6" w:rsidP="00EC3D61">
            <w:pPr>
              <w:jc w:val="center"/>
            </w:pPr>
            <w:r>
              <w:rPr>
                <w:sz w:val="18"/>
                <w:szCs w:val="18"/>
              </w:rPr>
              <w:t>69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2D71A7" w14:textId="77777777" w:rsidR="005756D6" w:rsidRDefault="005756D6" w:rsidP="00EC3D61">
            <w:r>
              <w:rPr>
                <w:sz w:val="18"/>
                <w:szCs w:val="18"/>
              </w:rPr>
              <w:t>MRVE3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56DB768" w14:textId="77777777" w:rsidR="005756D6" w:rsidRDefault="005756D6" w:rsidP="00EC3D61">
            <w:r>
              <w:rPr>
                <w:sz w:val="18"/>
                <w:szCs w:val="18"/>
              </w:rPr>
              <w:t>MRV Engenharia e Participações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D220346" w14:textId="77777777" w:rsidR="005756D6" w:rsidRDefault="005756D6" w:rsidP="00EC3D61">
            <w:r>
              <w:rPr>
                <w:sz w:val="18"/>
                <w:szCs w:val="18"/>
              </w:rPr>
              <w:t>Consumo Cíclico</w:t>
            </w:r>
          </w:p>
        </w:tc>
      </w:tr>
      <w:tr w:rsidR="005756D6" w14:paraId="4FA2B4F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FCC3CBF" w14:textId="77777777" w:rsidR="005756D6" w:rsidRDefault="005756D6" w:rsidP="00EC3D61">
            <w:pPr>
              <w:jc w:val="center"/>
            </w:pPr>
            <w:r>
              <w:rPr>
                <w:sz w:val="18"/>
                <w:szCs w:val="18"/>
              </w:rPr>
              <w:t>70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431B91" w14:textId="77777777" w:rsidR="005756D6" w:rsidRDefault="005756D6" w:rsidP="00EC3D61">
            <w:r>
              <w:rPr>
                <w:sz w:val="18"/>
                <w:szCs w:val="18"/>
              </w:rPr>
              <w:t>MULT3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E855BA7" w14:textId="77777777" w:rsidR="005756D6" w:rsidRDefault="005756D6" w:rsidP="00EC3D61">
            <w:r>
              <w:rPr>
                <w:sz w:val="18"/>
                <w:szCs w:val="18"/>
              </w:rPr>
              <w:t>Multiplan Empreendimentos Imobiliários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D19BE35" w14:textId="77777777" w:rsidR="005756D6" w:rsidRDefault="005756D6" w:rsidP="00EC3D61">
            <w:r>
              <w:rPr>
                <w:sz w:val="18"/>
                <w:szCs w:val="18"/>
              </w:rPr>
              <w:t>Consumo Cíclico</w:t>
            </w:r>
          </w:p>
        </w:tc>
      </w:tr>
      <w:tr w:rsidR="005756D6" w14:paraId="512931C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00667E4" w14:textId="77777777" w:rsidR="005756D6" w:rsidRDefault="005756D6" w:rsidP="00EC3D61">
            <w:pPr>
              <w:jc w:val="center"/>
            </w:pPr>
            <w:r>
              <w:rPr>
                <w:sz w:val="18"/>
                <w:szCs w:val="18"/>
              </w:rPr>
              <w:t>71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CC53B9" w14:textId="77777777" w:rsidR="005756D6" w:rsidRDefault="005756D6" w:rsidP="00EC3D61">
            <w:r>
              <w:rPr>
                <w:sz w:val="18"/>
                <w:szCs w:val="18"/>
              </w:rPr>
              <w:t>MYPK3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B49508" w14:textId="77777777" w:rsidR="005756D6" w:rsidRDefault="005756D6" w:rsidP="00EC3D61">
            <w:r>
              <w:rPr>
                <w:sz w:val="18"/>
                <w:szCs w:val="18"/>
              </w:rPr>
              <w:t>Iochpe-Maxion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FC62FEB" w14:textId="77777777" w:rsidR="005756D6" w:rsidRDefault="005756D6" w:rsidP="00EC3D61">
            <w:r>
              <w:rPr>
                <w:sz w:val="18"/>
                <w:szCs w:val="18"/>
              </w:rPr>
              <w:t>Bens Industriais</w:t>
            </w:r>
          </w:p>
        </w:tc>
      </w:tr>
      <w:tr w:rsidR="005756D6" w14:paraId="3A0E50E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6745E2" w14:textId="77777777" w:rsidR="005756D6" w:rsidRDefault="005756D6" w:rsidP="00EC3D61">
            <w:pPr>
              <w:jc w:val="center"/>
            </w:pPr>
            <w:r>
              <w:rPr>
                <w:sz w:val="18"/>
                <w:szCs w:val="18"/>
              </w:rPr>
              <w:t>72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8F0B77B" w14:textId="77777777" w:rsidR="005756D6" w:rsidRDefault="005756D6" w:rsidP="00EC3D61">
            <w:r>
              <w:rPr>
                <w:sz w:val="18"/>
                <w:szCs w:val="18"/>
              </w:rPr>
              <w:t>NATU3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5BBD55B" w14:textId="77777777" w:rsidR="005756D6" w:rsidRDefault="005756D6" w:rsidP="00EC3D61">
            <w:r>
              <w:rPr>
                <w:sz w:val="18"/>
                <w:szCs w:val="18"/>
              </w:rPr>
              <w:t>Natura Cosméticos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F4DEA5" w14:textId="77777777" w:rsidR="005756D6" w:rsidRDefault="005756D6" w:rsidP="00EC3D61">
            <w:r>
              <w:rPr>
                <w:sz w:val="18"/>
                <w:szCs w:val="18"/>
              </w:rPr>
              <w:t>Consumo Não Cíclico</w:t>
            </w:r>
          </w:p>
        </w:tc>
      </w:tr>
      <w:tr w:rsidR="005756D6" w14:paraId="0055154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43B75E" w14:textId="77777777" w:rsidR="005756D6" w:rsidRDefault="005756D6" w:rsidP="00EC3D61">
            <w:pPr>
              <w:jc w:val="center"/>
            </w:pPr>
            <w:r>
              <w:rPr>
                <w:sz w:val="18"/>
                <w:szCs w:val="18"/>
              </w:rPr>
              <w:t>73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ADE6320" w14:textId="77777777" w:rsidR="005756D6" w:rsidRDefault="005756D6" w:rsidP="00EC3D61">
            <w:r>
              <w:rPr>
                <w:sz w:val="18"/>
                <w:szCs w:val="18"/>
              </w:rPr>
              <w:t>NEXP3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08D6B2A" w14:textId="77777777" w:rsidR="005756D6" w:rsidRDefault="005756D6" w:rsidP="00EC3D61">
            <w:r>
              <w:rPr>
                <w:sz w:val="18"/>
                <w:szCs w:val="18"/>
              </w:rPr>
              <w:t>Nexen Pneus do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C54E800" w14:textId="77777777" w:rsidR="005756D6" w:rsidRDefault="005756D6" w:rsidP="00EC3D61">
            <w:r>
              <w:rPr>
                <w:sz w:val="18"/>
                <w:szCs w:val="18"/>
              </w:rPr>
              <w:t>Consumo Cíclico</w:t>
            </w:r>
          </w:p>
        </w:tc>
      </w:tr>
      <w:tr w:rsidR="005756D6" w14:paraId="79DBAFC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B1D1C81" w14:textId="77777777" w:rsidR="005756D6" w:rsidRDefault="005756D6" w:rsidP="00EC3D61">
            <w:pPr>
              <w:jc w:val="center"/>
            </w:pPr>
            <w:r>
              <w:rPr>
                <w:sz w:val="18"/>
                <w:szCs w:val="18"/>
              </w:rPr>
              <w:t>74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6DB5C0E" w14:textId="77777777" w:rsidR="005756D6" w:rsidRDefault="005756D6" w:rsidP="00EC3D61">
            <w:r>
              <w:rPr>
                <w:sz w:val="18"/>
                <w:szCs w:val="18"/>
              </w:rPr>
              <w:t>ODPV3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867491F" w14:textId="77777777" w:rsidR="005756D6" w:rsidRDefault="005756D6" w:rsidP="00EC3D61">
            <w:r>
              <w:rPr>
                <w:sz w:val="18"/>
                <w:szCs w:val="18"/>
              </w:rPr>
              <w:t>Odontoprev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6D0168" w14:textId="77777777" w:rsidR="005756D6" w:rsidRDefault="005756D6" w:rsidP="00EC3D61">
            <w:r>
              <w:rPr>
                <w:sz w:val="18"/>
                <w:szCs w:val="18"/>
              </w:rPr>
              <w:t>Saúde</w:t>
            </w:r>
          </w:p>
        </w:tc>
      </w:tr>
      <w:tr w:rsidR="005756D6" w14:paraId="1AF74352"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BF31338" w14:textId="77777777" w:rsidR="005756D6" w:rsidRDefault="005756D6" w:rsidP="00EC3D61">
            <w:pPr>
              <w:jc w:val="center"/>
            </w:pPr>
            <w:r>
              <w:rPr>
                <w:sz w:val="18"/>
                <w:szCs w:val="18"/>
              </w:rPr>
              <w:t>75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3558E2" w14:textId="77777777" w:rsidR="005756D6" w:rsidRDefault="005756D6" w:rsidP="00EC3D61">
            <w:r>
              <w:rPr>
                <w:sz w:val="18"/>
                <w:szCs w:val="18"/>
              </w:rPr>
              <w:t>OIBR3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9FB497"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DDFBA34" w14:textId="77777777" w:rsidR="005756D6" w:rsidRDefault="005756D6" w:rsidP="00EC3D61">
            <w:r>
              <w:rPr>
                <w:sz w:val="18"/>
                <w:szCs w:val="18"/>
              </w:rPr>
              <w:t>Comunicações</w:t>
            </w:r>
          </w:p>
        </w:tc>
      </w:tr>
      <w:tr w:rsidR="005756D6" w14:paraId="11A0DC6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DE5FE2" w14:textId="77777777" w:rsidR="005756D6" w:rsidRDefault="005756D6" w:rsidP="00EC3D61">
            <w:pPr>
              <w:jc w:val="center"/>
            </w:pPr>
            <w:r>
              <w:rPr>
                <w:sz w:val="18"/>
                <w:szCs w:val="18"/>
              </w:rPr>
              <w:t>76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111254" w14:textId="77777777" w:rsidR="005756D6" w:rsidRDefault="005756D6" w:rsidP="00EC3D61">
            <w:r>
              <w:rPr>
                <w:sz w:val="18"/>
                <w:szCs w:val="18"/>
              </w:rPr>
              <w:t>OIBR4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F90752" w14:textId="77777777" w:rsidR="005756D6" w:rsidRDefault="005756D6" w:rsidP="00EC3D61">
            <w:r>
              <w:rPr>
                <w:sz w:val="18"/>
                <w:szCs w:val="18"/>
              </w:rPr>
              <w:t>Oi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19A905C" w14:textId="77777777" w:rsidR="005756D6" w:rsidRDefault="005756D6" w:rsidP="00EC3D61">
            <w:r>
              <w:rPr>
                <w:sz w:val="18"/>
                <w:szCs w:val="18"/>
              </w:rPr>
              <w:t>Comunicações</w:t>
            </w:r>
          </w:p>
        </w:tc>
      </w:tr>
      <w:tr w:rsidR="005756D6" w14:paraId="7AB9876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3346A74" w14:textId="77777777" w:rsidR="005756D6" w:rsidRDefault="005756D6" w:rsidP="00EC3D61">
            <w:pPr>
              <w:jc w:val="center"/>
            </w:pPr>
            <w:r>
              <w:rPr>
                <w:sz w:val="18"/>
                <w:szCs w:val="18"/>
              </w:rPr>
              <w:t>77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E4DAD3" w14:textId="77777777" w:rsidR="005756D6" w:rsidRDefault="005756D6" w:rsidP="00EC3D61">
            <w:r>
              <w:rPr>
                <w:sz w:val="18"/>
                <w:szCs w:val="18"/>
              </w:rPr>
              <w:t>PDGR3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2ABC611" w14:textId="77777777" w:rsidR="005756D6" w:rsidRDefault="005756D6" w:rsidP="00EC3D61">
            <w:r>
              <w:rPr>
                <w:sz w:val="18"/>
                <w:szCs w:val="18"/>
              </w:rPr>
              <w:t>PDG Realty S.A. Empreendimentos e Participações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DA45EE" w14:textId="77777777" w:rsidR="005756D6" w:rsidRDefault="005756D6" w:rsidP="00EC3D61">
            <w:r>
              <w:rPr>
                <w:sz w:val="18"/>
                <w:szCs w:val="18"/>
              </w:rPr>
              <w:t>Consumo Cíclico</w:t>
            </w:r>
          </w:p>
        </w:tc>
      </w:tr>
      <w:tr w:rsidR="005756D6" w14:paraId="7D8BAFC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A8DB492" w14:textId="77777777" w:rsidR="005756D6" w:rsidRDefault="005756D6" w:rsidP="00EC3D61">
            <w:pPr>
              <w:jc w:val="center"/>
            </w:pPr>
            <w:r>
              <w:rPr>
                <w:sz w:val="18"/>
                <w:szCs w:val="18"/>
              </w:rPr>
              <w:t>78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5519A2" w14:textId="77777777" w:rsidR="005756D6" w:rsidRDefault="005756D6" w:rsidP="00EC3D61">
            <w:r>
              <w:rPr>
                <w:sz w:val="18"/>
                <w:szCs w:val="18"/>
              </w:rPr>
              <w:t>PDTC3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0C53878" w14:textId="77777777" w:rsidR="005756D6" w:rsidRDefault="005756D6" w:rsidP="00EC3D61">
            <w:r>
              <w:rPr>
                <w:sz w:val="18"/>
                <w:szCs w:val="18"/>
              </w:rPr>
              <w:t>Padtec Holding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13F430" w14:textId="77777777" w:rsidR="005756D6" w:rsidRDefault="005756D6" w:rsidP="00EC3D61">
            <w:r>
              <w:rPr>
                <w:sz w:val="18"/>
                <w:szCs w:val="18"/>
              </w:rPr>
              <w:t>Tecnologia da Informação</w:t>
            </w:r>
          </w:p>
        </w:tc>
      </w:tr>
      <w:tr w:rsidR="005756D6" w14:paraId="7D1D376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2E4330F" w14:textId="77777777" w:rsidR="005756D6" w:rsidRDefault="005756D6" w:rsidP="00EC3D61">
            <w:pPr>
              <w:jc w:val="center"/>
            </w:pPr>
            <w:r>
              <w:rPr>
                <w:sz w:val="18"/>
                <w:szCs w:val="18"/>
              </w:rPr>
              <w:t>79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87B81E" w14:textId="77777777" w:rsidR="005756D6" w:rsidRDefault="005756D6" w:rsidP="00EC3D61">
            <w:r>
              <w:rPr>
                <w:sz w:val="18"/>
                <w:szCs w:val="18"/>
              </w:rPr>
              <w:t>PETR3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AF1F80"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587214" w14:textId="77777777" w:rsidR="005756D6" w:rsidRDefault="005756D6" w:rsidP="00EC3D61">
            <w:r>
              <w:rPr>
                <w:sz w:val="18"/>
                <w:szCs w:val="18"/>
              </w:rPr>
              <w:t>Petróleo, Gás e Biocombustíveis</w:t>
            </w:r>
          </w:p>
        </w:tc>
      </w:tr>
      <w:tr w:rsidR="005756D6" w14:paraId="0E5CC40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E3C8A7" w14:textId="77777777" w:rsidR="005756D6" w:rsidRDefault="005756D6" w:rsidP="00EC3D61">
            <w:pPr>
              <w:jc w:val="center"/>
            </w:pPr>
            <w:r>
              <w:rPr>
                <w:sz w:val="18"/>
                <w:szCs w:val="18"/>
              </w:rPr>
              <w:t>80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5A548" w14:textId="77777777" w:rsidR="005756D6" w:rsidRDefault="005756D6" w:rsidP="00EC3D61">
            <w:r>
              <w:rPr>
                <w:sz w:val="18"/>
                <w:szCs w:val="18"/>
              </w:rPr>
              <w:t>PETR4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F2833D" w14:textId="77777777" w:rsidR="005756D6" w:rsidRDefault="005756D6" w:rsidP="00EC3D61">
            <w:r>
              <w:rPr>
                <w:sz w:val="18"/>
                <w:szCs w:val="18"/>
              </w:rPr>
              <w:t>Petróleo Brasileiro S.A. – Petrobras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6A18AF5" w14:textId="77777777" w:rsidR="005756D6" w:rsidRDefault="005756D6" w:rsidP="00EC3D61">
            <w:r>
              <w:rPr>
                <w:sz w:val="18"/>
                <w:szCs w:val="18"/>
              </w:rPr>
              <w:t>Petróleo, Gás e Biocombustíveis</w:t>
            </w:r>
          </w:p>
        </w:tc>
      </w:tr>
      <w:tr w:rsidR="005756D6" w14:paraId="66CE008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D81C87" w14:textId="77777777" w:rsidR="005756D6" w:rsidRDefault="005756D6" w:rsidP="00EC3D61">
            <w:pPr>
              <w:jc w:val="center"/>
            </w:pPr>
            <w:r>
              <w:rPr>
                <w:sz w:val="18"/>
                <w:szCs w:val="18"/>
              </w:rPr>
              <w:t>81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8CB296E" w14:textId="77777777" w:rsidR="005756D6" w:rsidRDefault="005756D6" w:rsidP="00EC3D61">
            <w:r>
              <w:rPr>
                <w:sz w:val="18"/>
                <w:szCs w:val="18"/>
              </w:rPr>
              <w:t>PFRM3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5013842" w14:textId="77777777" w:rsidR="005756D6" w:rsidRDefault="005756D6" w:rsidP="00EC3D61">
            <w:r>
              <w:rPr>
                <w:sz w:val="18"/>
                <w:szCs w:val="18"/>
              </w:rPr>
              <w:t>Profarma Distribuidora de Produtos Farmacêuticos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AD7E08B" w14:textId="77777777" w:rsidR="005756D6" w:rsidRDefault="005756D6" w:rsidP="00EC3D61">
            <w:r>
              <w:rPr>
                <w:sz w:val="18"/>
                <w:szCs w:val="18"/>
              </w:rPr>
              <w:t>Saúde</w:t>
            </w:r>
          </w:p>
        </w:tc>
      </w:tr>
      <w:tr w:rsidR="005756D6" w14:paraId="679A4BD6"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7F7E2B7" w14:textId="77777777" w:rsidR="005756D6" w:rsidRDefault="005756D6" w:rsidP="00EC3D61">
            <w:pPr>
              <w:jc w:val="center"/>
            </w:pPr>
            <w:r>
              <w:rPr>
                <w:sz w:val="18"/>
                <w:szCs w:val="18"/>
              </w:rPr>
              <w:t>82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C13084" w14:textId="77777777" w:rsidR="005756D6" w:rsidRDefault="005756D6" w:rsidP="00EC3D61">
            <w:r>
              <w:rPr>
                <w:sz w:val="18"/>
                <w:szCs w:val="18"/>
              </w:rPr>
              <w:t>PINE4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6F0DF8" w14:textId="77777777" w:rsidR="005756D6" w:rsidRDefault="005756D6" w:rsidP="00EC3D61">
            <w:r>
              <w:rPr>
                <w:sz w:val="18"/>
                <w:szCs w:val="18"/>
              </w:rPr>
              <w:t>Banco Pine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877D104" w14:textId="77777777" w:rsidR="005756D6" w:rsidRDefault="005756D6" w:rsidP="00EC3D61">
            <w:r>
              <w:rPr>
                <w:sz w:val="18"/>
                <w:szCs w:val="18"/>
              </w:rPr>
              <w:t>Financeiro</w:t>
            </w:r>
          </w:p>
        </w:tc>
      </w:tr>
      <w:tr w:rsidR="005756D6" w14:paraId="6EEAD4F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5C323A" w14:textId="77777777" w:rsidR="005756D6" w:rsidRDefault="005756D6" w:rsidP="00EC3D61">
            <w:pPr>
              <w:jc w:val="center"/>
            </w:pPr>
            <w:r>
              <w:rPr>
                <w:sz w:val="18"/>
                <w:szCs w:val="18"/>
              </w:rPr>
              <w:t>83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FF9A9C" w14:textId="77777777" w:rsidR="005756D6" w:rsidRDefault="005756D6" w:rsidP="00EC3D61">
            <w:r>
              <w:rPr>
                <w:sz w:val="18"/>
                <w:szCs w:val="18"/>
              </w:rPr>
              <w:t>PMAM3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4DB2DB5" w14:textId="77777777" w:rsidR="005756D6" w:rsidRDefault="005756D6" w:rsidP="00EC3D61">
            <w:r>
              <w:rPr>
                <w:sz w:val="18"/>
                <w:szCs w:val="18"/>
              </w:rPr>
              <w:t>Paranapanema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7756D30" w14:textId="77777777" w:rsidR="005756D6" w:rsidRDefault="005756D6" w:rsidP="00EC3D61">
            <w:r>
              <w:rPr>
                <w:sz w:val="18"/>
                <w:szCs w:val="18"/>
              </w:rPr>
              <w:t>Materiais Básicos</w:t>
            </w:r>
          </w:p>
        </w:tc>
      </w:tr>
      <w:tr w:rsidR="005756D6" w14:paraId="6A0F377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F9757A" w14:textId="77777777" w:rsidR="005756D6" w:rsidRDefault="005756D6" w:rsidP="00EC3D61">
            <w:pPr>
              <w:jc w:val="center"/>
            </w:pPr>
            <w:r>
              <w:rPr>
                <w:sz w:val="18"/>
                <w:szCs w:val="18"/>
              </w:rPr>
              <w:t>84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CB080" w14:textId="77777777" w:rsidR="005756D6" w:rsidRDefault="005756D6" w:rsidP="00EC3D61">
            <w:r>
              <w:rPr>
                <w:sz w:val="18"/>
                <w:szCs w:val="18"/>
              </w:rPr>
              <w:t>POMO4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9ABD68C" w14:textId="77777777" w:rsidR="005756D6" w:rsidRDefault="005756D6" w:rsidP="00EC3D61">
            <w:r>
              <w:rPr>
                <w:sz w:val="18"/>
                <w:szCs w:val="18"/>
              </w:rPr>
              <w:t>Marcopolo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28D9B" w14:textId="77777777" w:rsidR="005756D6" w:rsidRDefault="005756D6" w:rsidP="00EC3D61">
            <w:r>
              <w:rPr>
                <w:sz w:val="18"/>
                <w:szCs w:val="18"/>
              </w:rPr>
              <w:t>Bens Industriais</w:t>
            </w:r>
          </w:p>
        </w:tc>
      </w:tr>
      <w:tr w:rsidR="005756D6" w14:paraId="2490C13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D0C1DA" w14:textId="77777777" w:rsidR="005756D6" w:rsidRDefault="005756D6" w:rsidP="00EC3D61">
            <w:pPr>
              <w:jc w:val="center"/>
            </w:pPr>
            <w:r>
              <w:rPr>
                <w:sz w:val="18"/>
                <w:szCs w:val="18"/>
              </w:rPr>
              <w:t>85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7A9A34F" w14:textId="77777777" w:rsidR="005756D6" w:rsidRDefault="005756D6" w:rsidP="00EC3D61">
            <w:r>
              <w:rPr>
                <w:sz w:val="18"/>
                <w:szCs w:val="18"/>
              </w:rPr>
              <w:t>POSI3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EAE2BF" w14:textId="77777777" w:rsidR="005756D6" w:rsidRDefault="005756D6" w:rsidP="00EC3D61">
            <w:r>
              <w:rPr>
                <w:sz w:val="18"/>
                <w:szCs w:val="18"/>
              </w:rPr>
              <w:t>Positivo Tecnologia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B097315" w14:textId="77777777" w:rsidR="005756D6" w:rsidRDefault="005756D6" w:rsidP="00EC3D61">
            <w:r>
              <w:rPr>
                <w:sz w:val="18"/>
                <w:szCs w:val="18"/>
              </w:rPr>
              <w:t>Tecnologia da Informação</w:t>
            </w:r>
          </w:p>
        </w:tc>
      </w:tr>
      <w:tr w:rsidR="005756D6" w14:paraId="0D9FCCEF"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0519B52" w14:textId="77777777" w:rsidR="005756D6" w:rsidRDefault="005756D6" w:rsidP="00EC3D61">
            <w:pPr>
              <w:jc w:val="center"/>
            </w:pPr>
            <w:r>
              <w:rPr>
                <w:sz w:val="18"/>
                <w:szCs w:val="18"/>
              </w:rPr>
              <w:t>86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5C07D0B" w14:textId="77777777" w:rsidR="005756D6" w:rsidRDefault="005756D6" w:rsidP="00EC3D61">
            <w:r>
              <w:rPr>
                <w:sz w:val="18"/>
                <w:szCs w:val="18"/>
              </w:rPr>
              <w:t>PSSA3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489EA2F" w14:textId="77777777" w:rsidR="005756D6" w:rsidRDefault="005756D6" w:rsidP="00EC3D61">
            <w:r>
              <w:rPr>
                <w:sz w:val="18"/>
                <w:szCs w:val="18"/>
              </w:rPr>
              <w:t>Porto Seguro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9E9E916" w14:textId="77777777" w:rsidR="005756D6" w:rsidRDefault="005756D6" w:rsidP="00EC3D61">
            <w:r>
              <w:rPr>
                <w:sz w:val="18"/>
                <w:szCs w:val="18"/>
              </w:rPr>
              <w:t>Financeiro</w:t>
            </w:r>
          </w:p>
        </w:tc>
      </w:tr>
      <w:tr w:rsidR="005756D6" w14:paraId="303479A7"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859B6E" w14:textId="77777777" w:rsidR="005756D6" w:rsidRDefault="005756D6" w:rsidP="00EC3D61">
            <w:pPr>
              <w:jc w:val="center"/>
            </w:pPr>
            <w:r>
              <w:rPr>
                <w:sz w:val="18"/>
                <w:szCs w:val="18"/>
              </w:rPr>
              <w:t>87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EA8A40E" w14:textId="77777777" w:rsidR="005756D6" w:rsidRDefault="005756D6" w:rsidP="00EC3D61">
            <w:r>
              <w:rPr>
                <w:sz w:val="18"/>
                <w:szCs w:val="18"/>
              </w:rPr>
              <w:t>RADL3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AA5F6F" w14:textId="77777777" w:rsidR="005756D6" w:rsidRDefault="005756D6" w:rsidP="00EC3D61">
            <w:r>
              <w:rPr>
                <w:sz w:val="18"/>
                <w:szCs w:val="18"/>
              </w:rPr>
              <w:t>Raia Drogasil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11C27EE" w14:textId="77777777" w:rsidR="005756D6" w:rsidRDefault="005756D6" w:rsidP="00EC3D61">
            <w:r>
              <w:rPr>
                <w:sz w:val="18"/>
                <w:szCs w:val="18"/>
              </w:rPr>
              <w:t>Saúde</w:t>
            </w:r>
          </w:p>
        </w:tc>
      </w:tr>
      <w:tr w:rsidR="005756D6" w14:paraId="5596F65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82BCB3E" w14:textId="77777777" w:rsidR="005756D6" w:rsidRDefault="005756D6" w:rsidP="00EC3D61">
            <w:pPr>
              <w:jc w:val="center"/>
            </w:pPr>
            <w:r>
              <w:rPr>
                <w:sz w:val="18"/>
                <w:szCs w:val="18"/>
              </w:rPr>
              <w:t>88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320EB1D" w14:textId="77777777" w:rsidR="005756D6" w:rsidRDefault="005756D6" w:rsidP="00EC3D61">
            <w:r>
              <w:rPr>
                <w:sz w:val="18"/>
                <w:szCs w:val="18"/>
              </w:rPr>
              <w:t>RAPT4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E8BB1C" w14:textId="77777777" w:rsidR="005756D6" w:rsidRDefault="005756D6" w:rsidP="00EC3D61">
            <w:r>
              <w:rPr>
                <w:sz w:val="18"/>
                <w:szCs w:val="18"/>
              </w:rPr>
              <w:t>Randon S.A. Implementos e Participações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B5EF984" w14:textId="77777777" w:rsidR="005756D6" w:rsidRDefault="005756D6" w:rsidP="00EC3D61">
            <w:r>
              <w:rPr>
                <w:sz w:val="18"/>
                <w:szCs w:val="18"/>
              </w:rPr>
              <w:t>Bens Industriais</w:t>
            </w:r>
          </w:p>
        </w:tc>
      </w:tr>
      <w:tr w:rsidR="005756D6" w14:paraId="22FBF87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B75936B" w14:textId="77777777" w:rsidR="005756D6" w:rsidRDefault="005756D6" w:rsidP="00EC3D61">
            <w:pPr>
              <w:jc w:val="center"/>
            </w:pPr>
            <w:r>
              <w:rPr>
                <w:sz w:val="18"/>
                <w:szCs w:val="18"/>
              </w:rPr>
              <w:t>89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A5369B" w14:textId="77777777" w:rsidR="005756D6" w:rsidRDefault="005756D6" w:rsidP="00EC3D61">
            <w:r>
              <w:rPr>
                <w:sz w:val="18"/>
                <w:szCs w:val="18"/>
              </w:rPr>
              <w:t>RDNI3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52C9DC4" w14:textId="77777777" w:rsidR="005756D6" w:rsidRDefault="005756D6" w:rsidP="00EC3D61">
            <w:r>
              <w:rPr>
                <w:sz w:val="18"/>
                <w:szCs w:val="18"/>
              </w:rPr>
              <w:t>RDI Negócios Imobiliários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BAD50A7" w14:textId="77777777" w:rsidR="005756D6" w:rsidRDefault="005756D6" w:rsidP="00EC3D61">
            <w:r>
              <w:rPr>
                <w:sz w:val="18"/>
                <w:szCs w:val="18"/>
              </w:rPr>
              <w:t>Consumo Cíclico</w:t>
            </w:r>
          </w:p>
        </w:tc>
      </w:tr>
      <w:tr w:rsidR="005756D6" w14:paraId="39F2892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7772F31" w14:textId="77777777" w:rsidR="005756D6" w:rsidRDefault="005756D6" w:rsidP="00EC3D61">
            <w:pPr>
              <w:jc w:val="center"/>
            </w:pPr>
            <w:r>
              <w:rPr>
                <w:sz w:val="18"/>
                <w:szCs w:val="18"/>
              </w:rPr>
              <w:t>90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5A355A" w14:textId="77777777" w:rsidR="005756D6" w:rsidRDefault="005756D6" w:rsidP="00EC3D61">
            <w:r>
              <w:rPr>
                <w:sz w:val="18"/>
                <w:szCs w:val="18"/>
              </w:rPr>
              <w:t>RENT3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9BDB3A3" w14:textId="77777777" w:rsidR="005756D6" w:rsidRDefault="005756D6" w:rsidP="00EC3D61">
            <w:r>
              <w:rPr>
                <w:sz w:val="18"/>
                <w:szCs w:val="18"/>
              </w:rPr>
              <w:t>Localiza Rent a Car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DA12418" w14:textId="77777777" w:rsidR="005756D6" w:rsidRDefault="005756D6" w:rsidP="00EC3D61">
            <w:r>
              <w:rPr>
                <w:sz w:val="18"/>
                <w:szCs w:val="18"/>
              </w:rPr>
              <w:t>Consumo Cíclico</w:t>
            </w:r>
          </w:p>
        </w:tc>
      </w:tr>
      <w:tr w:rsidR="005756D6" w14:paraId="47E0B11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8858919" w14:textId="77777777" w:rsidR="005756D6" w:rsidRDefault="005756D6" w:rsidP="00EC3D61">
            <w:pPr>
              <w:jc w:val="center"/>
            </w:pPr>
            <w:r>
              <w:rPr>
                <w:sz w:val="18"/>
                <w:szCs w:val="18"/>
              </w:rPr>
              <w:t>91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5E94054" w14:textId="77777777" w:rsidR="005756D6" w:rsidRDefault="005756D6" w:rsidP="00EC3D61">
            <w:r>
              <w:rPr>
                <w:sz w:val="18"/>
                <w:szCs w:val="18"/>
              </w:rPr>
              <w:t>RIAA3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0558B7F" w14:textId="77777777" w:rsidR="005756D6" w:rsidRDefault="005756D6" w:rsidP="00EC3D61">
            <w:r>
              <w:rPr>
                <w:sz w:val="18"/>
                <w:szCs w:val="18"/>
              </w:rPr>
              <w:t>Guararapes Confecções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CD5245B" w14:textId="77777777" w:rsidR="005756D6" w:rsidRDefault="005756D6" w:rsidP="00EC3D61">
            <w:r>
              <w:rPr>
                <w:sz w:val="18"/>
                <w:szCs w:val="18"/>
              </w:rPr>
              <w:t>Consumo Cíclico</w:t>
            </w:r>
          </w:p>
        </w:tc>
      </w:tr>
      <w:tr w:rsidR="005756D6" w14:paraId="5005C1E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F7B015" w14:textId="77777777" w:rsidR="005756D6" w:rsidRDefault="005756D6" w:rsidP="00EC3D61">
            <w:pPr>
              <w:jc w:val="center"/>
            </w:pPr>
            <w:r>
              <w:rPr>
                <w:sz w:val="18"/>
                <w:szCs w:val="18"/>
              </w:rPr>
              <w:t>92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2AC37C" w14:textId="77777777" w:rsidR="005756D6" w:rsidRDefault="005756D6" w:rsidP="00EC3D61">
            <w:r>
              <w:rPr>
                <w:sz w:val="18"/>
                <w:szCs w:val="18"/>
              </w:rPr>
              <w:t>ROMI3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9A4C2F" w14:textId="77777777" w:rsidR="005756D6" w:rsidRDefault="005756D6" w:rsidP="00EC3D61">
            <w:r>
              <w:rPr>
                <w:sz w:val="18"/>
                <w:szCs w:val="18"/>
              </w:rPr>
              <w:t>Indústrias Romi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7695C45" w14:textId="77777777" w:rsidR="005756D6" w:rsidRDefault="005756D6" w:rsidP="00EC3D61">
            <w:r>
              <w:rPr>
                <w:sz w:val="18"/>
                <w:szCs w:val="18"/>
              </w:rPr>
              <w:t>Bens Industriais</w:t>
            </w:r>
          </w:p>
        </w:tc>
      </w:tr>
      <w:tr w:rsidR="005756D6" w14:paraId="54CDB39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7ED4212" w14:textId="77777777" w:rsidR="005756D6" w:rsidRDefault="005756D6" w:rsidP="00EC3D61">
            <w:pPr>
              <w:jc w:val="center"/>
            </w:pPr>
            <w:r>
              <w:rPr>
                <w:sz w:val="18"/>
                <w:szCs w:val="18"/>
              </w:rPr>
              <w:t>93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40C5D05" w14:textId="77777777" w:rsidR="005756D6" w:rsidRDefault="005756D6" w:rsidP="00EC3D61">
            <w:r>
              <w:rPr>
                <w:sz w:val="18"/>
                <w:szCs w:val="18"/>
              </w:rPr>
              <w:t>RPMG3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959504C" w14:textId="77777777" w:rsidR="005756D6" w:rsidRDefault="005756D6" w:rsidP="00EC3D61">
            <w:r>
              <w:rPr>
                <w:sz w:val="18"/>
                <w:szCs w:val="18"/>
              </w:rPr>
              <w:t>Refinaria de Petróleos de Manguinhos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26A5863" w14:textId="77777777" w:rsidR="005756D6" w:rsidRDefault="005756D6" w:rsidP="00EC3D61">
            <w:r>
              <w:rPr>
                <w:sz w:val="18"/>
                <w:szCs w:val="18"/>
              </w:rPr>
              <w:t>Petróleo, Gás e Biocombustíveis</w:t>
            </w:r>
          </w:p>
        </w:tc>
      </w:tr>
      <w:tr w:rsidR="005756D6" w14:paraId="064372D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6EA733" w14:textId="77777777" w:rsidR="005756D6" w:rsidRDefault="005756D6" w:rsidP="00EC3D61">
            <w:pPr>
              <w:jc w:val="center"/>
            </w:pPr>
            <w:r>
              <w:rPr>
                <w:sz w:val="18"/>
                <w:szCs w:val="18"/>
              </w:rPr>
              <w:t>94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A115474" w14:textId="77777777" w:rsidR="005756D6" w:rsidRDefault="005756D6" w:rsidP="00EC3D61">
            <w:r>
              <w:rPr>
                <w:sz w:val="18"/>
                <w:szCs w:val="18"/>
              </w:rPr>
              <w:t>RSID3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5E1A29C" w14:textId="77777777" w:rsidR="005756D6" w:rsidRDefault="005756D6" w:rsidP="00EC3D61">
            <w:r>
              <w:rPr>
                <w:sz w:val="18"/>
                <w:szCs w:val="18"/>
              </w:rPr>
              <w:t>Rossi Residencial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28048D" w14:textId="77777777" w:rsidR="005756D6" w:rsidRDefault="005756D6" w:rsidP="00EC3D61">
            <w:r>
              <w:rPr>
                <w:sz w:val="18"/>
                <w:szCs w:val="18"/>
              </w:rPr>
              <w:t>Consumo Cíclico</w:t>
            </w:r>
          </w:p>
        </w:tc>
      </w:tr>
      <w:tr w:rsidR="005756D6" w14:paraId="6032982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4984404" w14:textId="77777777" w:rsidR="005756D6" w:rsidRDefault="005756D6" w:rsidP="00EC3D61">
            <w:pPr>
              <w:jc w:val="center"/>
            </w:pPr>
            <w:r>
              <w:rPr>
                <w:sz w:val="18"/>
                <w:szCs w:val="18"/>
              </w:rPr>
              <w:t>95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763EF8" w14:textId="77777777" w:rsidR="005756D6" w:rsidRDefault="005756D6" w:rsidP="00EC3D61">
            <w:r>
              <w:rPr>
                <w:sz w:val="18"/>
                <w:szCs w:val="18"/>
              </w:rPr>
              <w:t>SANB11</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35A910E"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7B7B37" w14:textId="77777777" w:rsidR="005756D6" w:rsidRDefault="005756D6" w:rsidP="00EC3D61">
            <w:r>
              <w:rPr>
                <w:sz w:val="18"/>
                <w:szCs w:val="18"/>
              </w:rPr>
              <w:t>Financeiro</w:t>
            </w:r>
          </w:p>
        </w:tc>
      </w:tr>
      <w:tr w:rsidR="005756D6" w14:paraId="7A424A9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0036889" w14:textId="77777777" w:rsidR="005756D6" w:rsidRDefault="005756D6" w:rsidP="00EC3D61">
            <w:pPr>
              <w:jc w:val="center"/>
            </w:pPr>
            <w:r>
              <w:rPr>
                <w:sz w:val="18"/>
                <w:szCs w:val="18"/>
              </w:rPr>
              <w:t>96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DCDFFDF" w14:textId="77777777" w:rsidR="005756D6" w:rsidRDefault="005756D6" w:rsidP="00EC3D61">
            <w:r>
              <w:rPr>
                <w:sz w:val="18"/>
                <w:szCs w:val="18"/>
              </w:rPr>
              <w:t>SANB4</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2DDFF62" w14:textId="77777777" w:rsidR="005756D6" w:rsidRDefault="005756D6" w:rsidP="00EC3D61">
            <w:r>
              <w:rPr>
                <w:sz w:val="18"/>
                <w:szCs w:val="18"/>
              </w:rPr>
              <w:t>Banco Santander (Brasil)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99AFF55" w14:textId="77777777" w:rsidR="005756D6" w:rsidRDefault="005756D6" w:rsidP="00EC3D61">
            <w:r>
              <w:rPr>
                <w:sz w:val="18"/>
                <w:szCs w:val="18"/>
              </w:rPr>
              <w:t>Financeiro</w:t>
            </w:r>
          </w:p>
        </w:tc>
      </w:tr>
      <w:tr w:rsidR="005756D6" w14:paraId="474BA280"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C33DC6A" w14:textId="77777777" w:rsidR="005756D6" w:rsidRDefault="005756D6" w:rsidP="00EC3D61">
            <w:pPr>
              <w:jc w:val="center"/>
            </w:pPr>
            <w:r>
              <w:rPr>
                <w:sz w:val="18"/>
                <w:szCs w:val="18"/>
              </w:rPr>
              <w:t>97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9BC7D1" w14:textId="77777777" w:rsidR="005756D6" w:rsidRDefault="005756D6" w:rsidP="00EC3D61">
            <w:r>
              <w:rPr>
                <w:sz w:val="18"/>
                <w:szCs w:val="18"/>
              </w:rPr>
              <w:t>SBSP3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4D79B1" w14:textId="77777777" w:rsidR="005756D6" w:rsidRDefault="005756D6" w:rsidP="00EC3D61">
            <w:r>
              <w:rPr>
                <w:sz w:val="18"/>
                <w:szCs w:val="18"/>
              </w:rPr>
              <w:t>Cia de Saneamento Básico do Estado de São Paulo – SABESP</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A4229D5" w14:textId="77777777" w:rsidR="005756D6" w:rsidRDefault="005756D6" w:rsidP="00EC3D61">
            <w:r>
              <w:rPr>
                <w:sz w:val="18"/>
                <w:szCs w:val="18"/>
              </w:rPr>
              <w:t>Utilidade Pública</w:t>
            </w:r>
          </w:p>
        </w:tc>
      </w:tr>
      <w:tr w:rsidR="005756D6" w14:paraId="3854BF7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BA5E556" w14:textId="77777777" w:rsidR="005756D6" w:rsidRDefault="005756D6" w:rsidP="00EC3D61">
            <w:pPr>
              <w:jc w:val="center"/>
            </w:pPr>
            <w:r>
              <w:rPr>
                <w:sz w:val="18"/>
                <w:szCs w:val="18"/>
              </w:rPr>
              <w:t>98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5BF01A" w14:textId="77777777" w:rsidR="005756D6" w:rsidRDefault="005756D6" w:rsidP="00EC3D61">
            <w:r>
              <w:rPr>
                <w:sz w:val="18"/>
                <w:szCs w:val="18"/>
              </w:rPr>
              <w:t>SCAR3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1709CE" w14:textId="77777777" w:rsidR="005756D6" w:rsidRDefault="005756D6" w:rsidP="00EC3D61">
            <w:r>
              <w:rPr>
                <w:sz w:val="18"/>
                <w:szCs w:val="18"/>
              </w:rPr>
              <w:t>São Carlos Empreendimentos e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EE02769" w14:textId="77777777" w:rsidR="005756D6" w:rsidRDefault="005756D6" w:rsidP="00EC3D61">
            <w:r>
              <w:rPr>
                <w:sz w:val="18"/>
                <w:szCs w:val="18"/>
              </w:rPr>
              <w:t>Consumo Cíclico</w:t>
            </w:r>
          </w:p>
        </w:tc>
      </w:tr>
      <w:tr w:rsidR="005756D6" w14:paraId="40D6742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42D7CF" w14:textId="77777777" w:rsidR="005756D6" w:rsidRDefault="005756D6" w:rsidP="00EC3D61">
            <w:pPr>
              <w:jc w:val="center"/>
            </w:pPr>
            <w:r>
              <w:rPr>
                <w:sz w:val="18"/>
                <w:szCs w:val="18"/>
              </w:rPr>
              <w:t>99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5DD8EB" w14:textId="77777777" w:rsidR="005756D6" w:rsidRDefault="005756D6" w:rsidP="00EC3D61">
            <w:r>
              <w:rPr>
                <w:sz w:val="18"/>
                <w:szCs w:val="18"/>
              </w:rPr>
              <w:t>SLCE3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4579C77" w14:textId="77777777" w:rsidR="005756D6" w:rsidRDefault="005756D6" w:rsidP="00EC3D61">
            <w:r>
              <w:rPr>
                <w:sz w:val="18"/>
                <w:szCs w:val="18"/>
              </w:rPr>
              <w:t>SLC Agrícola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1A6D0D" w14:textId="77777777" w:rsidR="005756D6" w:rsidRDefault="005756D6" w:rsidP="00EC3D61">
            <w:r>
              <w:rPr>
                <w:sz w:val="18"/>
                <w:szCs w:val="18"/>
              </w:rPr>
              <w:t>Consumo Não Cíclico</w:t>
            </w:r>
          </w:p>
        </w:tc>
      </w:tr>
      <w:tr w:rsidR="005756D6" w14:paraId="7E0134B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E339DEA" w14:textId="77777777" w:rsidR="005756D6" w:rsidRDefault="005756D6" w:rsidP="00EC3D61">
            <w:pPr>
              <w:jc w:val="center"/>
            </w:pPr>
            <w:r>
              <w:rPr>
                <w:sz w:val="18"/>
                <w:szCs w:val="18"/>
              </w:rPr>
              <w:t>100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E035C" w14:textId="77777777" w:rsidR="005756D6" w:rsidRDefault="005756D6" w:rsidP="00EC3D61">
            <w:r>
              <w:rPr>
                <w:sz w:val="18"/>
                <w:szCs w:val="18"/>
              </w:rPr>
              <w:t>SMTO3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F13A2E1" w14:textId="77777777" w:rsidR="005756D6" w:rsidRDefault="005756D6" w:rsidP="00EC3D61">
            <w:r>
              <w:rPr>
                <w:sz w:val="18"/>
                <w:szCs w:val="18"/>
              </w:rPr>
              <w:t>São Martinho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5C965C" w14:textId="77777777" w:rsidR="005756D6" w:rsidRDefault="005756D6" w:rsidP="00EC3D61">
            <w:r>
              <w:rPr>
                <w:sz w:val="18"/>
                <w:szCs w:val="18"/>
              </w:rPr>
              <w:t>Consumo Não Cíclico</w:t>
            </w:r>
          </w:p>
        </w:tc>
      </w:tr>
      <w:tr w:rsidR="005756D6" w14:paraId="05D3881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F513764" w14:textId="77777777" w:rsidR="005756D6" w:rsidRDefault="005756D6" w:rsidP="00EC3D61">
            <w:pPr>
              <w:jc w:val="center"/>
            </w:pPr>
            <w:r>
              <w:rPr>
                <w:sz w:val="18"/>
                <w:szCs w:val="18"/>
              </w:rPr>
              <w:t>101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C6AD34" w14:textId="77777777" w:rsidR="005756D6" w:rsidRDefault="005756D6" w:rsidP="00EC3D61">
            <w:r>
              <w:rPr>
                <w:sz w:val="18"/>
                <w:szCs w:val="18"/>
              </w:rPr>
              <w:t>TASA4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5EF6E5F" w14:textId="77777777" w:rsidR="005756D6" w:rsidRDefault="005756D6" w:rsidP="00EC3D61">
            <w:r>
              <w:rPr>
                <w:sz w:val="18"/>
                <w:szCs w:val="18"/>
              </w:rPr>
              <w:t>Tensacalho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D69FB1F" w14:textId="77777777" w:rsidR="005756D6" w:rsidRDefault="005756D6" w:rsidP="00EC3D61">
            <w:r>
              <w:rPr>
                <w:sz w:val="18"/>
                <w:szCs w:val="18"/>
              </w:rPr>
              <w:t>Materiais Básicos</w:t>
            </w:r>
          </w:p>
        </w:tc>
      </w:tr>
      <w:tr w:rsidR="005756D6" w14:paraId="4354B983"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198EB0" w14:textId="77777777" w:rsidR="005756D6" w:rsidRDefault="005756D6" w:rsidP="00EC3D61">
            <w:pPr>
              <w:jc w:val="center"/>
            </w:pPr>
            <w:r>
              <w:rPr>
                <w:sz w:val="18"/>
                <w:szCs w:val="18"/>
              </w:rPr>
              <w:t>102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283BAB9" w14:textId="77777777" w:rsidR="005756D6" w:rsidRDefault="005756D6" w:rsidP="00EC3D61">
            <w:r>
              <w:rPr>
                <w:sz w:val="18"/>
                <w:szCs w:val="18"/>
              </w:rPr>
              <w:t>TCSA3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029F1B4F" w14:textId="77777777" w:rsidR="005756D6" w:rsidRDefault="005756D6" w:rsidP="00EC3D61">
            <w:r>
              <w:rPr>
                <w:sz w:val="18"/>
                <w:szCs w:val="18"/>
              </w:rPr>
              <w:t>Tecnisa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CE75FD8" w14:textId="77777777" w:rsidR="005756D6" w:rsidRDefault="005756D6" w:rsidP="00EC3D61">
            <w:r>
              <w:rPr>
                <w:sz w:val="18"/>
                <w:szCs w:val="18"/>
              </w:rPr>
              <w:t>Consumo Cíclico</w:t>
            </w:r>
          </w:p>
        </w:tc>
      </w:tr>
      <w:tr w:rsidR="005756D6" w14:paraId="745961AA"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45DB17B" w14:textId="77777777" w:rsidR="005756D6" w:rsidRDefault="005756D6" w:rsidP="00EC3D61">
            <w:pPr>
              <w:jc w:val="center"/>
            </w:pPr>
            <w:r>
              <w:rPr>
                <w:sz w:val="18"/>
                <w:szCs w:val="18"/>
              </w:rPr>
              <w:t>103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6E7BD3" w14:textId="77777777" w:rsidR="005756D6" w:rsidRDefault="005756D6" w:rsidP="00EC3D61">
            <w:r>
              <w:rPr>
                <w:sz w:val="18"/>
                <w:szCs w:val="18"/>
              </w:rPr>
              <w:t>TELB4</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E9113B5" w14:textId="77777777" w:rsidR="005756D6" w:rsidRDefault="005756D6" w:rsidP="00EC3D61">
            <w:r>
              <w:rPr>
                <w:sz w:val="18"/>
                <w:szCs w:val="18"/>
              </w:rPr>
              <w:t>Telecomunicações Brasileiras S.A. – Telebras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EAE0095" w14:textId="77777777" w:rsidR="005756D6" w:rsidRDefault="005756D6" w:rsidP="00EC3D61">
            <w:r>
              <w:rPr>
                <w:sz w:val="18"/>
                <w:szCs w:val="18"/>
              </w:rPr>
              <w:t>Comunicações</w:t>
            </w:r>
          </w:p>
        </w:tc>
      </w:tr>
      <w:tr w:rsidR="005756D6" w14:paraId="75CB209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404BB9C" w14:textId="77777777" w:rsidR="005756D6" w:rsidRDefault="005756D6" w:rsidP="00EC3D61">
            <w:pPr>
              <w:jc w:val="center"/>
            </w:pPr>
            <w:r>
              <w:rPr>
                <w:sz w:val="18"/>
                <w:szCs w:val="18"/>
              </w:rPr>
              <w:t>104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49E0518" w14:textId="77777777" w:rsidR="005756D6" w:rsidRDefault="005756D6" w:rsidP="00EC3D61">
            <w:r>
              <w:rPr>
                <w:sz w:val="18"/>
                <w:szCs w:val="18"/>
              </w:rPr>
              <w:t>TGMA3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D36571E" w14:textId="77777777" w:rsidR="005756D6" w:rsidRDefault="005756D6" w:rsidP="00EC3D61">
            <w:r>
              <w:rPr>
                <w:sz w:val="18"/>
                <w:szCs w:val="18"/>
              </w:rPr>
              <w:t>Tegma Gestão Logística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8B8D4DE" w14:textId="77777777" w:rsidR="005756D6" w:rsidRDefault="005756D6" w:rsidP="00EC3D61">
            <w:r>
              <w:rPr>
                <w:sz w:val="18"/>
                <w:szCs w:val="18"/>
              </w:rPr>
              <w:t>Bens Industriais</w:t>
            </w:r>
          </w:p>
        </w:tc>
      </w:tr>
      <w:tr w:rsidR="005756D6" w14:paraId="3704764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CAF0A52" w14:textId="77777777" w:rsidR="005756D6" w:rsidRDefault="005756D6" w:rsidP="00EC3D61">
            <w:pPr>
              <w:jc w:val="center"/>
            </w:pPr>
            <w:r>
              <w:rPr>
                <w:sz w:val="18"/>
                <w:szCs w:val="18"/>
              </w:rPr>
              <w:t>105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22B92D4" w14:textId="77777777" w:rsidR="005756D6" w:rsidRDefault="005756D6" w:rsidP="00EC3D61">
            <w:r>
              <w:rPr>
                <w:sz w:val="18"/>
                <w:szCs w:val="18"/>
              </w:rPr>
              <w:t>TIMS3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CAC9AD8" w14:textId="77777777" w:rsidR="005756D6" w:rsidRDefault="005756D6" w:rsidP="00EC3D61">
            <w:r>
              <w:rPr>
                <w:sz w:val="18"/>
                <w:szCs w:val="18"/>
              </w:rPr>
              <w:t>TIM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BD236B" w14:textId="77777777" w:rsidR="005756D6" w:rsidRDefault="005756D6" w:rsidP="00EC3D61">
            <w:r>
              <w:rPr>
                <w:sz w:val="18"/>
                <w:szCs w:val="18"/>
              </w:rPr>
              <w:t>Comunicações</w:t>
            </w:r>
          </w:p>
        </w:tc>
      </w:tr>
      <w:tr w:rsidR="005756D6" w14:paraId="18424BC1"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13A09F6" w14:textId="77777777" w:rsidR="005756D6" w:rsidRDefault="005756D6" w:rsidP="00EC3D61">
            <w:pPr>
              <w:jc w:val="center"/>
            </w:pPr>
            <w:r>
              <w:rPr>
                <w:sz w:val="18"/>
                <w:szCs w:val="18"/>
              </w:rPr>
              <w:t>106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A9CF47C" w14:textId="77777777" w:rsidR="005756D6" w:rsidRDefault="005756D6" w:rsidP="00EC3D61">
            <w:r>
              <w:rPr>
                <w:sz w:val="18"/>
                <w:szCs w:val="18"/>
              </w:rPr>
              <w:t>TOTS3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25C3C40" w14:textId="77777777" w:rsidR="005756D6" w:rsidRDefault="005756D6" w:rsidP="00EC3D61">
            <w:r>
              <w:rPr>
                <w:sz w:val="18"/>
                <w:szCs w:val="18"/>
              </w:rPr>
              <w:t>Totvs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78018C0" w14:textId="77777777" w:rsidR="005756D6" w:rsidRDefault="005756D6" w:rsidP="00EC3D61">
            <w:r>
              <w:rPr>
                <w:sz w:val="18"/>
                <w:szCs w:val="18"/>
              </w:rPr>
              <w:t>Tecnologia da Informação</w:t>
            </w:r>
          </w:p>
        </w:tc>
      </w:tr>
      <w:tr w:rsidR="005756D6" w14:paraId="3B9EA49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260E1F6" w14:textId="77777777" w:rsidR="005756D6" w:rsidRDefault="005756D6" w:rsidP="00EC3D61">
            <w:pPr>
              <w:jc w:val="center"/>
            </w:pPr>
            <w:r>
              <w:rPr>
                <w:sz w:val="18"/>
                <w:szCs w:val="18"/>
              </w:rPr>
              <w:t>107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9C972B6" w14:textId="77777777" w:rsidR="005756D6" w:rsidRDefault="005756D6" w:rsidP="00EC3D61">
            <w:r>
              <w:rPr>
                <w:sz w:val="18"/>
                <w:szCs w:val="18"/>
              </w:rPr>
              <w:t>TPIS3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0426983" w14:textId="77777777" w:rsidR="005756D6" w:rsidRDefault="005756D6" w:rsidP="00EC3D61">
            <w:r>
              <w:rPr>
                <w:sz w:val="18"/>
                <w:szCs w:val="18"/>
              </w:rPr>
              <w:t>Triunfo Participações e Investimentos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ED6A5AC" w14:textId="77777777" w:rsidR="005756D6" w:rsidRDefault="005756D6" w:rsidP="00EC3D61">
            <w:r>
              <w:rPr>
                <w:sz w:val="18"/>
                <w:szCs w:val="18"/>
              </w:rPr>
              <w:t>Bens Industriais</w:t>
            </w:r>
          </w:p>
        </w:tc>
      </w:tr>
      <w:tr w:rsidR="005756D6" w14:paraId="09F77DA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01CAD96" w14:textId="77777777" w:rsidR="005756D6" w:rsidRDefault="005756D6" w:rsidP="00EC3D61">
            <w:pPr>
              <w:jc w:val="center"/>
            </w:pPr>
            <w:r>
              <w:rPr>
                <w:sz w:val="18"/>
                <w:szCs w:val="18"/>
              </w:rPr>
              <w:t>108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3C3BF0" w14:textId="77777777" w:rsidR="005756D6" w:rsidRDefault="005756D6" w:rsidP="00EC3D61">
            <w:r>
              <w:rPr>
                <w:sz w:val="18"/>
                <w:szCs w:val="18"/>
              </w:rPr>
              <w:t>TRIS3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D46E55" w14:textId="77777777" w:rsidR="005756D6" w:rsidRDefault="005756D6" w:rsidP="00EC3D61">
            <w:r>
              <w:rPr>
                <w:sz w:val="18"/>
                <w:szCs w:val="18"/>
              </w:rPr>
              <w:t>Trisul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C998E5D" w14:textId="77777777" w:rsidR="005756D6" w:rsidRDefault="005756D6" w:rsidP="00EC3D61">
            <w:r>
              <w:rPr>
                <w:sz w:val="18"/>
                <w:szCs w:val="18"/>
              </w:rPr>
              <w:t>Consumo Cíclico</w:t>
            </w:r>
          </w:p>
        </w:tc>
      </w:tr>
      <w:tr w:rsidR="005756D6" w14:paraId="25177D4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69CFAEF" w14:textId="77777777" w:rsidR="005756D6" w:rsidRDefault="005756D6" w:rsidP="00EC3D61">
            <w:pPr>
              <w:jc w:val="center"/>
            </w:pPr>
            <w:r>
              <w:rPr>
                <w:sz w:val="18"/>
                <w:szCs w:val="18"/>
              </w:rPr>
              <w:t>109</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F539FA7" w14:textId="77777777" w:rsidR="005756D6" w:rsidRDefault="005756D6" w:rsidP="00EC3D61">
            <w:r>
              <w:rPr>
                <w:sz w:val="18"/>
                <w:szCs w:val="18"/>
              </w:rPr>
              <w:t>UNIP6</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620BB2F" w14:textId="77777777" w:rsidR="005756D6" w:rsidRDefault="005756D6" w:rsidP="00EC3D61">
            <w:r>
              <w:rPr>
                <w:sz w:val="18"/>
                <w:szCs w:val="18"/>
              </w:rPr>
              <w:t>Unipar Carbocloro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70B9DB1B" w14:textId="77777777" w:rsidR="005756D6" w:rsidRDefault="005756D6" w:rsidP="00EC3D61">
            <w:r>
              <w:rPr>
                <w:sz w:val="18"/>
                <w:szCs w:val="18"/>
              </w:rPr>
              <w:t>Materiais Básicos</w:t>
            </w:r>
          </w:p>
        </w:tc>
      </w:tr>
      <w:tr w:rsidR="005756D6" w14:paraId="6FC297A9"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12D6742" w14:textId="77777777" w:rsidR="005756D6" w:rsidRDefault="005756D6" w:rsidP="00EC3D61">
            <w:pPr>
              <w:jc w:val="center"/>
            </w:pPr>
            <w:r>
              <w:rPr>
                <w:sz w:val="18"/>
                <w:szCs w:val="18"/>
              </w:rPr>
              <w:t>110</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5DF0261" w14:textId="77777777" w:rsidR="005756D6" w:rsidRDefault="005756D6" w:rsidP="00EC3D61">
            <w:r>
              <w:rPr>
                <w:sz w:val="18"/>
                <w:szCs w:val="18"/>
              </w:rPr>
              <w:t>USIM3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276B0DF2"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102B410" w14:textId="77777777" w:rsidR="005756D6" w:rsidRDefault="005756D6" w:rsidP="00EC3D61">
            <w:r>
              <w:rPr>
                <w:sz w:val="18"/>
                <w:szCs w:val="18"/>
              </w:rPr>
              <w:t>Materiais Básicos</w:t>
            </w:r>
          </w:p>
        </w:tc>
      </w:tr>
      <w:tr w:rsidR="005756D6" w14:paraId="2DECE9FD"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7412409" w14:textId="77777777" w:rsidR="005756D6" w:rsidRDefault="005756D6" w:rsidP="00EC3D61">
            <w:pPr>
              <w:jc w:val="center"/>
            </w:pPr>
            <w:r>
              <w:rPr>
                <w:sz w:val="18"/>
                <w:szCs w:val="18"/>
              </w:rPr>
              <w:lastRenderedPageBreak/>
              <w:t>111</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91027A4" w14:textId="77777777" w:rsidR="005756D6" w:rsidRDefault="005756D6" w:rsidP="00EC3D61">
            <w:r>
              <w:rPr>
                <w:sz w:val="18"/>
                <w:szCs w:val="18"/>
              </w:rPr>
              <w:t>USIM5</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BCD8529" w14:textId="77777777" w:rsidR="005756D6" w:rsidRDefault="005756D6" w:rsidP="00EC3D61">
            <w:r>
              <w:rPr>
                <w:sz w:val="18"/>
                <w:szCs w:val="18"/>
              </w:rPr>
              <w:t>Usinas Siderúrgicas de Minas Gerais S.A. – USIMINAS</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567A53C7" w14:textId="77777777" w:rsidR="005756D6" w:rsidRDefault="005756D6" w:rsidP="00EC3D61">
            <w:r>
              <w:rPr>
                <w:sz w:val="18"/>
                <w:szCs w:val="18"/>
              </w:rPr>
              <w:t>Materiais Básicos</w:t>
            </w:r>
          </w:p>
        </w:tc>
      </w:tr>
      <w:tr w:rsidR="005756D6" w14:paraId="0E26EDBB"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4D94993" w14:textId="77777777" w:rsidR="005756D6" w:rsidRDefault="005756D6" w:rsidP="00EC3D61">
            <w:pPr>
              <w:jc w:val="center"/>
            </w:pPr>
            <w:r>
              <w:rPr>
                <w:sz w:val="18"/>
                <w:szCs w:val="18"/>
              </w:rPr>
              <w:t>112</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E89539" w14:textId="77777777" w:rsidR="005756D6" w:rsidRDefault="005756D6" w:rsidP="00EC3D61">
            <w:r>
              <w:rPr>
                <w:sz w:val="18"/>
                <w:szCs w:val="18"/>
              </w:rPr>
              <w:t>VALE3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BB17942" w14:textId="77777777" w:rsidR="005756D6" w:rsidRDefault="005756D6" w:rsidP="00EC3D61">
            <w:r>
              <w:rPr>
                <w:sz w:val="18"/>
                <w:szCs w:val="18"/>
              </w:rPr>
              <w:t>Vale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285B2BD" w14:textId="77777777" w:rsidR="005756D6" w:rsidRDefault="005756D6" w:rsidP="00EC3D61">
            <w:r>
              <w:rPr>
                <w:sz w:val="18"/>
                <w:szCs w:val="18"/>
              </w:rPr>
              <w:t>Materiais Básicos</w:t>
            </w:r>
          </w:p>
        </w:tc>
      </w:tr>
      <w:tr w:rsidR="005756D6" w14:paraId="7A4C65DE"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67AD629" w14:textId="77777777" w:rsidR="005756D6" w:rsidRDefault="005756D6" w:rsidP="00EC3D61">
            <w:pPr>
              <w:jc w:val="center"/>
            </w:pPr>
            <w:r>
              <w:rPr>
                <w:sz w:val="18"/>
                <w:szCs w:val="18"/>
              </w:rPr>
              <w:t>113</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3176915A" w14:textId="77777777" w:rsidR="005756D6" w:rsidRDefault="005756D6" w:rsidP="00EC3D61">
            <w:r>
              <w:rPr>
                <w:sz w:val="18"/>
                <w:szCs w:val="18"/>
              </w:rPr>
              <w:t>VIVR3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CB2F4DA" w14:textId="77777777" w:rsidR="005756D6" w:rsidRDefault="005756D6" w:rsidP="00EC3D61">
            <w:r>
              <w:rPr>
                <w:sz w:val="18"/>
                <w:szCs w:val="18"/>
              </w:rPr>
              <w:t>Viver Incorporadora e Construtora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86809C9" w14:textId="77777777" w:rsidR="005756D6" w:rsidRDefault="005756D6" w:rsidP="00EC3D61">
            <w:r>
              <w:rPr>
                <w:sz w:val="18"/>
                <w:szCs w:val="18"/>
              </w:rPr>
              <w:t>Consumo Cíclico</w:t>
            </w:r>
          </w:p>
        </w:tc>
      </w:tr>
      <w:tr w:rsidR="005756D6" w14:paraId="003659CC"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FECED88" w14:textId="77777777" w:rsidR="005756D6" w:rsidRDefault="005756D6" w:rsidP="00EC3D61">
            <w:pPr>
              <w:jc w:val="center"/>
            </w:pPr>
            <w:r>
              <w:rPr>
                <w:sz w:val="18"/>
                <w:szCs w:val="18"/>
              </w:rPr>
              <w:t>114</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1F616C3A" w14:textId="77777777" w:rsidR="005756D6" w:rsidRDefault="005756D6" w:rsidP="00EC3D61">
            <w:r>
              <w:rPr>
                <w:sz w:val="18"/>
                <w:szCs w:val="18"/>
              </w:rPr>
              <w:t>VIVT3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7819D2C" w14:textId="77777777" w:rsidR="005756D6" w:rsidRDefault="005756D6" w:rsidP="00EC3D61">
            <w:r>
              <w:rPr>
                <w:sz w:val="18"/>
                <w:szCs w:val="18"/>
              </w:rPr>
              <w:t>Telefônica Brasil S.A. (VIVO)</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277925A" w14:textId="77777777" w:rsidR="005756D6" w:rsidRDefault="005756D6" w:rsidP="00EC3D61">
            <w:r>
              <w:rPr>
                <w:sz w:val="18"/>
                <w:szCs w:val="18"/>
              </w:rPr>
              <w:t>Comunicações</w:t>
            </w:r>
          </w:p>
        </w:tc>
      </w:tr>
      <w:tr w:rsidR="005756D6" w14:paraId="2591D544"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401F8515" w14:textId="77777777" w:rsidR="005756D6" w:rsidRDefault="005756D6" w:rsidP="00EC3D61">
            <w:pPr>
              <w:jc w:val="center"/>
            </w:pPr>
            <w:r>
              <w:rPr>
                <w:sz w:val="18"/>
                <w:szCs w:val="18"/>
              </w:rPr>
              <w:t>115</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14414349" w14:textId="77777777" w:rsidR="005756D6" w:rsidRDefault="005756D6" w:rsidP="00EC3D61">
            <w:r>
              <w:rPr>
                <w:sz w:val="18"/>
                <w:szCs w:val="18"/>
              </w:rPr>
              <w:t>VLID3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6BF026A" w14:textId="77777777" w:rsidR="005756D6" w:rsidRDefault="005756D6" w:rsidP="00EC3D61">
            <w:r>
              <w:rPr>
                <w:sz w:val="18"/>
                <w:szCs w:val="18"/>
              </w:rPr>
              <w:t>Valid Soluções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8CC6D82" w14:textId="77777777" w:rsidR="005756D6" w:rsidRDefault="005756D6" w:rsidP="00EC3D61">
            <w:r>
              <w:rPr>
                <w:sz w:val="18"/>
                <w:szCs w:val="18"/>
              </w:rPr>
              <w:t>Tecnologia da Informação</w:t>
            </w:r>
          </w:p>
        </w:tc>
      </w:tr>
      <w:tr w:rsidR="005756D6" w14:paraId="54A2349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66AF5EA7" w14:textId="77777777" w:rsidR="005756D6" w:rsidRDefault="005756D6" w:rsidP="00EC3D61">
            <w:pPr>
              <w:jc w:val="center"/>
            </w:pPr>
            <w:r>
              <w:rPr>
                <w:sz w:val="18"/>
                <w:szCs w:val="18"/>
              </w:rPr>
              <w:t>116</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0CF1B69" w14:textId="77777777" w:rsidR="005756D6" w:rsidRDefault="005756D6" w:rsidP="00EC3D61">
            <w:r>
              <w:rPr>
                <w:sz w:val="18"/>
                <w:szCs w:val="18"/>
              </w:rPr>
              <w:t>VSTE3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45B76D1" w14:textId="77777777" w:rsidR="005756D6" w:rsidRDefault="005756D6" w:rsidP="00EC3D61">
            <w:r>
              <w:rPr>
                <w:sz w:val="18"/>
                <w:szCs w:val="18"/>
              </w:rPr>
              <w:t>Veste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3EA0A83" w14:textId="77777777" w:rsidR="005756D6" w:rsidRDefault="005756D6" w:rsidP="00EC3D61">
            <w:r>
              <w:rPr>
                <w:sz w:val="18"/>
                <w:szCs w:val="18"/>
              </w:rPr>
              <w:t>Consumo Cíclico</w:t>
            </w:r>
          </w:p>
        </w:tc>
      </w:tr>
      <w:tr w:rsidR="005756D6" w14:paraId="73CD91B6"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6DC80EAB" w14:textId="77777777" w:rsidR="005756D6" w:rsidRDefault="005756D6" w:rsidP="00EC3D61">
            <w:pPr>
              <w:jc w:val="center"/>
            </w:pPr>
            <w:r>
              <w:rPr>
                <w:sz w:val="18"/>
                <w:szCs w:val="18"/>
              </w:rPr>
              <w:t>117</w:t>
            </w:r>
          </w:p>
        </w:tc>
        <w:tc>
          <w:tcPr>
            <w:tcW w:w="118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EE7AE75" w14:textId="77777777" w:rsidR="005756D6" w:rsidRDefault="005756D6" w:rsidP="00EC3D61">
            <w:r>
              <w:rPr>
                <w:sz w:val="18"/>
                <w:szCs w:val="18"/>
              </w:rPr>
              <w:t>WEGE3</w:t>
            </w:r>
          </w:p>
        </w:tc>
        <w:tc>
          <w:tcPr>
            <w:tcW w:w="4438"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091C8D8F" w14:textId="77777777" w:rsidR="005756D6" w:rsidRDefault="005756D6" w:rsidP="00EC3D61">
            <w:r>
              <w:rPr>
                <w:sz w:val="18"/>
                <w:szCs w:val="18"/>
              </w:rPr>
              <w:t>WEG S.A.</w:t>
            </w:r>
          </w:p>
        </w:tc>
        <w:tc>
          <w:tcPr>
            <w:tcW w:w="2400" w:type="dxa"/>
            <w:tcBorders>
              <w:top w:val="single" w:sz="1" w:space="0" w:color="BBBBBB"/>
              <w:left w:val="single" w:sz="1" w:space="0" w:color="BBBBBB"/>
              <w:bottom w:val="single" w:sz="1" w:space="0" w:color="BBBBBB"/>
              <w:right w:val="single" w:sz="1" w:space="0" w:color="BBBBBB"/>
            </w:tcBorders>
            <w:tcMar>
              <w:top w:w="40" w:type="dxa"/>
              <w:left w:w="100" w:type="dxa"/>
              <w:bottom w:w="40" w:type="dxa"/>
              <w:right w:w="100" w:type="dxa"/>
            </w:tcMar>
          </w:tcPr>
          <w:p w14:paraId="276F4C44" w14:textId="77777777" w:rsidR="005756D6" w:rsidRDefault="005756D6" w:rsidP="00EC3D61">
            <w:r>
              <w:rPr>
                <w:sz w:val="18"/>
                <w:szCs w:val="18"/>
              </w:rPr>
              <w:t>Bens Industriais</w:t>
            </w:r>
          </w:p>
        </w:tc>
      </w:tr>
      <w:tr w:rsidR="005756D6" w14:paraId="777A8FC5" w14:textId="77777777" w:rsidTr="00EC3D61">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305BD81F" w14:textId="77777777" w:rsidR="005756D6" w:rsidRDefault="005756D6" w:rsidP="00EC3D61">
            <w:pPr>
              <w:jc w:val="center"/>
            </w:pPr>
            <w:r>
              <w:rPr>
                <w:sz w:val="18"/>
                <w:szCs w:val="18"/>
              </w:rPr>
              <w:t>118</w:t>
            </w:r>
          </w:p>
        </w:tc>
        <w:tc>
          <w:tcPr>
            <w:tcW w:w="118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4E7EF168" w14:textId="77777777" w:rsidR="005756D6" w:rsidRDefault="005756D6" w:rsidP="00EC3D61">
            <w:r>
              <w:rPr>
                <w:sz w:val="18"/>
                <w:szCs w:val="18"/>
              </w:rPr>
              <w:t>YDUQ3</w:t>
            </w:r>
          </w:p>
        </w:tc>
        <w:tc>
          <w:tcPr>
            <w:tcW w:w="4438"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76FFFBF1" w14:textId="77777777" w:rsidR="005756D6" w:rsidRDefault="005756D6" w:rsidP="00EC3D61">
            <w:r>
              <w:rPr>
                <w:sz w:val="18"/>
                <w:szCs w:val="18"/>
              </w:rPr>
              <w:t>Yduqs Participações S.A.</w:t>
            </w:r>
          </w:p>
        </w:tc>
        <w:tc>
          <w:tcPr>
            <w:tcW w:w="2400" w:type="dxa"/>
            <w:tcBorders>
              <w:top w:val="single" w:sz="1" w:space="0" w:color="BBBBBB"/>
              <w:left w:val="single" w:sz="1" w:space="0" w:color="BBBBBB"/>
              <w:bottom w:val="single" w:sz="1" w:space="0" w:color="BBBBBB"/>
              <w:right w:val="single" w:sz="1" w:space="0" w:color="BBBBBB"/>
            </w:tcBorders>
            <w:shd w:val="clear" w:color="auto" w:fill="F2F4F8"/>
            <w:tcMar>
              <w:top w:w="40" w:type="dxa"/>
              <w:left w:w="100" w:type="dxa"/>
              <w:bottom w:w="40" w:type="dxa"/>
              <w:right w:w="100" w:type="dxa"/>
            </w:tcMar>
          </w:tcPr>
          <w:p w14:paraId="55715299" w14:textId="77777777" w:rsidR="005756D6" w:rsidRDefault="005756D6" w:rsidP="00EC3D61">
            <w:r>
              <w:rPr>
                <w:sz w:val="18"/>
                <w:szCs w:val="18"/>
              </w:rPr>
              <w:t>Consumo Cíclico</w:t>
            </w:r>
          </w:p>
        </w:tc>
      </w:tr>
    </w:tbl>
    <w:p w14:paraId="33EA70C1" w14:textId="77777777" w:rsidR="005756D6" w:rsidRDefault="005756D6" w:rsidP="005756D6">
      <w:pPr>
        <w:spacing w:before="100"/>
      </w:pPr>
      <w:r>
        <w:rPr>
          <w:i/>
          <w:iCs/>
          <w:sz w:val="18"/>
          <w:szCs w:val="18"/>
        </w:rPr>
        <w:t>Fonte: elaboração própria. Ativos ordenados alfabeticamente pelo código de negociação.</w:t>
      </w:r>
    </w:p>
    <w:p w14:paraId="0B392F75" w14:textId="77777777" w:rsidR="004A7A54" w:rsidRPr="004A7A54" w:rsidRDefault="004A7A54" w:rsidP="00FC4E5E">
      <w:pPr>
        <w:rPr>
          <w:b/>
          <w:sz w:val="24"/>
          <w:szCs w:val="24"/>
        </w:rPr>
      </w:pPr>
    </w:p>
    <w:p w14:paraId="2BDE4EE8" w14:textId="61565389" w:rsidR="004A7A54" w:rsidRPr="00AC5F06" w:rsidRDefault="00AC5F06" w:rsidP="00AC5F06">
      <w:pPr>
        <w:spacing w:line="360" w:lineRule="auto"/>
        <w:ind w:firstLine="851"/>
        <w:jc w:val="both"/>
        <w:rPr>
          <w:sz w:val="24"/>
          <w:szCs w:val="24"/>
          <w:lang w:val="pt-BR"/>
        </w:rPr>
      </w:pPr>
      <w:r>
        <w:rPr>
          <w:sz w:val="24"/>
          <w:szCs w:val="24"/>
        </w:rPr>
        <w:t>Filtro de liquidez financeira (ADTV no decil inferior): exclusão dos ativos pertencentes ao decil inferior (P₁₀) da distribuição do Volume Diário Médio Negociado (</w:t>
      </w:r>
      <w:r>
        <w:rPr>
          <w:i/>
          <w:iCs/>
          <w:sz w:val="24"/>
          <w:szCs w:val="24"/>
        </w:rPr>
        <w:t>Average Daily Traded Value</w:t>
      </w:r>
      <w:r>
        <w:rPr>
          <w:sz w:val="24"/>
          <w:szCs w:val="24"/>
        </w:rPr>
        <w:t xml:space="preserve">), com o ADTV mensurado </w:t>
      </w:r>
      <w:r>
        <w:rPr>
          <w:i/>
          <w:iCs/>
          <w:sz w:val="24"/>
          <w:szCs w:val="24"/>
        </w:rPr>
        <w:t>ex-ante</w:t>
      </w:r>
      <w:r>
        <w:rPr>
          <w:sz w:val="24"/>
          <w:szCs w:val="24"/>
        </w:rPr>
        <w:t xml:space="preserve"> exclusivamente na janela de formação de 2010 (dias sem negociação computados como volume nulo). Por ser um critério transversal ancorado no ano de ingresso, ativos que vieram a sofrer descontinuidade, recuperação judicial ou fechamento de capital nos anos seguintes permanecem elegíveis até o último pregão disponível, o que neutraliza o viés de sobrevivência.</w:t>
      </w:r>
    </w:p>
    <w:p w14:paraId="0A85E4FD" w14:textId="77777777" w:rsidR="00FC4E5E" w:rsidRPr="008A0506" w:rsidRDefault="00FC4E5E">
      <w:pPr>
        <w:rPr>
          <w:b/>
          <w:sz w:val="24"/>
          <w:szCs w:val="24"/>
          <w:lang w:val="pt-BR"/>
        </w:rPr>
      </w:pPr>
      <w:r>
        <w:rPr>
          <w:b/>
          <w:sz w:val="24"/>
          <w:szCs w:val="24"/>
          <w:lang w:val="pt-BR"/>
        </w:rPr>
        <w:br w:type="page"/>
      </w:r>
    </w:p>
    <w:p w14:paraId="4DAE750F" w14:textId="77777777" w:rsidR="00FC4E5E" w:rsidRPr="00580705" w:rsidRDefault="004A7A54" w:rsidP="00CB4A48">
      <w:pPr>
        <w:pStyle w:val="PargrafodaLista"/>
        <w:numPr>
          <w:ilvl w:val="1"/>
          <w:numId w:val="62"/>
        </w:numPr>
        <w:spacing w:line="360" w:lineRule="auto"/>
        <w:jc w:val="both"/>
        <w:outlineLvl w:val="1"/>
        <w:rPr>
          <w:b/>
          <w:sz w:val="24"/>
          <w:szCs w:val="24"/>
          <w:lang w:val="pt-BR"/>
        </w:rPr>
      </w:pPr>
      <w:bookmarkStart w:id="163" w:name="_Toc230857102"/>
      <w:r>
        <w:rPr>
          <w:b/>
          <w:sz w:val="24"/>
          <w:szCs w:val="24"/>
        </w:rPr>
        <w:lastRenderedPageBreak/>
        <w:t>Apêndice B – Diretrizes Metodológicas de Higienização e Filtragem de Liquidez da Base de Cotações</w:t>
      </w:r>
      <w:bookmarkEnd w:id="163"/>
    </w:p>
    <w:p w14:paraId="38CD8E4D" w14:textId="77777777" w:rsidR="00FC4E5E" w:rsidRPr="008B6129" w:rsidRDefault="00FC4E5E" w:rsidP="00FC4E5E">
      <w:pPr>
        <w:rPr>
          <w:sz w:val="24"/>
          <w:szCs w:val="24"/>
        </w:rPr>
      </w:pPr>
    </w:p>
    <w:p w14:paraId="40D8EF3F" w14:textId="77777777" w:rsidR="00FC4E5E" w:rsidRPr="008B6129" w:rsidRDefault="00FC4E5E" w:rsidP="00FC4E5E">
      <w:pPr>
        <w:rPr>
          <w:sz w:val="24"/>
          <w:szCs w:val="24"/>
        </w:rPr>
      </w:pPr>
    </w:p>
    <w:p w14:paraId="5D5F247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Estruturação Relacional e Governança Dimensional: De modo a assegurar os preceitos de padronização estrutural (Tidy Data Structure), a base primária de cotações financeiras foi submetida a um algoritmo de alinhamento temporal. O eixo de tempo (datas de pregão) foi indexado sob a tipologia de dados datetime, garantindo a ordenação cronológica estrita dos vetores de preços e a eliminação de redundâncias transversais. O processo resultou num esqueleto vetorial constituído por </w:t>
      </w:r>
      <w:r>
        <w:rPr>
          <w:sz w:val="24"/>
          <w:szCs w:val="24"/>
        </w:rPr>
        <w:t>3.967</w:t>
      </w:r>
      <w:r>
        <w:rPr>
          <w:sz w:val="24"/>
          <w:szCs w:val="24"/>
        </w:rPr>
        <w:t xml:space="preserve"> pregões contínuos.</w:t>
      </w:r>
    </w:p>
    <w:p w14:paraId="2606EE9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Crivo Estatístico de Omissões e Liquidez: Para mitigar os vieses decorrentes de ativos com baixa liquidez ou descontinuidade de negociação severa, implementou-se uma regra restritiva de tolerância para valores ausentes (Missing Values). O escrutínio metodológico estipulou uma tolerância máxima de 5% de dados omissos por ativo em relação à totalidade do período analisado. Ativos que ultrapassaram este limiar de iliquidez foram sumariamente excluídos da base empírica, salvaguardando a robustez dos estimadores inferenciais posteriores. O referencial metodológico adotado reteve </w:t>
      </w:r>
      <w:r>
        <w:rPr>
          <w:sz w:val="24"/>
          <w:szCs w:val="24"/>
        </w:rPr>
        <w:t>118</w:t>
      </w:r>
      <w:r>
        <w:rPr>
          <w:sz w:val="24"/>
          <w:szCs w:val="24"/>
        </w:rPr>
        <w:t xml:space="preserve"> ativos que atenderam a este critério de alta liquidez.</w:t>
      </w:r>
    </w:p>
    <w:p w14:paraId="72FC7012"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Diagnóstico e Escrutínio de Anomalias (Outliers): Considerando a suscetibilidade das séries financeiras a ruídos de infraestrutura ou não-ajustamento de proventos (como desdobramentos não refletidos), procedeu-se à detecção endógena de anomalias estatísticas severas. </w:t>
      </w:r>
      <w:r>
        <w:rPr>
          <w:sz w:val="24"/>
          <w:szCs w:val="24"/>
        </w:rPr>
        <w:t xml:space="preserve">Empregou-se o Z-score modificado de Iglewicz e Hoaglin (1993), baseado na Mediana das Desvios Absolutos (MAD), com limiar K = 3,5 e constante de normalização c = 0,6745, calculado exclusivamente sobre variações não-nulas de cada série. Retornos com valor absoluto superior a 100% foram sinalizados como impossíveis.</w:t>
      </w:r>
      <w:r>
        <w:rPr>
          <w:sz w:val="24"/>
          <w:szCs w:val="24"/>
        </w:rPr>
        <w:t xml:space="preserve"> Adicionalmente, implementou-se uma barreira lógica de integridade, suprimindo quaisquer ocorrências irreais de preços negativos.</w:t>
      </w:r>
    </w:p>
    <w:p w14:paraId="5964527B"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Imputação Heurística Controlada:</w:t>
      </w:r>
    </w:p>
    <w:p w14:paraId="78BD20E8"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 xml:space="preserve">Na presença das omissões remanescentes e das lacunas geradas deliberadamente pela supressão das anomalias prévias, absteve-se taxativamente de substituições enviesadas que corrompessem a variância </w:t>
        <w:lastRenderedPageBreak/>
        <w:t>natural. O preenchimento operou-se exclusivamente por interpolação matemática temporal linear (time interpolation), resguardando a continuidade da série de tempo. Lacunas localizadas nas extremidades periféricas das séries foram corrigidas pelos métodos de propagação da última observação válida (Forward-Fill e Backward-Fill).</w:t>
      </w:r>
    </w:p>
    <w:p w14:paraId="0AA45786" w14:textId="77777777" w:rsidR="00FC4E5E" w:rsidRPr="008B6129" w:rsidRDefault="00FC4E5E" w:rsidP="003F1C11">
      <w:pPr>
        <w:pStyle w:val="PargrafodaLista"/>
        <w:numPr>
          <w:ilvl w:val="0"/>
          <w:numId w:val="41"/>
        </w:numPr>
        <w:spacing w:line="360" w:lineRule="auto"/>
        <w:ind w:left="1196" w:hanging="357"/>
        <w:jc w:val="both"/>
        <w:rPr>
          <w:sz w:val="24"/>
          <w:szCs w:val="24"/>
        </w:rPr>
      </w:pPr>
      <w:r>
        <w:rPr>
          <w:sz w:val="24"/>
          <w:szCs w:val="24"/>
        </w:rPr>
        <w:t>Reprodutibilidade Algorítmica:Todo o fluxo de higienização de dados foi modelado num ambiente isolado (computação em linguagem Python acoplada à plataforma Jupyter), documentado de forma que as premissas matemáticas supramencionadas operassem de forma exógena e isenta de interferência manual arbitrária.</w:t>
      </w:r>
    </w:p>
    <w:p w14:paraId="5DBE713E" w14:textId="77777777" w:rsidR="00FC4E5E" w:rsidRPr="008B6129" w:rsidRDefault="00FC4E5E" w:rsidP="00FC4E5E">
      <w:pPr>
        <w:rPr>
          <w:sz w:val="24"/>
          <w:szCs w:val="24"/>
        </w:rPr>
      </w:pPr>
      <w:r>
        <w:rPr>
          <w:sz w:val="24"/>
          <w:szCs w:val="24"/>
        </w:rPr>
        <w:br w:type="page"/>
      </w:r>
    </w:p>
    <w:p w14:paraId="6E0B2EE3" w14:textId="77777777" w:rsidR="00FC4E5E" w:rsidRPr="004A7A54" w:rsidRDefault="004A7A54" w:rsidP="00CB4A48">
      <w:pPr>
        <w:pStyle w:val="PargrafodaLista"/>
        <w:numPr>
          <w:ilvl w:val="1"/>
          <w:numId w:val="62"/>
        </w:numPr>
        <w:spacing w:line="360" w:lineRule="auto"/>
        <w:jc w:val="both"/>
        <w:outlineLvl w:val="1"/>
        <w:rPr>
          <w:b/>
          <w:sz w:val="24"/>
          <w:szCs w:val="24"/>
          <w:lang w:val="pt-BR"/>
        </w:rPr>
      </w:pPr>
      <w:bookmarkStart w:id="164" w:name="_Toc230857103"/>
      <w:r>
        <w:rPr>
          <w:b/>
          <w:sz w:val="24"/>
          <w:szCs w:val="24"/>
        </w:rPr>
        <w:lastRenderedPageBreak/>
        <w:t>Apêndice C – Transformação Vetorial da Matriz de Cotações em Séries de Retornos Financeiros</w:t>
      </w:r>
      <w:bookmarkEnd w:id="164"/>
      <w:r>
        <w:rPr>
          <w:b/>
          <w:sz w:val="24"/>
          <w:szCs w:val="24"/>
        </w:rPr>
        <w:t xml:space="preserve"> </w:t>
      </w:r>
    </w:p>
    <w:p w14:paraId="3E12B2BA" w14:textId="77777777" w:rsidR="00520621" w:rsidRPr="008B6129" w:rsidRDefault="00520621" w:rsidP="00520621">
      <w:pPr>
        <w:jc w:val="both"/>
        <w:rPr>
          <w:sz w:val="24"/>
          <w:szCs w:val="24"/>
        </w:rPr>
      </w:pPr>
    </w:p>
    <w:p w14:paraId="6E5F5193"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Estacionariedade e Retornos Financeiros: Os dados de apreçamento em formato bruto apresentam comumente um comportamento não estacionário. Para viabilizar a modelação estocástica, os dados foram submetidos a transformações matriciais com vistas a capturar as rentabilidades diárias.</w:t>
      </w:r>
    </w:p>
    <w:p w14:paraId="59C96398"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Simples (Discretos): O vetor de retornos simples foi computado por intermédio da variação percentual discreta Rt = (Pt - Pt-1) / Pt-1. Este tratamento matemático foi executado para garantir o pilar analítico da agregação de ativos na construção teórica de Markowitz.</w:t>
      </w:r>
    </w:p>
    <w:p w14:paraId="1DFEAD57"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Derivação de Retornos Logarítmicos (Contínuos): Concomitantemente, elaborou-se o processamento dos retornos compostos de forma contínua através do logaritmo natural das razões de preços: rt = ln(Pt / Pt-1). Esta estratégia fundamenta-se nas prerrogativas estatísticas para séries financeiras intertemporais independentes.</w:t>
      </w:r>
    </w:p>
    <w:p w14:paraId="4E4CA464" w14:textId="77777777" w:rsidR="00520621" w:rsidRPr="008B6129" w:rsidRDefault="00520621" w:rsidP="003F1C11">
      <w:pPr>
        <w:pStyle w:val="PargrafodaLista"/>
        <w:numPr>
          <w:ilvl w:val="0"/>
          <w:numId w:val="42"/>
        </w:numPr>
        <w:spacing w:line="360" w:lineRule="auto"/>
        <w:ind w:left="714" w:hanging="357"/>
        <w:jc w:val="both"/>
        <w:rPr>
          <w:sz w:val="24"/>
          <w:szCs w:val="24"/>
        </w:rPr>
      </w:pPr>
      <w:r>
        <w:rPr>
          <w:sz w:val="24"/>
          <w:szCs w:val="24"/>
        </w:rPr>
        <w:t>Reprodutibilidade: Ambas as transformações operaram na supressão endógena da observação t0. O processo está consolidado integralmente na arquitetura computacional Python reproduzível.</w:t>
      </w:r>
    </w:p>
    <w:p w14:paraId="6D4B7C99" w14:textId="77777777" w:rsidR="00FC4E5E" w:rsidRPr="008A0506" w:rsidRDefault="00520621" w:rsidP="00520621">
      <w:pPr>
        <w:rPr>
          <w:b/>
          <w:sz w:val="24"/>
          <w:szCs w:val="24"/>
          <w:lang w:val="pt-BR"/>
        </w:rPr>
      </w:pPr>
      <w:r>
        <w:rPr>
          <w:sz w:val="24"/>
          <w:szCs w:val="24"/>
        </w:rPr>
        <w:br w:type="page"/>
      </w:r>
    </w:p>
    <w:p w14:paraId="03F7E57C"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65" w:name="_Toc230857104"/>
      <w:r>
        <w:rPr>
          <w:b/>
          <w:sz w:val="24"/>
          <w:szCs w:val="24"/>
        </w:rPr>
        <w:lastRenderedPageBreak/>
        <w:t>Apêndice D – Consolidação da Base Mestre e Tratamento do Viés de Antecipação</w:t>
      </w:r>
      <w:bookmarkEnd w:id="165"/>
      <w:r>
        <w:rPr>
          <w:b/>
          <w:sz w:val="24"/>
          <w:szCs w:val="24"/>
        </w:rPr>
        <w:t xml:space="preserve"> </w:t>
      </w:r>
    </w:p>
    <w:p w14:paraId="582B68BD" w14:textId="77777777" w:rsidR="00520621" w:rsidRPr="008A0506" w:rsidRDefault="00520621" w:rsidP="00520621">
      <w:pPr>
        <w:rPr>
          <w:b/>
          <w:sz w:val="24"/>
          <w:szCs w:val="24"/>
          <w:lang w:val="pt-BR"/>
        </w:rPr>
      </w:pPr>
    </w:p>
    <w:p w14:paraId="145DF853" w14:textId="77777777" w:rsidR="00520621" w:rsidRPr="008B6129" w:rsidRDefault="00520621" w:rsidP="00520621">
      <w:pPr>
        <w:rPr>
          <w:sz w:val="24"/>
          <w:szCs w:val="24"/>
        </w:rPr>
      </w:pPr>
    </w:p>
    <w:p w14:paraId="740C3D93"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Integração de Variáveis Macroeconómicas e Benchmarks: Com o intuito de viabilizar o cálculo de indicadores de desempenho ajustados ao risco, a matriz de preços higienizada foi integrada aos vetores das taxas livres de risco (CDI e SELIC) e ao principal indicador do mercado acionário brasileiro (IBOVESPA). O processo de fusão operou via interseção cronológica estrita (Inner Join).</w:t>
      </w:r>
    </w:p>
    <w:p w14:paraId="14A31DCD" w14:textId="77777777" w:rsidR="00520621" w:rsidRPr="008B6129" w:rsidRDefault="00520621" w:rsidP="004A7A54">
      <w:pPr>
        <w:pStyle w:val="PargrafodaLista"/>
        <w:numPr>
          <w:ilvl w:val="0"/>
          <w:numId w:val="43"/>
        </w:numPr>
        <w:spacing w:line="360" w:lineRule="auto"/>
        <w:ind w:left="714" w:hanging="357"/>
        <w:jc w:val="both"/>
        <w:rPr>
          <w:sz w:val="24"/>
          <w:szCs w:val="24"/>
        </w:rPr>
      </w:pPr>
      <w:r>
        <w:rPr>
          <w:sz w:val="24"/>
          <w:szCs w:val="24"/>
        </w:rPr>
        <w:t>Mitigação do Viés de Antecipação (Look-ahead Bias): Para assegurar a validade científica dos testes de backtesting a serem realizados a partir do ano de 2026, a base de dados de treinamento e parametrização foi deliberadamente truncada na data de 31 de dezembro de 2025. Esta separação rígida entre os períodos de estudo e validação impede que informações futuras influenciem a calibração dos modelos.</w:t>
      </w:r>
    </w:p>
    <w:p w14:paraId="50BAFC71" w14:textId="77777777" w:rsidR="00520621" w:rsidRPr="008B6129" w:rsidRDefault="00520621" w:rsidP="00520621">
      <w:pPr>
        <w:rPr>
          <w:sz w:val="24"/>
          <w:szCs w:val="24"/>
        </w:rPr>
      </w:pPr>
      <w:r>
        <w:rPr>
          <w:sz w:val="24"/>
          <w:szCs w:val="24"/>
        </w:rPr>
        <w:br w:type="page"/>
      </w:r>
    </w:p>
    <w:p w14:paraId="30735305" w14:textId="77777777" w:rsidR="004A7A54" w:rsidRPr="004A7A54" w:rsidRDefault="004A7A54" w:rsidP="00CB4A48">
      <w:pPr>
        <w:pStyle w:val="PargrafodaLista"/>
        <w:numPr>
          <w:ilvl w:val="1"/>
          <w:numId w:val="62"/>
        </w:numPr>
        <w:spacing w:line="360" w:lineRule="auto"/>
        <w:jc w:val="both"/>
        <w:outlineLvl w:val="1"/>
        <w:rPr>
          <w:b/>
          <w:sz w:val="24"/>
          <w:szCs w:val="24"/>
          <w:lang w:val="pt-BR"/>
        </w:rPr>
      </w:pPr>
      <w:bookmarkStart w:id="166" w:name="_Toc230857105"/>
      <w:r>
        <w:rPr>
          <w:b/>
          <w:sz w:val="24"/>
          <w:szCs w:val="24"/>
        </w:rPr>
        <w:lastRenderedPageBreak/>
        <w:t>Apêndice E – Derivação do Prêmio de Risco e Estabelecimento dos Retornos em Excesso</w:t>
      </w:r>
      <w:bookmarkEnd w:id="166"/>
      <w:r>
        <w:rPr>
          <w:b/>
          <w:sz w:val="24"/>
          <w:szCs w:val="24"/>
        </w:rPr>
        <w:t xml:space="preserve"> </w:t>
      </w:r>
    </w:p>
    <w:p w14:paraId="5344A3BB" w14:textId="77777777" w:rsidR="00520621" w:rsidRPr="008A0506" w:rsidRDefault="00520621" w:rsidP="004A7A54">
      <w:pPr>
        <w:rPr>
          <w:b/>
          <w:sz w:val="24"/>
          <w:szCs w:val="24"/>
          <w:lang w:val="pt-BR"/>
        </w:rPr>
      </w:pPr>
    </w:p>
    <w:p w14:paraId="0B4A30A0" w14:textId="77777777" w:rsidR="00520621" w:rsidRPr="008B6129" w:rsidRDefault="00520621" w:rsidP="00520621">
      <w:pPr>
        <w:rPr>
          <w:sz w:val="24"/>
          <w:szCs w:val="24"/>
        </w:rPr>
      </w:pPr>
    </w:p>
    <w:p w14:paraId="38382EFC"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Transformação Paramétrica Preliminar: A partir da base de dados mestra consolidada, operou-se a segregação das variáveis. Os vetores de cotações e o IBOVESPA foram convertidos para retornos simples diários. O CDI foi isolado na forma de taxa de variação diária.</w:t>
      </w:r>
    </w:p>
    <w:p w14:paraId="5E6F509D"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Isolamento do Prémio de Risco (Excess Return): Alinhados os referenciais, executou-se a derivação vetorial do prémio de risco para cada ativo i no instante t mediante a subtração direta da taxa livre de risco: ERi,t = Ri,t - Rf,t, onde Rf,t compreende o CDI no instante homólogo.</w:t>
      </w:r>
    </w:p>
    <w:p w14:paraId="6F74736B" w14:textId="77777777" w:rsidR="00520621" w:rsidRPr="008B6129" w:rsidRDefault="00520621" w:rsidP="003F1C11">
      <w:pPr>
        <w:pStyle w:val="PargrafodaLista"/>
        <w:numPr>
          <w:ilvl w:val="0"/>
          <w:numId w:val="44"/>
        </w:numPr>
        <w:spacing w:line="360" w:lineRule="auto"/>
        <w:ind w:left="714" w:hanging="357"/>
        <w:jc w:val="both"/>
        <w:rPr>
          <w:sz w:val="24"/>
          <w:szCs w:val="24"/>
        </w:rPr>
      </w:pPr>
      <w:r>
        <w:rPr>
          <w:sz w:val="24"/>
          <w:szCs w:val="24"/>
        </w:rPr>
        <w:t>Prémio de Risco de Mercado: Calculou-se o retorno em excesso do mercado (ERm,t = RIBOV,t - Rf,t). A inclusão desta variável constitui um requisito endógeno para o cálculo subsequente da covariância e indicadores de risco sistemático.</w:t>
      </w:r>
    </w:p>
    <w:p w14:paraId="617CCEA6" w14:textId="77777777" w:rsidR="00520621" w:rsidRPr="008B6129" w:rsidRDefault="00520621" w:rsidP="00520621">
      <w:pPr>
        <w:rPr>
          <w:sz w:val="24"/>
          <w:szCs w:val="24"/>
        </w:rPr>
      </w:pPr>
      <w:r>
        <w:rPr>
          <w:sz w:val="24"/>
          <w:szCs w:val="24"/>
        </w:rPr>
        <w:br w:type="page"/>
      </w:r>
    </w:p>
    <w:p w14:paraId="0C109D09" w14:textId="77777777" w:rsidR="004A7A54" w:rsidRPr="004A7A54" w:rsidRDefault="004A7A54" w:rsidP="00CB4A48">
      <w:pPr>
        <w:pStyle w:val="PargrafodaLista"/>
        <w:numPr>
          <w:ilvl w:val="1"/>
          <w:numId w:val="62"/>
        </w:numPr>
        <w:spacing w:line="360" w:lineRule="auto"/>
        <w:ind w:left="0" w:firstLine="0"/>
        <w:jc w:val="both"/>
        <w:outlineLvl w:val="1"/>
        <w:rPr>
          <w:b/>
          <w:sz w:val="24"/>
          <w:szCs w:val="24"/>
          <w:lang w:val="pt-BR"/>
        </w:rPr>
      </w:pPr>
      <w:bookmarkStart w:id="167" w:name="_Toc230857106"/>
      <w:r>
        <w:rPr>
          <w:b/>
          <w:sz w:val="24"/>
          <w:szCs w:val="24"/>
        </w:rPr>
        <w:lastRenderedPageBreak/>
        <w:t>Apêndice F – Parâmetros Inferenciais Globais: Covariância, Risco Sistemático e Desempenho Ajustado</w:t>
      </w:r>
      <w:bookmarkEnd w:id="167"/>
      <w:r>
        <w:rPr>
          <w:b/>
          <w:sz w:val="24"/>
          <w:szCs w:val="24"/>
        </w:rPr>
        <w:t xml:space="preserve"> </w:t>
      </w:r>
    </w:p>
    <w:p w14:paraId="746516DE" w14:textId="77777777" w:rsidR="00520621" w:rsidRPr="008B6129" w:rsidRDefault="00520621" w:rsidP="00520621">
      <w:pPr>
        <w:rPr>
          <w:sz w:val="24"/>
          <w:szCs w:val="24"/>
        </w:rPr>
      </w:pPr>
    </w:p>
    <w:p w14:paraId="652B301E"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 xml:space="preserve">Matriz de Covariância Empírica Anualizada: Como alicerce incondicional para a otimização de Markowitz, processou-se a matriz de variância-covariância transversal anualizada (Σ_anual = Σ_diaria × 252). A volatilidade (desvio-padrão) individual de cada ativo é anualizada pela relação σ_anual = σ_diaria × √252. </w:t>
      </w:r>
      <w:r>
        <w:rPr>
          <w:sz w:val="24"/>
          <w:szCs w:val="24"/>
        </w:rPr>
        <w:t>Esses construtos capturam a dinâmica de interdependência e magnitude dos co-movimentos latentes. Nota de auditoria: a notação anterior “sigma_anual = sigma_diaria * 252” estava incorreta para o desvio-padrão; a multiplicação direta por 252 (sem raiz quadrada) aplica-se exclusivamente à matriz de covariância Σ.</w:t>
      </w:r>
      <w:r>
        <w:rPr>
          <w:sz w:val="24"/>
          <w:szCs w:val="24"/>
        </w:rPr>
        <w:t xml:space="preserve"> </w:t>
      </w:r>
    </w:p>
    <w:p w14:paraId="44E1D746"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Derivação do Risco Sistemático (Coeficiente Beta): Tendo o IBOVESPA como proxy de mercado, derivou-se o coeficiente Beta (beta = Cov(ERi, ERm) / Var(ERm)), refletindo a sensibilidade ao risco sistemático.</w:t>
      </w:r>
    </w:p>
    <w:p w14:paraId="270C733F" w14:textId="77777777" w:rsidR="00520621" w:rsidRPr="008B6129" w:rsidRDefault="00520621" w:rsidP="003F1C11">
      <w:pPr>
        <w:pStyle w:val="PargrafodaLista"/>
        <w:numPr>
          <w:ilvl w:val="0"/>
          <w:numId w:val="45"/>
        </w:numPr>
        <w:spacing w:line="360" w:lineRule="auto"/>
        <w:ind w:left="714" w:hanging="357"/>
        <w:jc w:val="both"/>
        <w:rPr>
          <w:sz w:val="24"/>
          <w:szCs w:val="24"/>
        </w:rPr>
      </w:pPr>
      <w:r>
        <w:rPr>
          <w:sz w:val="24"/>
          <w:szCs w:val="24"/>
        </w:rPr>
        <w:t>Índice de Sharpe Analítico: Para o escalonamento do prémio de risco face à dispersão estocástica, calculou-se o Índice de Sharpe (IS = E[ERi] / sigma_i), refletindo o desempenho ajustado ao risco.</w:t>
      </w:r>
    </w:p>
    <w:p w14:paraId="23ADF10F" w14:textId="77777777" w:rsidR="00520621" w:rsidRPr="008B6129" w:rsidRDefault="00520621" w:rsidP="00520621">
      <w:pPr>
        <w:rPr>
          <w:sz w:val="24"/>
          <w:szCs w:val="24"/>
        </w:rPr>
      </w:pPr>
      <w:r>
        <w:rPr>
          <w:sz w:val="24"/>
          <w:szCs w:val="24"/>
        </w:rPr>
        <w:br w:type="page"/>
      </w:r>
    </w:p>
    <w:p w14:paraId="630596A0"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68" w:name="_Toc230857107"/>
      <w:r>
        <w:rPr>
          <w:b/>
          <w:sz w:val="24"/>
          <w:szCs w:val="24"/>
        </w:rPr>
        <w:lastRenderedPageBreak/>
        <w:t>Apêndice G – Construção Estocástica e Otimização Numérica da Fronteira Eficiente de Markowitz</w:t>
      </w:r>
      <w:bookmarkEnd w:id="168"/>
    </w:p>
    <w:p w14:paraId="68707195" w14:textId="77777777" w:rsidR="00520621" w:rsidRPr="008B6129" w:rsidRDefault="00520621" w:rsidP="00520621">
      <w:pPr>
        <w:rPr>
          <w:sz w:val="24"/>
          <w:szCs w:val="24"/>
        </w:rPr>
      </w:pPr>
    </w:p>
    <w:p w14:paraId="3CC24BD4" w14:textId="77777777" w:rsidR="00520621" w:rsidRPr="008B6129" w:rsidRDefault="00520621" w:rsidP="00520621">
      <w:pPr>
        <w:rPr>
          <w:sz w:val="24"/>
          <w:szCs w:val="24"/>
        </w:rPr>
      </w:pPr>
    </w:p>
    <w:p w14:paraId="04E3D0AC"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Simulação Estocástica do Conjunto de Oportunidades Viáveis: Empregou-se uma simulação de Monte Carlo para gerar 50.000 portfólios com vetores de pesos aleatórios e normalizados. Este construto visou desenhar o Espaço Paramétrico de Viabilidade de Risco/Retorno.</w:t>
      </w:r>
    </w:p>
    <w:p w14:paraId="32C902FE"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Otimização Numérica pelo Algoritmo SLSQP: Recorreu-se ao algoritmo SLSQP para identificar os vértices exatos da Fronteira Eficiente, sujeito às restrições de restrição orçamental e não-negatividade posicional (Long-Only).</w:t>
      </w:r>
    </w:p>
    <w:p w14:paraId="6484A010" w14:textId="77777777" w:rsidR="00520621" w:rsidRPr="008B6129" w:rsidRDefault="00520621" w:rsidP="003F1C11">
      <w:pPr>
        <w:pStyle w:val="PargrafodaLista"/>
        <w:numPr>
          <w:ilvl w:val="0"/>
          <w:numId w:val="46"/>
        </w:numPr>
        <w:spacing w:line="360" w:lineRule="auto"/>
        <w:ind w:left="714" w:hanging="357"/>
        <w:jc w:val="both"/>
        <w:rPr>
          <w:sz w:val="24"/>
          <w:szCs w:val="24"/>
        </w:rPr>
      </w:pPr>
      <w:r>
        <w:rPr>
          <w:sz w:val="24"/>
          <w:szCs w:val="24"/>
        </w:rPr>
        <w:t>Derivação dos Portfólios Canónicos: Foram maximizadas as funções objetivo para isolar o Portfólio de Mínima Variância Global (MVP) e o Portfólio de Máximo Índice de Sharpe (Tangente).</w:t>
      </w:r>
    </w:p>
    <w:p w14:paraId="4EFD8531" w14:textId="77777777" w:rsidR="00520621" w:rsidRPr="008B6129" w:rsidRDefault="00520621" w:rsidP="00520621">
      <w:pPr>
        <w:rPr>
          <w:sz w:val="24"/>
          <w:szCs w:val="24"/>
        </w:rPr>
      </w:pPr>
      <w:r>
        <w:rPr>
          <w:sz w:val="24"/>
          <w:szCs w:val="24"/>
        </w:rPr>
        <w:br w:type="page"/>
      </w:r>
    </w:p>
    <w:p w14:paraId="6EEB7A8C"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69" w:name="_Toc230857108"/>
      <w:r>
        <w:rPr>
          <w:b/>
          <w:sz w:val="24"/>
          <w:szCs w:val="24"/>
        </w:rPr>
        <w:lastRenderedPageBreak/>
        <w:t>Apêndice H – Isolamento Matricial De Covariâncias Negativas E Mapeamento De Hedge Estrutural</w:t>
      </w:r>
      <w:bookmarkEnd w:id="169"/>
      <w:r>
        <w:rPr>
          <w:b/>
          <w:sz w:val="24"/>
          <w:szCs w:val="24"/>
        </w:rPr>
        <w:t xml:space="preserve"> </w:t>
      </w:r>
    </w:p>
    <w:p w14:paraId="5AC92D37" w14:textId="77777777" w:rsidR="00520621" w:rsidRPr="00580705" w:rsidRDefault="00520621" w:rsidP="00520621">
      <w:pPr>
        <w:rPr>
          <w:sz w:val="24"/>
          <w:szCs w:val="24"/>
          <w:lang w:val="pt-BR"/>
        </w:rPr>
      </w:pPr>
    </w:p>
    <w:p w14:paraId="72D88798" w14:textId="77777777" w:rsidR="00520621" w:rsidRPr="008B6129" w:rsidRDefault="00520621" w:rsidP="00520621">
      <w:pPr>
        <w:rPr>
          <w:sz w:val="24"/>
          <w:szCs w:val="24"/>
        </w:rPr>
      </w:pPr>
    </w:p>
    <w:p w14:paraId="77D6D2A5"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Inspeção de Covariância Reversa: Procedeu-se a um escrutínio matricial para isolar estritamente os coeficientes onde sigma_i,j &lt; 0, mapeando as oportunidades reais de hedge endógeno na amostra.</w:t>
      </w:r>
    </w:p>
    <w:p w14:paraId="075BEAAC" w14:textId="77777777" w:rsidR="00520621" w:rsidRPr="008B6129" w:rsidRDefault="00520621" w:rsidP="003F1C11">
      <w:pPr>
        <w:pStyle w:val="PargrafodaLista"/>
        <w:numPr>
          <w:ilvl w:val="0"/>
          <w:numId w:val="47"/>
        </w:numPr>
        <w:spacing w:line="360" w:lineRule="auto"/>
        <w:ind w:left="714" w:hanging="357"/>
        <w:jc w:val="both"/>
        <w:rPr>
          <w:sz w:val="24"/>
          <w:szCs w:val="24"/>
        </w:rPr>
      </w:pPr>
      <w:r>
        <w:rPr>
          <w:sz w:val="24"/>
          <w:szCs w:val="24"/>
        </w:rPr>
        <w:t>Visualização Categórica via Mapa de Calor: Aplicou-se um algoritmo de mascaramento dinâmico para suprimir covariâncias positivas e redundâncias, gerando um Heatmap que evidencia apenas os pares de ativos com descorrelação negativa.</w:t>
      </w:r>
    </w:p>
    <w:p w14:paraId="6C467D28" w14:textId="77777777" w:rsidR="00520621" w:rsidRPr="008B6129" w:rsidRDefault="00520621" w:rsidP="00520621">
      <w:pPr>
        <w:rPr>
          <w:sz w:val="24"/>
          <w:szCs w:val="24"/>
        </w:rPr>
      </w:pPr>
      <w:r>
        <w:rPr>
          <w:sz w:val="24"/>
          <w:szCs w:val="24"/>
        </w:rPr>
        <w:br w:type="page"/>
      </w:r>
    </w:p>
    <w:p w14:paraId="673C5BF8"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0" w:name="_Toc230857109"/>
      <w:r>
        <w:rPr>
          <w:b/>
          <w:sz w:val="24"/>
          <w:szCs w:val="24"/>
        </w:rPr>
        <w:lastRenderedPageBreak/>
        <w:t>Apêndice I – Análise de Correlação de Pearson e Clusterização Hierárquica Estrutural</w:t>
      </w:r>
      <w:bookmarkEnd w:id="170"/>
      <w:r>
        <w:rPr>
          <w:b/>
          <w:sz w:val="24"/>
          <w:szCs w:val="24"/>
        </w:rPr>
        <w:t xml:space="preserve"> </w:t>
      </w:r>
    </w:p>
    <w:p w14:paraId="11A11D6D" w14:textId="77777777" w:rsidR="00520621" w:rsidRPr="008B6129" w:rsidRDefault="00520621" w:rsidP="00580705">
      <w:pPr>
        <w:rPr>
          <w:sz w:val="24"/>
          <w:szCs w:val="24"/>
        </w:rPr>
      </w:pPr>
    </w:p>
    <w:p w14:paraId="6CF29A63" w14:textId="77777777" w:rsidR="00520621" w:rsidRPr="008B6129" w:rsidRDefault="00520621" w:rsidP="00520621">
      <w:pPr>
        <w:rPr>
          <w:sz w:val="24"/>
          <w:szCs w:val="24"/>
        </w:rPr>
      </w:pPr>
    </w:p>
    <w:p w14:paraId="3219C638"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Matriz de Correlação Univariada: Computou-se a Matriz de Correlação de Pearson (rho) sobre os retornos em excesso, isolando a dispersão volatilidade-dependente numa escala de [-1, 1].</w:t>
      </w:r>
    </w:p>
    <w:p w14:paraId="21D62EBC"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Agrupamento por Clusterização Hierárquica: A matriz foi submetida a um modelo de aprendizado de máquina não-supervisionado (Hierarchical Clustering) via método de Ward e distância Euclidiana, reorganizando o vetor espacial em blocos setoriais.</w:t>
      </w:r>
    </w:p>
    <w:p w14:paraId="30CB945A" w14:textId="77777777" w:rsidR="00520621" w:rsidRPr="008B6129" w:rsidRDefault="00520621" w:rsidP="003F1C11">
      <w:pPr>
        <w:pStyle w:val="PargrafodaLista"/>
        <w:numPr>
          <w:ilvl w:val="0"/>
          <w:numId w:val="48"/>
        </w:numPr>
        <w:spacing w:line="360" w:lineRule="auto"/>
        <w:jc w:val="both"/>
        <w:rPr>
          <w:sz w:val="24"/>
          <w:szCs w:val="24"/>
        </w:rPr>
      </w:pPr>
      <w:r>
        <w:rPr>
          <w:sz w:val="24"/>
          <w:szCs w:val="24"/>
        </w:rPr>
        <w:t>Mapeamento da Fronteira de Máxima Diversificação Local: O algoritmo extraiu os pares ordenados com os coeficientes de correlação mais ínfimos, configurando a base referencial para a elaboração de portfólios descorrelacionados.</w:t>
      </w:r>
    </w:p>
    <w:p w14:paraId="0D070110" w14:textId="77777777" w:rsidR="00520621" w:rsidRPr="008B6129" w:rsidRDefault="00520621" w:rsidP="00520621">
      <w:pPr>
        <w:rPr>
          <w:sz w:val="24"/>
          <w:szCs w:val="24"/>
        </w:rPr>
      </w:pPr>
      <w:r>
        <w:rPr>
          <w:sz w:val="24"/>
          <w:szCs w:val="24"/>
        </w:rPr>
        <w:br w:type="page"/>
      </w:r>
    </w:p>
    <w:p w14:paraId="60C07769" w14:textId="77777777" w:rsidR="00580705" w:rsidRPr="00580705" w:rsidRDefault="00580705" w:rsidP="00CB4A48">
      <w:pPr>
        <w:pStyle w:val="PargrafodaLista"/>
        <w:numPr>
          <w:ilvl w:val="1"/>
          <w:numId w:val="62"/>
        </w:numPr>
        <w:spacing w:line="360" w:lineRule="auto"/>
        <w:ind w:left="0" w:firstLine="0"/>
        <w:jc w:val="both"/>
        <w:outlineLvl w:val="1"/>
        <w:rPr>
          <w:b/>
          <w:sz w:val="24"/>
          <w:szCs w:val="24"/>
          <w:lang w:val="pt-BR"/>
        </w:rPr>
      </w:pPr>
      <w:bookmarkStart w:id="171" w:name="_Toc230857110"/>
      <w:r>
        <w:rPr>
          <w:b/>
          <w:sz w:val="24"/>
          <w:szCs w:val="24"/>
        </w:rPr>
        <w:lastRenderedPageBreak/>
        <w:t>Apêndice J – Engenharia Reversa De Black-Litterman: Extração Do Vetor De Retornos Implícitos De Equilíbrio (Π)</w:t>
      </w:r>
      <w:bookmarkEnd w:id="171"/>
    </w:p>
    <w:p w14:paraId="52B1E49D" w14:textId="77777777" w:rsidR="00520621" w:rsidRPr="008A0506" w:rsidRDefault="00520621" w:rsidP="00580705">
      <w:pPr>
        <w:rPr>
          <w:b/>
          <w:sz w:val="24"/>
          <w:szCs w:val="24"/>
          <w:lang w:val="pt-BR"/>
        </w:rPr>
      </w:pPr>
    </w:p>
    <w:p w14:paraId="0D9C4357" w14:textId="77777777" w:rsidR="00520621" w:rsidRPr="008B6129" w:rsidRDefault="00520621" w:rsidP="00520621">
      <w:pPr>
        <w:rPr>
          <w:sz w:val="24"/>
          <w:szCs w:val="24"/>
        </w:rPr>
      </w:pPr>
    </w:p>
    <w:p w14:paraId="3ED00E16"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Premissa do Modelo: Para contornar a sensibilidade extremada do modelo Média-Variância a inputs históricos ruidosos, adotou-se o modelo bayesiano de Black-Litterman (1992).</w:t>
      </w:r>
    </w:p>
    <w:p w14:paraId="4EB945A5" w14:textId="77777777" w:rsidR="00520621" w:rsidRPr="008B6129" w:rsidRDefault="00520621" w:rsidP="003F1C11">
      <w:pPr>
        <w:pStyle w:val="PargrafodaLista"/>
        <w:numPr>
          <w:ilvl w:val="0"/>
          <w:numId w:val="49"/>
        </w:numPr>
        <w:spacing w:line="360" w:lineRule="auto"/>
        <w:ind w:left="714" w:hanging="357"/>
        <w:jc w:val="both"/>
        <w:rPr>
          <w:sz w:val="24"/>
          <w:szCs w:val="24"/>
        </w:rPr>
      </w:pPr>
      <w:r>
        <w:rPr>
          <w:sz w:val="24"/>
          <w:szCs w:val="24"/>
        </w:rPr>
        <w:t xml:space="preserve">Extração do Vetor de Retornos Implícitos: A fase primordial consistiu na derivação do vetor Pi (Π = δ · Σ_LW · w_m), utilizando o coeficiente de aversão ao risco δ = 2,5 (fixo; He &amp; Litterman, 1999) e o vetor de referência equiponderado w_m = 1/N. A matriz de covariância Σ_LW é estimada por Ledoit-Wolf e anualizada (×252). As visões de retorno são geradas pelo fator momentum 12-1 (sem LSTM nem ARIMA). A incerteza das visões Ω segue He &amp; Litterman (1999), com τ = 0,05. </w:t>
      </w:r>
      <w:r>
        <w:rPr>
          <w:sz w:val="24"/>
          <w:szCs w:val="24"/>
        </w:rPr>
        <w:t xml:space="preserve">Nota de auditoria (2026-06-04): a rotulagem “BL + LSTM” constante em versões anteriores do texto constitui erro descritivo. Não há implementação de redes neurais (LSTM) nem de ARIMA no repositório. A metodologia empregada é Black-Litterman com visões de momentum puro (12-1).</w:t>
      </w:r>
      <w:r>
        <w:rPr>
          <w:sz w:val="24"/>
          <w:szCs w:val="24"/>
        </w:rPr>
        <w:t xml:space="preserve"> Este processo estabiliza as expectativas de retorno e purga o efeito de anomalias pretéritas.</w:t>
      </w:r>
    </w:p>
    <w:p w14:paraId="34B1BB1C" w14:textId="77777777" w:rsidR="00520621" w:rsidRPr="008A0506" w:rsidRDefault="00520621" w:rsidP="00520621">
      <w:pPr>
        <w:rPr>
          <w:sz w:val="24"/>
          <w:szCs w:val="24"/>
          <w:lang w:val="pt-BR"/>
        </w:rPr>
      </w:pPr>
      <w:r>
        <w:rPr>
          <w:sz w:val="24"/>
          <w:szCs w:val="24"/>
          <w:lang w:val="pt-BR"/>
        </w:rPr>
        <w:br w:type="page"/>
      </w:r>
    </w:p>
    <w:p w14:paraId="2163F7CB" w14:textId="77777777" w:rsidR="00520621" w:rsidRPr="008A0506" w:rsidRDefault="00520621" w:rsidP="00520621">
      <w:pPr>
        <w:rPr>
          <w:sz w:val="24"/>
          <w:szCs w:val="24"/>
          <w:lang w:val="pt-BR"/>
        </w:rPr>
      </w:pPr>
    </w:p>
    <w:sectPr w:rsidR="00520621" w:rsidRPr="008A05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633B0" w14:textId="77777777" w:rsidR="00BA7376" w:rsidRDefault="00BA7376" w:rsidP="00E50F58">
      <w:r>
        <w:separator/>
      </w:r>
    </w:p>
  </w:endnote>
  <w:endnote w:type="continuationSeparator" w:id="0">
    <w:p w14:paraId="3B4F2C19" w14:textId="77777777" w:rsidR="00BA7376" w:rsidRDefault="00BA7376" w:rsidP="00E50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Google Sans">
    <w:altName w:val="Times New Roman"/>
    <w:charset w:val="00"/>
    <w:family w:val="auto"/>
    <w:pitch w:val="default"/>
  </w:font>
  <w:font w:name="Google Sans Text">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060C4" w14:textId="77777777" w:rsidR="00BA7376" w:rsidRDefault="00BA7376" w:rsidP="00E50F58">
      <w:r>
        <w:separator/>
      </w:r>
    </w:p>
  </w:footnote>
  <w:footnote w:type="continuationSeparator" w:id="0">
    <w:p w14:paraId="3DB4F66D" w14:textId="77777777" w:rsidR="00BA7376" w:rsidRDefault="00BA7376" w:rsidP="00E50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8677AB"/>
    <w:multiLevelType w:val="multilevel"/>
    <w:tmpl w:val="6962661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D440F"/>
    <w:multiLevelType w:val="multilevel"/>
    <w:tmpl w:val="77A8E5E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33B66"/>
    <w:multiLevelType w:val="hybridMultilevel"/>
    <w:tmpl w:val="D08C494C"/>
    <w:lvl w:ilvl="0" w:tplc="04160001">
      <w:start w:val="1"/>
      <w:numFmt w:val="bullet"/>
      <w:lvlText w:val=""/>
      <w:lvlJc w:val="left"/>
      <w:pPr>
        <w:ind w:left="720" w:hanging="360"/>
      </w:pPr>
      <w:rPr>
        <w:rFonts w:ascii="Symbol" w:hAnsi="Symbol" w:hint="default"/>
      </w:rPr>
    </w:lvl>
    <w:lvl w:ilvl="1" w:tplc="64BA9EE0">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CAE1806"/>
    <w:multiLevelType w:val="multilevel"/>
    <w:tmpl w:val="5D02981E"/>
    <w:lvl w:ilvl="0">
      <w:start w:val="5"/>
      <w:numFmt w:val="decimal"/>
      <w:lvlText w:val="%1."/>
      <w:lvlJc w:val="left"/>
      <w:pPr>
        <w:ind w:left="360" w:hanging="360"/>
      </w:pPr>
      <w:rPr>
        <w:rFonts w:hint="default"/>
        <w:b/>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7"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60590"/>
    <w:multiLevelType w:val="hybridMultilevel"/>
    <w:tmpl w:val="2ADA542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1" w15:restartNumberingAfterBreak="0">
    <w:nsid w:val="18151C38"/>
    <w:multiLevelType w:val="hybridMultilevel"/>
    <w:tmpl w:val="0AC8F5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694B1C"/>
    <w:multiLevelType w:val="hybridMultilevel"/>
    <w:tmpl w:val="5E16EC66"/>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5" w15:restartNumberingAfterBreak="0">
    <w:nsid w:val="20FF0624"/>
    <w:multiLevelType w:val="hybridMultilevel"/>
    <w:tmpl w:val="14E4D73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6"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FE0E6C"/>
    <w:multiLevelType w:val="hybridMultilevel"/>
    <w:tmpl w:val="C71C25FC"/>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008C2"/>
    <w:multiLevelType w:val="hybridMultilevel"/>
    <w:tmpl w:val="45925EF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8C53F31"/>
    <w:multiLevelType w:val="hybridMultilevel"/>
    <w:tmpl w:val="0FCC54D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52BC9"/>
    <w:multiLevelType w:val="multilevel"/>
    <w:tmpl w:val="D5383F8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887C0E"/>
    <w:multiLevelType w:val="hybridMultilevel"/>
    <w:tmpl w:val="6C3C99D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E3134B"/>
    <w:multiLevelType w:val="hybridMultilevel"/>
    <w:tmpl w:val="8C30A10A"/>
    <w:lvl w:ilvl="0" w:tplc="04160013">
      <w:start w:val="1"/>
      <w:numFmt w:val="upperRoman"/>
      <w:lvlText w:val="%1."/>
      <w:lvlJc w:val="righ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29" w15:restartNumberingAfterBreak="0">
    <w:nsid w:val="38EA2BC5"/>
    <w:multiLevelType w:val="hybridMultilevel"/>
    <w:tmpl w:val="D4706A9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FCE7301"/>
    <w:multiLevelType w:val="multilevel"/>
    <w:tmpl w:val="74A8AFE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FD0AEC"/>
    <w:multiLevelType w:val="hybridMultilevel"/>
    <w:tmpl w:val="4EBAB972"/>
    <w:lvl w:ilvl="0" w:tplc="04160013">
      <w:start w:val="1"/>
      <w:numFmt w:val="upperRoman"/>
      <w:lvlText w:val="%1."/>
      <w:lvlJc w:val="right"/>
      <w:pPr>
        <w:ind w:left="644" w:hanging="360"/>
      </w:p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2" w15:restartNumberingAfterBreak="0">
    <w:nsid w:val="40195233"/>
    <w:multiLevelType w:val="multilevel"/>
    <w:tmpl w:val="55C87192"/>
    <w:lvl w:ilvl="0">
      <w:start w:val="1"/>
      <w:numFmt w:val="decimal"/>
      <w:lvlText w:val="%1."/>
      <w:lvlJc w:val="left"/>
      <w:pPr>
        <w:ind w:left="360" w:hanging="360"/>
      </w:pPr>
      <w:rPr>
        <w:rFonts w:hint="default"/>
        <w:spacing w:val="0"/>
        <w:w w:val="99"/>
        <w:sz w:val="24"/>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788" w:hanging="504"/>
      </w:pPr>
      <w:rPr>
        <w:rFonts w:hint="default"/>
        <w:b w:val="0"/>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33"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D8547C"/>
    <w:multiLevelType w:val="multilevel"/>
    <w:tmpl w:val="7EDC5F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7313F2"/>
    <w:multiLevelType w:val="multilevel"/>
    <w:tmpl w:val="E3B08A7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1A4DFD"/>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5EA81C8C"/>
    <w:multiLevelType w:val="multilevel"/>
    <w:tmpl w:val="B07E4C6E"/>
    <w:lvl w:ilvl="0">
      <w:start w:val="1"/>
      <w:numFmt w:val="bullet"/>
      <w:lvlText w:val=""/>
      <w:lvlJc w:val="left"/>
      <w:pPr>
        <w:ind w:left="48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A91B80"/>
    <w:multiLevelType w:val="hybridMultilevel"/>
    <w:tmpl w:val="5A3C44F8"/>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86E079F"/>
    <w:multiLevelType w:val="multilevel"/>
    <w:tmpl w:val="42681400"/>
    <w:lvl w:ilvl="0">
      <w:start w:val="4"/>
      <w:numFmt w:val="decimal"/>
      <w:lvlText w:val="%1."/>
      <w:lvlJc w:val="left"/>
      <w:pPr>
        <w:tabs>
          <w:tab w:val="num" w:pos="720"/>
        </w:tabs>
        <w:ind w:left="720" w:hanging="360"/>
      </w:pPr>
    </w:lvl>
    <w:lvl w:ilvl="1">
      <w:start w:val="1"/>
      <w:numFmt w:val="upp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49" w15:restartNumberingAfterBreak="0">
    <w:nsid w:val="6A1502B4"/>
    <w:multiLevelType w:val="hybridMultilevel"/>
    <w:tmpl w:val="E83C009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A4E079C"/>
    <w:multiLevelType w:val="hybridMultilevel"/>
    <w:tmpl w:val="33964E3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BFC7E7B"/>
    <w:multiLevelType w:val="multilevel"/>
    <w:tmpl w:val="30E05C1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BB3BF4"/>
    <w:multiLevelType w:val="multilevel"/>
    <w:tmpl w:val="69382886"/>
    <w:lvl w:ilvl="0">
      <w:start w:val="1"/>
      <w:numFmt w:val="upperRoman"/>
      <w:lvlText w:val="%1."/>
      <w:lvlJc w:val="righ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54"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5"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78C617DE"/>
    <w:multiLevelType w:val="hybridMultilevel"/>
    <w:tmpl w:val="C8DC1E2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BC34C9"/>
    <w:multiLevelType w:val="hybridMultilevel"/>
    <w:tmpl w:val="7EA02110"/>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13737329">
    <w:abstractNumId w:val="32"/>
  </w:num>
  <w:num w:numId="2" w16cid:durableId="1375929533">
    <w:abstractNumId w:val="34"/>
  </w:num>
  <w:num w:numId="3" w16cid:durableId="1076512141">
    <w:abstractNumId w:val="46"/>
  </w:num>
  <w:num w:numId="4" w16cid:durableId="1825702414">
    <w:abstractNumId w:val="59"/>
  </w:num>
  <w:num w:numId="5" w16cid:durableId="2097440304">
    <w:abstractNumId w:val="7"/>
  </w:num>
  <w:num w:numId="6" w16cid:durableId="488062634">
    <w:abstractNumId w:val="8"/>
  </w:num>
  <w:num w:numId="7" w16cid:durableId="655838610">
    <w:abstractNumId w:val="1"/>
  </w:num>
  <w:num w:numId="8" w16cid:durableId="690255725">
    <w:abstractNumId w:val="38"/>
  </w:num>
  <w:num w:numId="9" w16cid:durableId="1065110495">
    <w:abstractNumId w:val="16"/>
  </w:num>
  <w:num w:numId="10" w16cid:durableId="118378268">
    <w:abstractNumId w:val="55"/>
  </w:num>
  <w:num w:numId="11" w16cid:durableId="973027814">
    <w:abstractNumId w:val="54"/>
  </w:num>
  <w:num w:numId="12" w16cid:durableId="1720392934">
    <w:abstractNumId w:val="33"/>
  </w:num>
  <w:num w:numId="13" w16cid:durableId="648245478">
    <w:abstractNumId w:val="52"/>
  </w:num>
  <w:num w:numId="14" w16cid:durableId="1714310687">
    <w:abstractNumId w:val="22"/>
  </w:num>
  <w:num w:numId="15" w16cid:durableId="543711406">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97173431">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897474951">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626082895">
    <w:abstractNumId w:val="45"/>
    <w:lvlOverride w:ilvl="0">
      <w:lvl w:ilvl="0">
        <w:numFmt w:val="decimal"/>
        <w:lvlText w:val="%1."/>
        <w:lvlJc w:val="left"/>
      </w:lvl>
    </w:lvlOverride>
  </w:num>
  <w:num w:numId="19" w16cid:durableId="1941719120">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763918329">
    <w:abstractNumId w:val="5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48777516">
    <w:abstractNumId w:val="25"/>
    <w:lvlOverride w:ilvl="0">
      <w:lvl w:ilvl="0">
        <w:numFmt w:val="decimal"/>
        <w:lvlText w:val="%1."/>
        <w:lvlJc w:val="left"/>
      </w:lvl>
    </w:lvlOverride>
    <w:lvlOverride w:ilvl="1">
      <w:lvl w:ilvl="1">
        <w:start w:val="1"/>
        <w:numFmt w:val="decimal"/>
        <w:lvlText w:val="%2."/>
        <w:lvlJc w:val="left"/>
        <w:pPr>
          <w:tabs>
            <w:tab w:val="num" w:pos="1440"/>
          </w:tabs>
          <w:ind w:left="1440" w:hanging="360"/>
        </w:p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16cid:durableId="88271641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98072145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13447136">
    <w:abstractNumId w:val="51"/>
    <w:lvlOverride w:ilvl="0">
      <w:lvl w:ilvl="0">
        <w:start w:val="1"/>
        <w:numFmt w:val="upperRoman"/>
        <w:lvlText w:val="%1."/>
        <w:lvlJc w:val="righ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5" w16cid:durableId="1867526581">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256912349">
    <w:abstractNumId w:val="0"/>
  </w:num>
  <w:num w:numId="27" w16cid:durableId="1253006268">
    <w:abstractNumId w:val="41"/>
  </w:num>
  <w:num w:numId="28" w16cid:durableId="1579170437">
    <w:abstractNumId w:val="23"/>
  </w:num>
  <w:num w:numId="29" w16cid:durableId="732627016">
    <w:abstractNumId w:val="12"/>
  </w:num>
  <w:num w:numId="30" w16cid:durableId="473522860">
    <w:abstractNumId w:val="13"/>
  </w:num>
  <w:num w:numId="31" w16cid:durableId="1603026306">
    <w:abstractNumId w:val="36"/>
  </w:num>
  <w:num w:numId="32" w16cid:durableId="1249652876">
    <w:abstractNumId w:val="48"/>
  </w:num>
  <w:num w:numId="33" w16cid:durableId="1881504256">
    <w:abstractNumId w:val="42"/>
  </w:num>
  <w:num w:numId="34" w16cid:durableId="1500458653">
    <w:abstractNumId w:val="40"/>
  </w:num>
  <w:num w:numId="35" w16cid:durableId="681009453">
    <w:abstractNumId w:val="5"/>
  </w:num>
  <w:num w:numId="36" w16cid:durableId="773210807">
    <w:abstractNumId w:val="3"/>
  </w:num>
  <w:num w:numId="37" w16cid:durableId="128133811">
    <w:abstractNumId w:val="9"/>
  </w:num>
  <w:num w:numId="38" w16cid:durableId="49692634">
    <w:abstractNumId w:val="19"/>
  </w:num>
  <w:num w:numId="39" w16cid:durableId="760563315">
    <w:abstractNumId w:val="17"/>
  </w:num>
  <w:num w:numId="40" w16cid:durableId="2101364410">
    <w:abstractNumId w:val="39"/>
  </w:num>
  <w:num w:numId="41" w16cid:durableId="330719885">
    <w:abstractNumId w:val="28"/>
  </w:num>
  <w:num w:numId="42" w16cid:durableId="1737782570">
    <w:abstractNumId w:val="29"/>
  </w:num>
  <w:num w:numId="43" w16cid:durableId="1414426432">
    <w:abstractNumId w:val="43"/>
  </w:num>
  <w:num w:numId="44" w16cid:durableId="319113830">
    <w:abstractNumId w:val="56"/>
  </w:num>
  <w:num w:numId="45" w16cid:durableId="1038162958">
    <w:abstractNumId w:val="58"/>
  </w:num>
  <w:num w:numId="46" w16cid:durableId="1618754626">
    <w:abstractNumId w:val="49"/>
  </w:num>
  <w:num w:numId="47" w16cid:durableId="825777204">
    <w:abstractNumId w:val="20"/>
  </w:num>
  <w:num w:numId="48" w16cid:durableId="1992368502">
    <w:abstractNumId w:val="50"/>
  </w:num>
  <w:num w:numId="49" w16cid:durableId="1396202465">
    <w:abstractNumId w:val="31"/>
  </w:num>
  <w:num w:numId="50" w16cid:durableId="1005287310">
    <w:abstractNumId w:val="53"/>
  </w:num>
  <w:num w:numId="51" w16cid:durableId="540628782">
    <w:abstractNumId w:val="4"/>
  </w:num>
  <w:num w:numId="52" w16cid:durableId="600334970">
    <w:abstractNumId w:val="24"/>
  </w:num>
  <w:num w:numId="53" w16cid:durableId="1513252585">
    <w:abstractNumId w:val="37"/>
  </w:num>
  <w:num w:numId="54" w16cid:durableId="211354980">
    <w:abstractNumId w:val="2"/>
  </w:num>
  <w:num w:numId="55" w16cid:durableId="399058066">
    <w:abstractNumId w:val="18"/>
  </w:num>
  <w:num w:numId="56" w16cid:durableId="1507477617">
    <w:abstractNumId w:val="14"/>
  </w:num>
  <w:num w:numId="57" w16cid:durableId="994454720">
    <w:abstractNumId w:val="6"/>
  </w:num>
  <w:num w:numId="58" w16cid:durableId="911429964">
    <w:abstractNumId w:val="21"/>
  </w:num>
  <w:num w:numId="59" w16cid:durableId="988048945">
    <w:abstractNumId w:val="15"/>
  </w:num>
  <w:num w:numId="60" w16cid:durableId="99225398">
    <w:abstractNumId w:val="10"/>
  </w:num>
  <w:num w:numId="61" w16cid:durableId="1488861632">
    <w:abstractNumId w:val="30"/>
  </w:num>
  <w:num w:numId="62" w16cid:durableId="121963261">
    <w:abstractNumId w:val="47"/>
  </w:num>
  <w:num w:numId="63" w16cid:durableId="902639060">
    <w:abstractNumId w:val="11"/>
  </w:num>
  <w:num w:numId="64" w16cid:durableId="975915307">
    <w:abstractNumId w:val="2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074E7"/>
    <w:rsid w:val="0001000E"/>
    <w:rsid w:val="00011600"/>
    <w:rsid w:val="00013722"/>
    <w:rsid w:val="00013A75"/>
    <w:rsid w:val="00014BB9"/>
    <w:rsid w:val="00021F7A"/>
    <w:rsid w:val="00022252"/>
    <w:rsid w:val="0002251D"/>
    <w:rsid w:val="000228B8"/>
    <w:rsid w:val="00024FC4"/>
    <w:rsid w:val="00031F57"/>
    <w:rsid w:val="00033BB9"/>
    <w:rsid w:val="000412A1"/>
    <w:rsid w:val="00043795"/>
    <w:rsid w:val="000446AD"/>
    <w:rsid w:val="00044FD7"/>
    <w:rsid w:val="00046CDD"/>
    <w:rsid w:val="000529E9"/>
    <w:rsid w:val="00055734"/>
    <w:rsid w:val="00056BF3"/>
    <w:rsid w:val="000638D0"/>
    <w:rsid w:val="000733FC"/>
    <w:rsid w:val="00076DF9"/>
    <w:rsid w:val="000814E1"/>
    <w:rsid w:val="000815A7"/>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B6DD5"/>
    <w:rsid w:val="000C0191"/>
    <w:rsid w:val="000C3724"/>
    <w:rsid w:val="000C4579"/>
    <w:rsid w:val="000C53DD"/>
    <w:rsid w:val="000C5A3B"/>
    <w:rsid w:val="000C6D57"/>
    <w:rsid w:val="000C6E6D"/>
    <w:rsid w:val="000D1E04"/>
    <w:rsid w:val="000D7366"/>
    <w:rsid w:val="000E0851"/>
    <w:rsid w:val="000E104C"/>
    <w:rsid w:val="000E6954"/>
    <w:rsid w:val="000E7786"/>
    <w:rsid w:val="000F0737"/>
    <w:rsid w:val="0010060B"/>
    <w:rsid w:val="001019C4"/>
    <w:rsid w:val="00104916"/>
    <w:rsid w:val="00105896"/>
    <w:rsid w:val="00106BA2"/>
    <w:rsid w:val="00114688"/>
    <w:rsid w:val="00116011"/>
    <w:rsid w:val="00121641"/>
    <w:rsid w:val="001241DB"/>
    <w:rsid w:val="00126FD6"/>
    <w:rsid w:val="00132279"/>
    <w:rsid w:val="00132D0C"/>
    <w:rsid w:val="00132D93"/>
    <w:rsid w:val="00136FC9"/>
    <w:rsid w:val="0014020A"/>
    <w:rsid w:val="00142CC8"/>
    <w:rsid w:val="00147357"/>
    <w:rsid w:val="00150899"/>
    <w:rsid w:val="001536CD"/>
    <w:rsid w:val="00157220"/>
    <w:rsid w:val="00162692"/>
    <w:rsid w:val="00164893"/>
    <w:rsid w:val="00164D48"/>
    <w:rsid w:val="00176598"/>
    <w:rsid w:val="00180F64"/>
    <w:rsid w:val="00184452"/>
    <w:rsid w:val="00184902"/>
    <w:rsid w:val="001850E2"/>
    <w:rsid w:val="001936D8"/>
    <w:rsid w:val="0019550A"/>
    <w:rsid w:val="00197E79"/>
    <w:rsid w:val="001A07E5"/>
    <w:rsid w:val="001A2771"/>
    <w:rsid w:val="001A65DE"/>
    <w:rsid w:val="001B083D"/>
    <w:rsid w:val="001B194E"/>
    <w:rsid w:val="001B33CB"/>
    <w:rsid w:val="001B4AFB"/>
    <w:rsid w:val="001C0A56"/>
    <w:rsid w:val="001C3785"/>
    <w:rsid w:val="001C5DAA"/>
    <w:rsid w:val="001C6289"/>
    <w:rsid w:val="001C6D07"/>
    <w:rsid w:val="001C750C"/>
    <w:rsid w:val="001D5485"/>
    <w:rsid w:val="001E4560"/>
    <w:rsid w:val="001E4C51"/>
    <w:rsid w:val="001E4E81"/>
    <w:rsid w:val="001E51C0"/>
    <w:rsid w:val="001E66CA"/>
    <w:rsid w:val="001F733C"/>
    <w:rsid w:val="001F75A9"/>
    <w:rsid w:val="001F7DF4"/>
    <w:rsid w:val="00201A99"/>
    <w:rsid w:val="00204DAC"/>
    <w:rsid w:val="00212888"/>
    <w:rsid w:val="00217CD7"/>
    <w:rsid w:val="00221703"/>
    <w:rsid w:val="00222722"/>
    <w:rsid w:val="00222799"/>
    <w:rsid w:val="00223CE0"/>
    <w:rsid w:val="00224A18"/>
    <w:rsid w:val="00230A85"/>
    <w:rsid w:val="002330D9"/>
    <w:rsid w:val="00241298"/>
    <w:rsid w:val="002414FC"/>
    <w:rsid w:val="002447E8"/>
    <w:rsid w:val="002457B1"/>
    <w:rsid w:val="00251F25"/>
    <w:rsid w:val="00254006"/>
    <w:rsid w:val="00256949"/>
    <w:rsid w:val="00256CFE"/>
    <w:rsid w:val="002618DD"/>
    <w:rsid w:val="0026430B"/>
    <w:rsid w:val="002649F8"/>
    <w:rsid w:val="00274359"/>
    <w:rsid w:val="00281AD0"/>
    <w:rsid w:val="0028243A"/>
    <w:rsid w:val="002858A6"/>
    <w:rsid w:val="00285C08"/>
    <w:rsid w:val="00292896"/>
    <w:rsid w:val="00294789"/>
    <w:rsid w:val="00294792"/>
    <w:rsid w:val="002A1175"/>
    <w:rsid w:val="002A4257"/>
    <w:rsid w:val="002A7329"/>
    <w:rsid w:val="002B01FB"/>
    <w:rsid w:val="002B0981"/>
    <w:rsid w:val="002B1D20"/>
    <w:rsid w:val="002B2774"/>
    <w:rsid w:val="002B47EC"/>
    <w:rsid w:val="002B68B0"/>
    <w:rsid w:val="002B7D78"/>
    <w:rsid w:val="002C217E"/>
    <w:rsid w:val="002C340D"/>
    <w:rsid w:val="002C368D"/>
    <w:rsid w:val="002C46CC"/>
    <w:rsid w:val="002C632F"/>
    <w:rsid w:val="002C683F"/>
    <w:rsid w:val="002D389F"/>
    <w:rsid w:val="002D3C28"/>
    <w:rsid w:val="002E228E"/>
    <w:rsid w:val="002E4C1D"/>
    <w:rsid w:val="002E51A4"/>
    <w:rsid w:val="002F71F2"/>
    <w:rsid w:val="00302771"/>
    <w:rsid w:val="003027A2"/>
    <w:rsid w:val="00303D02"/>
    <w:rsid w:val="00303F46"/>
    <w:rsid w:val="003066D5"/>
    <w:rsid w:val="00310893"/>
    <w:rsid w:val="003121E2"/>
    <w:rsid w:val="003126B9"/>
    <w:rsid w:val="00314513"/>
    <w:rsid w:val="003173E0"/>
    <w:rsid w:val="00320814"/>
    <w:rsid w:val="00322F0B"/>
    <w:rsid w:val="0032571A"/>
    <w:rsid w:val="0032650F"/>
    <w:rsid w:val="003317CA"/>
    <w:rsid w:val="00335078"/>
    <w:rsid w:val="0033641B"/>
    <w:rsid w:val="00336E05"/>
    <w:rsid w:val="00341FE3"/>
    <w:rsid w:val="00342B5C"/>
    <w:rsid w:val="00342F6F"/>
    <w:rsid w:val="00344120"/>
    <w:rsid w:val="003460B2"/>
    <w:rsid w:val="00346652"/>
    <w:rsid w:val="00347DDA"/>
    <w:rsid w:val="003522ED"/>
    <w:rsid w:val="0035479F"/>
    <w:rsid w:val="00356976"/>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C15"/>
    <w:rsid w:val="003A6DCC"/>
    <w:rsid w:val="003B40F3"/>
    <w:rsid w:val="003B453E"/>
    <w:rsid w:val="003B6464"/>
    <w:rsid w:val="003C0900"/>
    <w:rsid w:val="003C237A"/>
    <w:rsid w:val="003C3390"/>
    <w:rsid w:val="003C4BBA"/>
    <w:rsid w:val="003C6F38"/>
    <w:rsid w:val="003D36D9"/>
    <w:rsid w:val="003E026A"/>
    <w:rsid w:val="003E1C0B"/>
    <w:rsid w:val="003E3336"/>
    <w:rsid w:val="003E35D3"/>
    <w:rsid w:val="003E6CD9"/>
    <w:rsid w:val="003E7A23"/>
    <w:rsid w:val="003F1C11"/>
    <w:rsid w:val="003F5948"/>
    <w:rsid w:val="003F753F"/>
    <w:rsid w:val="00405771"/>
    <w:rsid w:val="00405E05"/>
    <w:rsid w:val="00405E3C"/>
    <w:rsid w:val="0040610D"/>
    <w:rsid w:val="004110F9"/>
    <w:rsid w:val="00413156"/>
    <w:rsid w:val="00413ADE"/>
    <w:rsid w:val="00417321"/>
    <w:rsid w:val="00417587"/>
    <w:rsid w:val="00420633"/>
    <w:rsid w:val="004212A6"/>
    <w:rsid w:val="0042187C"/>
    <w:rsid w:val="0042337E"/>
    <w:rsid w:val="00425AEF"/>
    <w:rsid w:val="00433176"/>
    <w:rsid w:val="00441882"/>
    <w:rsid w:val="00443833"/>
    <w:rsid w:val="004456B0"/>
    <w:rsid w:val="00447D6C"/>
    <w:rsid w:val="00450EEA"/>
    <w:rsid w:val="004541A2"/>
    <w:rsid w:val="00454380"/>
    <w:rsid w:val="00454A35"/>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792E"/>
    <w:rsid w:val="004A7A54"/>
    <w:rsid w:val="004B129A"/>
    <w:rsid w:val="004B2355"/>
    <w:rsid w:val="004B4B7C"/>
    <w:rsid w:val="004B6B4B"/>
    <w:rsid w:val="004B7878"/>
    <w:rsid w:val="004C293F"/>
    <w:rsid w:val="004C5891"/>
    <w:rsid w:val="004C58DE"/>
    <w:rsid w:val="004C5A90"/>
    <w:rsid w:val="004C6175"/>
    <w:rsid w:val="004C7D06"/>
    <w:rsid w:val="004D0FA8"/>
    <w:rsid w:val="004D13FA"/>
    <w:rsid w:val="004D2E46"/>
    <w:rsid w:val="004E301B"/>
    <w:rsid w:val="004F36BB"/>
    <w:rsid w:val="004F517F"/>
    <w:rsid w:val="004F5BED"/>
    <w:rsid w:val="00500568"/>
    <w:rsid w:val="00501D17"/>
    <w:rsid w:val="00502E83"/>
    <w:rsid w:val="005057AA"/>
    <w:rsid w:val="00505D16"/>
    <w:rsid w:val="00506E12"/>
    <w:rsid w:val="00507E26"/>
    <w:rsid w:val="005106B9"/>
    <w:rsid w:val="00513D83"/>
    <w:rsid w:val="00513DE3"/>
    <w:rsid w:val="00517304"/>
    <w:rsid w:val="00520621"/>
    <w:rsid w:val="00522944"/>
    <w:rsid w:val="00526869"/>
    <w:rsid w:val="005275CA"/>
    <w:rsid w:val="005360B6"/>
    <w:rsid w:val="005364BA"/>
    <w:rsid w:val="00541D5D"/>
    <w:rsid w:val="005463E0"/>
    <w:rsid w:val="00552393"/>
    <w:rsid w:val="00552A6B"/>
    <w:rsid w:val="00555DDF"/>
    <w:rsid w:val="00555DE8"/>
    <w:rsid w:val="00555FF4"/>
    <w:rsid w:val="00556000"/>
    <w:rsid w:val="00557208"/>
    <w:rsid w:val="005606CE"/>
    <w:rsid w:val="00564EAF"/>
    <w:rsid w:val="0057020F"/>
    <w:rsid w:val="005719CC"/>
    <w:rsid w:val="005756D6"/>
    <w:rsid w:val="00575D01"/>
    <w:rsid w:val="00577540"/>
    <w:rsid w:val="00577B88"/>
    <w:rsid w:val="00580705"/>
    <w:rsid w:val="005822ED"/>
    <w:rsid w:val="00584F5F"/>
    <w:rsid w:val="0058564B"/>
    <w:rsid w:val="00591112"/>
    <w:rsid w:val="005A11B8"/>
    <w:rsid w:val="005A33FE"/>
    <w:rsid w:val="005A5329"/>
    <w:rsid w:val="005C119B"/>
    <w:rsid w:val="005C5477"/>
    <w:rsid w:val="005C71C2"/>
    <w:rsid w:val="005D1416"/>
    <w:rsid w:val="005D2C41"/>
    <w:rsid w:val="005D311B"/>
    <w:rsid w:val="005D48A6"/>
    <w:rsid w:val="005D7EDB"/>
    <w:rsid w:val="005F3BE3"/>
    <w:rsid w:val="005F58B6"/>
    <w:rsid w:val="00607973"/>
    <w:rsid w:val="00607CFE"/>
    <w:rsid w:val="0061477B"/>
    <w:rsid w:val="00614D8B"/>
    <w:rsid w:val="00616264"/>
    <w:rsid w:val="0062256F"/>
    <w:rsid w:val="00623692"/>
    <w:rsid w:val="00631308"/>
    <w:rsid w:val="00636B3A"/>
    <w:rsid w:val="0065150E"/>
    <w:rsid w:val="00654902"/>
    <w:rsid w:val="006575FC"/>
    <w:rsid w:val="00657C8B"/>
    <w:rsid w:val="00660737"/>
    <w:rsid w:val="006611C7"/>
    <w:rsid w:val="00661666"/>
    <w:rsid w:val="00671630"/>
    <w:rsid w:val="0067305C"/>
    <w:rsid w:val="00673279"/>
    <w:rsid w:val="00675050"/>
    <w:rsid w:val="00677270"/>
    <w:rsid w:val="0068083F"/>
    <w:rsid w:val="00684B6C"/>
    <w:rsid w:val="00691176"/>
    <w:rsid w:val="0069289E"/>
    <w:rsid w:val="006929CB"/>
    <w:rsid w:val="00693351"/>
    <w:rsid w:val="006941C3"/>
    <w:rsid w:val="00696B7C"/>
    <w:rsid w:val="006A4FBC"/>
    <w:rsid w:val="006B2F5C"/>
    <w:rsid w:val="006B52D7"/>
    <w:rsid w:val="006B60DA"/>
    <w:rsid w:val="006C0EE2"/>
    <w:rsid w:val="006C2DF8"/>
    <w:rsid w:val="006C2FB2"/>
    <w:rsid w:val="006C34D7"/>
    <w:rsid w:val="006C5854"/>
    <w:rsid w:val="006C5AB7"/>
    <w:rsid w:val="006C6A33"/>
    <w:rsid w:val="006D0E3A"/>
    <w:rsid w:val="006D1C53"/>
    <w:rsid w:val="006D4756"/>
    <w:rsid w:val="006D7870"/>
    <w:rsid w:val="006E0D05"/>
    <w:rsid w:val="006E5684"/>
    <w:rsid w:val="006F0266"/>
    <w:rsid w:val="006F5444"/>
    <w:rsid w:val="00703278"/>
    <w:rsid w:val="00707F77"/>
    <w:rsid w:val="00713A7F"/>
    <w:rsid w:val="00714DA2"/>
    <w:rsid w:val="0071676E"/>
    <w:rsid w:val="0072043B"/>
    <w:rsid w:val="00720B10"/>
    <w:rsid w:val="00721F72"/>
    <w:rsid w:val="00723C79"/>
    <w:rsid w:val="00732FCA"/>
    <w:rsid w:val="00733BB3"/>
    <w:rsid w:val="00735490"/>
    <w:rsid w:val="007367F3"/>
    <w:rsid w:val="00736E2A"/>
    <w:rsid w:val="007423F5"/>
    <w:rsid w:val="00742B95"/>
    <w:rsid w:val="00743EBC"/>
    <w:rsid w:val="0074461D"/>
    <w:rsid w:val="00753261"/>
    <w:rsid w:val="00755C97"/>
    <w:rsid w:val="00760310"/>
    <w:rsid w:val="007614D2"/>
    <w:rsid w:val="007642FC"/>
    <w:rsid w:val="00766646"/>
    <w:rsid w:val="00771C38"/>
    <w:rsid w:val="00774DF9"/>
    <w:rsid w:val="0077651E"/>
    <w:rsid w:val="00780A74"/>
    <w:rsid w:val="00783E64"/>
    <w:rsid w:val="00787E8E"/>
    <w:rsid w:val="00790CD2"/>
    <w:rsid w:val="007923D8"/>
    <w:rsid w:val="00793E79"/>
    <w:rsid w:val="00794DF0"/>
    <w:rsid w:val="007970A5"/>
    <w:rsid w:val="007A5264"/>
    <w:rsid w:val="007A69FC"/>
    <w:rsid w:val="007A6E93"/>
    <w:rsid w:val="007B386D"/>
    <w:rsid w:val="007C71D7"/>
    <w:rsid w:val="007C74B8"/>
    <w:rsid w:val="007E00C4"/>
    <w:rsid w:val="007F27F6"/>
    <w:rsid w:val="007F3010"/>
    <w:rsid w:val="007F7E0C"/>
    <w:rsid w:val="00801647"/>
    <w:rsid w:val="00801A4C"/>
    <w:rsid w:val="008029AE"/>
    <w:rsid w:val="008039C3"/>
    <w:rsid w:val="008239F2"/>
    <w:rsid w:val="0082756A"/>
    <w:rsid w:val="00831C2A"/>
    <w:rsid w:val="0083471D"/>
    <w:rsid w:val="00836674"/>
    <w:rsid w:val="00840BAE"/>
    <w:rsid w:val="00846B0A"/>
    <w:rsid w:val="00847B6E"/>
    <w:rsid w:val="00850260"/>
    <w:rsid w:val="00850583"/>
    <w:rsid w:val="00853490"/>
    <w:rsid w:val="008567FD"/>
    <w:rsid w:val="008574DF"/>
    <w:rsid w:val="008655E5"/>
    <w:rsid w:val="0086671B"/>
    <w:rsid w:val="00870654"/>
    <w:rsid w:val="008717AF"/>
    <w:rsid w:val="00874223"/>
    <w:rsid w:val="0087553C"/>
    <w:rsid w:val="008776EC"/>
    <w:rsid w:val="00882CC6"/>
    <w:rsid w:val="00882CE5"/>
    <w:rsid w:val="0088533E"/>
    <w:rsid w:val="00891A56"/>
    <w:rsid w:val="00893755"/>
    <w:rsid w:val="00893C59"/>
    <w:rsid w:val="008A0506"/>
    <w:rsid w:val="008A07EB"/>
    <w:rsid w:val="008A084C"/>
    <w:rsid w:val="008A2B9C"/>
    <w:rsid w:val="008A4EDD"/>
    <w:rsid w:val="008A6FEF"/>
    <w:rsid w:val="008A751E"/>
    <w:rsid w:val="008A75BE"/>
    <w:rsid w:val="008B003C"/>
    <w:rsid w:val="008B1DAB"/>
    <w:rsid w:val="008B6129"/>
    <w:rsid w:val="008B6A11"/>
    <w:rsid w:val="008C0542"/>
    <w:rsid w:val="008C1492"/>
    <w:rsid w:val="008C1690"/>
    <w:rsid w:val="008C1CBE"/>
    <w:rsid w:val="008C6BF8"/>
    <w:rsid w:val="008D02BF"/>
    <w:rsid w:val="008D0640"/>
    <w:rsid w:val="008D0D04"/>
    <w:rsid w:val="008D141E"/>
    <w:rsid w:val="008D606D"/>
    <w:rsid w:val="008D6AFE"/>
    <w:rsid w:val="008E089F"/>
    <w:rsid w:val="008E2F19"/>
    <w:rsid w:val="008E3120"/>
    <w:rsid w:val="008E376E"/>
    <w:rsid w:val="008E43CA"/>
    <w:rsid w:val="008E509D"/>
    <w:rsid w:val="008E55CE"/>
    <w:rsid w:val="008E66A8"/>
    <w:rsid w:val="008E66AE"/>
    <w:rsid w:val="008E6760"/>
    <w:rsid w:val="008E7FA8"/>
    <w:rsid w:val="008F2220"/>
    <w:rsid w:val="008F3672"/>
    <w:rsid w:val="008F5EF2"/>
    <w:rsid w:val="009008F2"/>
    <w:rsid w:val="00900952"/>
    <w:rsid w:val="009022BB"/>
    <w:rsid w:val="00902470"/>
    <w:rsid w:val="00903159"/>
    <w:rsid w:val="00903B95"/>
    <w:rsid w:val="00904E69"/>
    <w:rsid w:val="00906498"/>
    <w:rsid w:val="00906ACA"/>
    <w:rsid w:val="009074D7"/>
    <w:rsid w:val="00911BF1"/>
    <w:rsid w:val="009135DF"/>
    <w:rsid w:val="00920CA2"/>
    <w:rsid w:val="00920FF8"/>
    <w:rsid w:val="009260C6"/>
    <w:rsid w:val="00930354"/>
    <w:rsid w:val="009327CD"/>
    <w:rsid w:val="00936F6D"/>
    <w:rsid w:val="00940211"/>
    <w:rsid w:val="009436C9"/>
    <w:rsid w:val="009460AE"/>
    <w:rsid w:val="00947E27"/>
    <w:rsid w:val="00950529"/>
    <w:rsid w:val="009551F5"/>
    <w:rsid w:val="009578C9"/>
    <w:rsid w:val="00957B7A"/>
    <w:rsid w:val="00964279"/>
    <w:rsid w:val="00966DAD"/>
    <w:rsid w:val="00967D1A"/>
    <w:rsid w:val="00967E6E"/>
    <w:rsid w:val="0097407C"/>
    <w:rsid w:val="00975AE6"/>
    <w:rsid w:val="00977220"/>
    <w:rsid w:val="0097749F"/>
    <w:rsid w:val="00977B2F"/>
    <w:rsid w:val="00977CC6"/>
    <w:rsid w:val="00977D32"/>
    <w:rsid w:val="00983175"/>
    <w:rsid w:val="00983F6A"/>
    <w:rsid w:val="00985DCE"/>
    <w:rsid w:val="00986259"/>
    <w:rsid w:val="0098708D"/>
    <w:rsid w:val="00990613"/>
    <w:rsid w:val="0099085B"/>
    <w:rsid w:val="009909F5"/>
    <w:rsid w:val="0099150C"/>
    <w:rsid w:val="0099238D"/>
    <w:rsid w:val="0099264D"/>
    <w:rsid w:val="00994729"/>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6DCF"/>
    <w:rsid w:val="009D0462"/>
    <w:rsid w:val="009D1BFC"/>
    <w:rsid w:val="009D398C"/>
    <w:rsid w:val="009E00E7"/>
    <w:rsid w:val="009E1AAD"/>
    <w:rsid w:val="009E4513"/>
    <w:rsid w:val="009E4C5A"/>
    <w:rsid w:val="009E531D"/>
    <w:rsid w:val="009F4CF2"/>
    <w:rsid w:val="009F539C"/>
    <w:rsid w:val="009F6F99"/>
    <w:rsid w:val="00A03CB9"/>
    <w:rsid w:val="00A052D3"/>
    <w:rsid w:val="00A0683D"/>
    <w:rsid w:val="00A069C9"/>
    <w:rsid w:val="00A0725A"/>
    <w:rsid w:val="00A0765E"/>
    <w:rsid w:val="00A12B5A"/>
    <w:rsid w:val="00A14754"/>
    <w:rsid w:val="00A1586F"/>
    <w:rsid w:val="00A2073A"/>
    <w:rsid w:val="00A21AA9"/>
    <w:rsid w:val="00A23283"/>
    <w:rsid w:val="00A23477"/>
    <w:rsid w:val="00A23C9B"/>
    <w:rsid w:val="00A30561"/>
    <w:rsid w:val="00A31F73"/>
    <w:rsid w:val="00A342F8"/>
    <w:rsid w:val="00A345BA"/>
    <w:rsid w:val="00A346B5"/>
    <w:rsid w:val="00A41810"/>
    <w:rsid w:val="00A43B5C"/>
    <w:rsid w:val="00A46D8D"/>
    <w:rsid w:val="00A50CCE"/>
    <w:rsid w:val="00A50E58"/>
    <w:rsid w:val="00A53FEA"/>
    <w:rsid w:val="00A546A0"/>
    <w:rsid w:val="00A60F50"/>
    <w:rsid w:val="00A62C33"/>
    <w:rsid w:val="00A70047"/>
    <w:rsid w:val="00A74A55"/>
    <w:rsid w:val="00A74B8A"/>
    <w:rsid w:val="00A752B9"/>
    <w:rsid w:val="00A83701"/>
    <w:rsid w:val="00A84A27"/>
    <w:rsid w:val="00A8661C"/>
    <w:rsid w:val="00A907E4"/>
    <w:rsid w:val="00A938D0"/>
    <w:rsid w:val="00A95636"/>
    <w:rsid w:val="00A956B0"/>
    <w:rsid w:val="00A96A03"/>
    <w:rsid w:val="00AA02E4"/>
    <w:rsid w:val="00AA04B3"/>
    <w:rsid w:val="00AA0693"/>
    <w:rsid w:val="00AA5363"/>
    <w:rsid w:val="00AA7E3F"/>
    <w:rsid w:val="00AB5481"/>
    <w:rsid w:val="00AB6A3E"/>
    <w:rsid w:val="00AB73FA"/>
    <w:rsid w:val="00AC02BA"/>
    <w:rsid w:val="00AC4610"/>
    <w:rsid w:val="00AC5F06"/>
    <w:rsid w:val="00AC6608"/>
    <w:rsid w:val="00AD0D97"/>
    <w:rsid w:val="00AD366D"/>
    <w:rsid w:val="00AD38AA"/>
    <w:rsid w:val="00AD3BD6"/>
    <w:rsid w:val="00AD6886"/>
    <w:rsid w:val="00AE1897"/>
    <w:rsid w:val="00AF34AC"/>
    <w:rsid w:val="00AF4C2B"/>
    <w:rsid w:val="00AF5AE7"/>
    <w:rsid w:val="00AF619F"/>
    <w:rsid w:val="00B010BE"/>
    <w:rsid w:val="00B014B2"/>
    <w:rsid w:val="00B03699"/>
    <w:rsid w:val="00B0386A"/>
    <w:rsid w:val="00B068CE"/>
    <w:rsid w:val="00B06E43"/>
    <w:rsid w:val="00B071AB"/>
    <w:rsid w:val="00B116A1"/>
    <w:rsid w:val="00B11705"/>
    <w:rsid w:val="00B12008"/>
    <w:rsid w:val="00B14856"/>
    <w:rsid w:val="00B14C78"/>
    <w:rsid w:val="00B2194B"/>
    <w:rsid w:val="00B249DD"/>
    <w:rsid w:val="00B24FDB"/>
    <w:rsid w:val="00B268AF"/>
    <w:rsid w:val="00B3076E"/>
    <w:rsid w:val="00B307E1"/>
    <w:rsid w:val="00B31048"/>
    <w:rsid w:val="00B32249"/>
    <w:rsid w:val="00B32C62"/>
    <w:rsid w:val="00B42DF1"/>
    <w:rsid w:val="00B45504"/>
    <w:rsid w:val="00B50CDC"/>
    <w:rsid w:val="00B50ED7"/>
    <w:rsid w:val="00B55214"/>
    <w:rsid w:val="00B561E6"/>
    <w:rsid w:val="00B754DE"/>
    <w:rsid w:val="00B81183"/>
    <w:rsid w:val="00B821A5"/>
    <w:rsid w:val="00B84615"/>
    <w:rsid w:val="00B8687C"/>
    <w:rsid w:val="00B87BCF"/>
    <w:rsid w:val="00B91057"/>
    <w:rsid w:val="00B93E3B"/>
    <w:rsid w:val="00B94B78"/>
    <w:rsid w:val="00BA7376"/>
    <w:rsid w:val="00BB0AF2"/>
    <w:rsid w:val="00BB3C3B"/>
    <w:rsid w:val="00BB578C"/>
    <w:rsid w:val="00BB5AE7"/>
    <w:rsid w:val="00BC0F6A"/>
    <w:rsid w:val="00BC1A30"/>
    <w:rsid w:val="00BC3719"/>
    <w:rsid w:val="00BC4774"/>
    <w:rsid w:val="00BC735F"/>
    <w:rsid w:val="00BD1A53"/>
    <w:rsid w:val="00BD1FAA"/>
    <w:rsid w:val="00BD49D4"/>
    <w:rsid w:val="00BE1ACD"/>
    <w:rsid w:val="00BE3718"/>
    <w:rsid w:val="00BF0CFD"/>
    <w:rsid w:val="00BF1D60"/>
    <w:rsid w:val="00BF6925"/>
    <w:rsid w:val="00C05565"/>
    <w:rsid w:val="00C1094D"/>
    <w:rsid w:val="00C15F72"/>
    <w:rsid w:val="00C16C45"/>
    <w:rsid w:val="00C208C0"/>
    <w:rsid w:val="00C22B6A"/>
    <w:rsid w:val="00C2395F"/>
    <w:rsid w:val="00C30307"/>
    <w:rsid w:val="00C305FA"/>
    <w:rsid w:val="00C319D0"/>
    <w:rsid w:val="00C34481"/>
    <w:rsid w:val="00C41A79"/>
    <w:rsid w:val="00C438CF"/>
    <w:rsid w:val="00C46425"/>
    <w:rsid w:val="00C50BD5"/>
    <w:rsid w:val="00C50D90"/>
    <w:rsid w:val="00C527BA"/>
    <w:rsid w:val="00C52D1A"/>
    <w:rsid w:val="00C53B68"/>
    <w:rsid w:val="00C546B2"/>
    <w:rsid w:val="00C55193"/>
    <w:rsid w:val="00C56D20"/>
    <w:rsid w:val="00C60544"/>
    <w:rsid w:val="00C60D01"/>
    <w:rsid w:val="00C61A92"/>
    <w:rsid w:val="00C61AEC"/>
    <w:rsid w:val="00C62008"/>
    <w:rsid w:val="00C662C0"/>
    <w:rsid w:val="00C677C0"/>
    <w:rsid w:val="00C70C2E"/>
    <w:rsid w:val="00C73596"/>
    <w:rsid w:val="00C742EB"/>
    <w:rsid w:val="00C80EFB"/>
    <w:rsid w:val="00C82F46"/>
    <w:rsid w:val="00C85D22"/>
    <w:rsid w:val="00C8624D"/>
    <w:rsid w:val="00C90A01"/>
    <w:rsid w:val="00CA1177"/>
    <w:rsid w:val="00CA1DA0"/>
    <w:rsid w:val="00CA2B8F"/>
    <w:rsid w:val="00CA3D29"/>
    <w:rsid w:val="00CA4015"/>
    <w:rsid w:val="00CA5867"/>
    <w:rsid w:val="00CA79AB"/>
    <w:rsid w:val="00CB009C"/>
    <w:rsid w:val="00CB0A71"/>
    <w:rsid w:val="00CB0B20"/>
    <w:rsid w:val="00CB1AE4"/>
    <w:rsid w:val="00CB21F9"/>
    <w:rsid w:val="00CB3C08"/>
    <w:rsid w:val="00CB4A48"/>
    <w:rsid w:val="00CB4E96"/>
    <w:rsid w:val="00CB4F1F"/>
    <w:rsid w:val="00CB6986"/>
    <w:rsid w:val="00CC2D5D"/>
    <w:rsid w:val="00CC53ED"/>
    <w:rsid w:val="00CD10B3"/>
    <w:rsid w:val="00CD13AC"/>
    <w:rsid w:val="00CE04DB"/>
    <w:rsid w:val="00CE06F0"/>
    <w:rsid w:val="00CE5E21"/>
    <w:rsid w:val="00CE7636"/>
    <w:rsid w:val="00CE7779"/>
    <w:rsid w:val="00CF11F6"/>
    <w:rsid w:val="00CF1C4A"/>
    <w:rsid w:val="00CF23C2"/>
    <w:rsid w:val="00CF31A2"/>
    <w:rsid w:val="00CF4C1B"/>
    <w:rsid w:val="00CF6491"/>
    <w:rsid w:val="00CF7560"/>
    <w:rsid w:val="00D01605"/>
    <w:rsid w:val="00D03F2A"/>
    <w:rsid w:val="00D11735"/>
    <w:rsid w:val="00D12DBE"/>
    <w:rsid w:val="00D141EF"/>
    <w:rsid w:val="00D148B3"/>
    <w:rsid w:val="00D150D6"/>
    <w:rsid w:val="00D1643A"/>
    <w:rsid w:val="00D212D0"/>
    <w:rsid w:val="00D2510F"/>
    <w:rsid w:val="00D257C0"/>
    <w:rsid w:val="00D26ACB"/>
    <w:rsid w:val="00D30CD1"/>
    <w:rsid w:val="00D30DFF"/>
    <w:rsid w:val="00D31B56"/>
    <w:rsid w:val="00D373EC"/>
    <w:rsid w:val="00D42DEC"/>
    <w:rsid w:val="00D43464"/>
    <w:rsid w:val="00D43F21"/>
    <w:rsid w:val="00D45D66"/>
    <w:rsid w:val="00D45F0E"/>
    <w:rsid w:val="00D53AC5"/>
    <w:rsid w:val="00D54C0B"/>
    <w:rsid w:val="00D55FCF"/>
    <w:rsid w:val="00D613C6"/>
    <w:rsid w:val="00D62761"/>
    <w:rsid w:val="00D654D5"/>
    <w:rsid w:val="00D66E6F"/>
    <w:rsid w:val="00D75361"/>
    <w:rsid w:val="00D75844"/>
    <w:rsid w:val="00D76B05"/>
    <w:rsid w:val="00D8595B"/>
    <w:rsid w:val="00D86E1D"/>
    <w:rsid w:val="00D87EEE"/>
    <w:rsid w:val="00D87FD4"/>
    <w:rsid w:val="00D93A9D"/>
    <w:rsid w:val="00D966C9"/>
    <w:rsid w:val="00DB087C"/>
    <w:rsid w:val="00DB3EA8"/>
    <w:rsid w:val="00DB4D15"/>
    <w:rsid w:val="00DB6A30"/>
    <w:rsid w:val="00DB7373"/>
    <w:rsid w:val="00DC405F"/>
    <w:rsid w:val="00DC4719"/>
    <w:rsid w:val="00DC5538"/>
    <w:rsid w:val="00DD0722"/>
    <w:rsid w:val="00DD14C8"/>
    <w:rsid w:val="00DD3A5A"/>
    <w:rsid w:val="00DD4671"/>
    <w:rsid w:val="00DD4A0F"/>
    <w:rsid w:val="00DD50B5"/>
    <w:rsid w:val="00DD66C2"/>
    <w:rsid w:val="00DD7434"/>
    <w:rsid w:val="00DE063D"/>
    <w:rsid w:val="00DE0AEB"/>
    <w:rsid w:val="00DE4C80"/>
    <w:rsid w:val="00DE6406"/>
    <w:rsid w:val="00DE6453"/>
    <w:rsid w:val="00DF0570"/>
    <w:rsid w:val="00DF5A8F"/>
    <w:rsid w:val="00DF6000"/>
    <w:rsid w:val="00E02DB1"/>
    <w:rsid w:val="00E03971"/>
    <w:rsid w:val="00E11120"/>
    <w:rsid w:val="00E1600B"/>
    <w:rsid w:val="00E173EC"/>
    <w:rsid w:val="00E20B8A"/>
    <w:rsid w:val="00E21513"/>
    <w:rsid w:val="00E278ED"/>
    <w:rsid w:val="00E31422"/>
    <w:rsid w:val="00E32C36"/>
    <w:rsid w:val="00E33EF5"/>
    <w:rsid w:val="00E34E1F"/>
    <w:rsid w:val="00E4048D"/>
    <w:rsid w:val="00E43374"/>
    <w:rsid w:val="00E449F2"/>
    <w:rsid w:val="00E50F58"/>
    <w:rsid w:val="00E54642"/>
    <w:rsid w:val="00E55AD9"/>
    <w:rsid w:val="00E56F56"/>
    <w:rsid w:val="00E61085"/>
    <w:rsid w:val="00E6294A"/>
    <w:rsid w:val="00E638F1"/>
    <w:rsid w:val="00E7197C"/>
    <w:rsid w:val="00E71AB3"/>
    <w:rsid w:val="00E8293C"/>
    <w:rsid w:val="00E8525A"/>
    <w:rsid w:val="00E85836"/>
    <w:rsid w:val="00E90DB5"/>
    <w:rsid w:val="00E945B2"/>
    <w:rsid w:val="00E94FD4"/>
    <w:rsid w:val="00E97C6E"/>
    <w:rsid w:val="00EA353C"/>
    <w:rsid w:val="00EA4A54"/>
    <w:rsid w:val="00EA5C90"/>
    <w:rsid w:val="00EB226C"/>
    <w:rsid w:val="00EB27FF"/>
    <w:rsid w:val="00EB3E1F"/>
    <w:rsid w:val="00EB6293"/>
    <w:rsid w:val="00EB62F1"/>
    <w:rsid w:val="00EB685F"/>
    <w:rsid w:val="00EB7132"/>
    <w:rsid w:val="00EC23B8"/>
    <w:rsid w:val="00EC4F8B"/>
    <w:rsid w:val="00EC7201"/>
    <w:rsid w:val="00ED0CB8"/>
    <w:rsid w:val="00ED2629"/>
    <w:rsid w:val="00ED30FA"/>
    <w:rsid w:val="00ED46DE"/>
    <w:rsid w:val="00ED46F7"/>
    <w:rsid w:val="00ED62A7"/>
    <w:rsid w:val="00EE3350"/>
    <w:rsid w:val="00EE5FAE"/>
    <w:rsid w:val="00EE736F"/>
    <w:rsid w:val="00EF1458"/>
    <w:rsid w:val="00F004D1"/>
    <w:rsid w:val="00F04513"/>
    <w:rsid w:val="00F068E5"/>
    <w:rsid w:val="00F11FF2"/>
    <w:rsid w:val="00F12297"/>
    <w:rsid w:val="00F20AA5"/>
    <w:rsid w:val="00F2743B"/>
    <w:rsid w:val="00F30261"/>
    <w:rsid w:val="00F31290"/>
    <w:rsid w:val="00F37E8A"/>
    <w:rsid w:val="00F4272B"/>
    <w:rsid w:val="00F44F3F"/>
    <w:rsid w:val="00F4543F"/>
    <w:rsid w:val="00F45F58"/>
    <w:rsid w:val="00F46CC6"/>
    <w:rsid w:val="00F52827"/>
    <w:rsid w:val="00F538AA"/>
    <w:rsid w:val="00F5626B"/>
    <w:rsid w:val="00F56510"/>
    <w:rsid w:val="00F57C2E"/>
    <w:rsid w:val="00F61AE8"/>
    <w:rsid w:val="00F63933"/>
    <w:rsid w:val="00F645BA"/>
    <w:rsid w:val="00F70C0C"/>
    <w:rsid w:val="00F7244A"/>
    <w:rsid w:val="00F75A2C"/>
    <w:rsid w:val="00F77011"/>
    <w:rsid w:val="00F81D27"/>
    <w:rsid w:val="00F825CB"/>
    <w:rsid w:val="00F8307F"/>
    <w:rsid w:val="00F83DDD"/>
    <w:rsid w:val="00F84BC6"/>
    <w:rsid w:val="00F853F2"/>
    <w:rsid w:val="00F86E06"/>
    <w:rsid w:val="00F879F0"/>
    <w:rsid w:val="00F906BB"/>
    <w:rsid w:val="00F909CE"/>
    <w:rsid w:val="00F937D9"/>
    <w:rsid w:val="00F94375"/>
    <w:rsid w:val="00F970EE"/>
    <w:rsid w:val="00FA446B"/>
    <w:rsid w:val="00FA519A"/>
    <w:rsid w:val="00FA5250"/>
    <w:rsid w:val="00FB05AC"/>
    <w:rsid w:val="00FB0D55"/>
    <w:rsid w:val="00FB5D03"/>
    <w:rsid w:val="00FB6D27"/>
    <w:rsid w:val="00FB739A"/>
    <w:rsid w:val="00FB76F5"/>
    <w:rsid w:val="00FB7881"/>
    <w:rsid w:val="00FC4E5E"/>
    <w:rsid w:val="00FC6AE0"/>
    <w:rsid w:val="00FD483E"/>
    <w:rsid w:val="00FE08B3"/>
    <w:rsid w:val="00FE3CE2"/>
    <w:rsid w:val="00FE64D7"/>
    <w:rsid w:val="00FE659E"/>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E236"/>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9"/>
    <w:qFormat/>
    <w:pPr>
      <w:ind w:left="480" w:hanging="359"/>
      <w:outlineLvl w:val="0"/>
    </w:pPr>
    <w:rPr>
      <w:b/>
      <w:bCs/>
      <w:sz w:val="28"/>
      <w:szCs w:val="28"/>
    </w:rPr>
  </w:style>
  <w:style w:type="paragraph" w:styleId="Ttulo2">
    <w:name w:val="heading 2"/>
    <w:basedOn w:val="Normal"/>
    <w:link w:val="Ttulo2Char"/>
    <w:uiPriority w:val="9"/>
    <w:qFormat/>
    <w:pPr>
      <w:ind w:left="14" w:right="6"/>
      <w:jc w:val="center"/>
      <w:outlineLvl w:val="1"/>
    </w:pPr>
    <w:rPr>
      <w:b/>
      <w:bCs/>
      <w:sz w:val="28"/>
      <w:szCs w:val="28"/>
    </w:rPr>
  </w:style>
  <w:style w:type="paragraph" w:styleId="Ttulo3">
    <w:name w:val="heading 3"/>
    <w:basedOn w:val="Normal"/>
    <w:uiPriority w:val="9"/>
    <w:qFormat/>
    <w:pPr>
      <w:ind w:left="841" w:hanging="360"/>
      <w:outlineLvl w:val="2"/>
    </w:pPr>
    <w:rPr>
      <w:b/>
      <w:bCs/>
      <w:sz w:val="24"/>
      <w:szCs w:val="24"/>
    </w:rPr>
  </w:style>
  <w:style w:type="paragraph" w:styleId="Ttulo4">
    <w:name w:val="heading 4"/>
    <w:basedOn w:val="Normal"/>
    <w:next w:val="Normal"/>
    <w:link w:val="Ttulo4Char"/>
    <w:uiPriority w:val="9"/>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Corpodetexto"/>
    <w:link w:val="Ttulo5Char"/>
    <w:uiPriority w:val="9"/>
    <w:unhideWhenUsed/>
    <w:qFormat/>
    <w:rsid w:val="00303D02"/>
    <w:pPr>
      <w:keepNext/>
      <w:keepLines/>
      <w:widowControl/>
      <w:autoSpaceDE/>
      <w:autoSpaceDN/>
      <w:spacing w:before="200"/>
      <w:outlineLvl w:val="4"/>
    </w:pPr>
    <w:rPr>
      <w:rFonts w:asciiTheme="majorHAnsi" w:eastAsiaTheme="majorEastAsia" w:hAnsiTheme="majorHAnsi" w:cstheme="majorBidi"/>
      <w:iCs/>
      <w:color w:val="4F81BD" w:themeColor="accent1"/>
      <w:sz w:val="24"/>
      <w:szCs w:val="24"/>
      <w:lang w:val="en-US"/>
    </w:rPr>
  </w:style>
  <w:style w:type="paragraph" w:styleId="Ttulo6">
    <w:name w:val="heading 6"/>
    <w:basedOn w:val="Normal"/>
    <w:next w:val="Corpodetexto"/>
    <w:link w:val="Ttulo6Char"/>
    <w:uiPriority w:val="9"/>
    <w:unhideWhenUsed/>
    <w:qFormat/>
    <w:rsid w:val="00303D02"/>
    <w:pPr>
      <w:keepNext/>
      <w:keepLines/>
      <w:widowControl/>
      <w:autoSpaceDE/>
      <w:autoSpaceDN/>
      <w:spacing w:before="200"/>
      <w:outlineLvl w:val="5"/>
    </w:pPr>
    <w:rPr>
      <w:rFonts w:asciiTheme="majorHAnsi" w:eastAsiaTheme="majorEastAsia" w:hAnsiTheme="majorHAnsi" w:cstheme="majorBidi"/>
      <w:color w:val="4F81BD" w:themeColor="accent1"/>
      <w:sz w:val="24"/>
      <w:szCs w:val="24"/>
      <w:lang w:val="en-US"/>
    </w:rPr>
  </w:style>
  <w:style w:type="paragraph" w:styleId="Ttulo7">
    <w:name w:val="heading 7"/>
    <w:basedOn w:val="Normal"/>
    <w:next w:val="Normal"/>
    <w:link w:val="Ttulo7Char"/>
    <w:uiPriority w:val="9"/>
    <w:unhideWhenUsed/>
    <w:qFormat/>
    <w:rsid w:val="00425AE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Corpodetexto"/>
    <w:link w:val="Ttulo8Char"/>
    <w:uiPriority w:val="9"/>
    <w:unhideWhenUsed/>
    <w:qFormat/>
    <w:rsid w:val="00303D02"/>
    <w:pPr>
      <w:keepNext/>
      <w:keepLines/>
      <w:widowControl/>
      <w:autoSpaceDE/>
      <w:autoSpaceDN/>
      <w:spacing w:before="200"/>
      <w:outlineLvl w:val="7"/>
    </w:pPr>
    <w:rPr>
      <w:rFonts w:asciiTheme="majorHAnsi" w:eastAsiaTheme="majorEastAsia" w:hAnsiTheme="majorHAnsi" w:cstheme="majorBidi"/>
      <w:color w:val="4F81BD" w:themeColor="accent1"/>
      <w:sz w:val="24"/>
      <w:szCs w:val="24"/>
      <w:lang w:val="en-US"/>
    </w:rPr>
  </w:style>
  <w:style w:type="paragraph" w:styleId="Ttulo9">
    <w:name w:val="heading 9"/>
    <w:basedOn w:val="Normal"/>
    <w:next w:val="Corpodetexto"/>
    <w:link w:val="Ttulo9Char"/>
    <w:uiPriority w:val="9"/>
    <w:unhideWhenUsed/>
    <w:qFormat/>
    <w:rsid w:val="00303D02"/>
    <w:pPr>
      <w:keepNext/>
      <w:keepLines/>
      <w:widowControl/>
      <w:autoSpaceDE/>
      <w:autoSpaceDN/>
      <w:spacing w:before="200"/>
      <w:outlineLvl w:val="8"/>
    </w:pPr>
    <w:rPr>
      <w:rFonts w:asciiTheme="majorHAnsi" w:eastAsiaTheme="majorEastAsia" w:hAnsiTheme="majorHAnsi" w:cstheme="majorBidi"/>
      <w:color w:val="4F81BD" w:themeColor="accent1"/>
      <w:sz w:val="24"/>
      <w:szCs w:val="24"/>
      <w:lang w:val="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link w:val="LegendaChar"/>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customStyle="1" w:styleId="MenoPendente1">
    <w:name w:val="Menção Pendente1"/>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 w:type="paragraph" w:styleId="Textodenotadefim">
    <w:name w:val="endnote text"/>
    <w:basedOn w:val="Normal"/>
    <w:link w:val="TextodenotadefimChar"/>
    <w:uiPriority w:val="99"/>
    <w:semiHidden/>
    <w:unhideWhenUsed/>
    <w:rsid w:val="00E50F58"/>
    <w:rPr>
      <w:sz w:val="20"/>
      <w:szCs w:val="20"/>
    </w:rPr>
  </w:style>
  <w:style w:type="character" w:customStyle="1" w:styleId="TextodenotadefimChar">
    <w:name w:val="Texto de nota de fim Char"/>
    <w:basedOn w:val="Fontepargpadro"/>
    <w:link w:val="Textodenotadefim"/>
    <w:uiPriority w:val="99"/>
    <w:semiHidden/>
    <w:rsid w:val="00E50F58"/>
    <w:rPr>
      <w:rFonts w:ascii="Times New Roman" w:eastAsia="Times New Roman" w:hAnsi="Times New Roman" w:cs="Times New Roman"/>
      <w:sz w:val="20"/>
      <w:szCs w:val="20"/>
      <w:lang w:val="pt-PT"/>
    </w:rPr>
  </w:style>
  <w:style w:type="character" w:styleId="Refdenotadefim">
    <w:name w:val="endnote reference"/>
    <w:basedOn w:val="Fontepargpadro"/>
    <w:uiPriority w:val="99"/>
    <w:semiHidden/>
    <w:unhideWhenUsed/>
    <w:rsid w:val="00E50F58"/>
    <w:rPr>
      <w:vertAlign w:val="superscript"/>
    </w:rPr>
  </w:style>
  <w:style w:type="character" w:customStyle="1" w:styleId="Ttulo7Char">
    <w:name w:val="Título 7 Char"/>
    <w:basedOn w:val="Fontepargpadro"/>
    <w:link w:val="Ttulo7"/>
    <w:uiPriority w:val="9"/>
    <w:semiHidden/>
    <w:rsid w:val="00425AEF"/>
    <w:rPr>
      <w:rFonts w:asciiTheme="majorHAnsi" w:eastAsiaTheme="majorEastAsia" w:hAnsiTheme="majorHAnsi" w:cstheme="majorBidi"/>
      <w:i/>
      <w:iCs/>
      <w:color w:val="243F60" w:themeColor="accent1" w:themeShade="7F"/>
      <w:lang w:val="pt-PT"/>
    </w:rPr>
  </w:style>
  <w:style w:type="character" w:styleId="HiperlinkVisitado">
    <w:name w:val="FollowedHyperlink"/>
    <w:basedOn w:val="Fontepargpadro"/>
    <w:uiPriority w:val="99"/>
    <w:semiHidden/>
    <w:unhideWhenUsed/>
    <w:rsid w:val="00425AEF"/>
    <w:rPr>
      <w:color w:val="800080" w:themeColor="followedHyperlink"/>
      <w:u w:val="single"/>
    </w:rPr>
  </w:style>
  <w:style w:type="paragraph" w:customStyle="1" w:styleId="font-claude-response-body">
    <w:name w:val="font-claude-response-body"/>
    <w:basedOn w:val="Normal"/>
    <w:rsid w:val="00B8687C"/>
    <w:pPr>
      <w:widowControl/>
      <w:autoSpaceDE/>
      <w:autoSpaceDN/>
      <w:spacing w:before="100" w:beforeAutospacing="1" w:after="100" w:afterAutospacing="1"/>
    </w:pPr>
    <w:rPr>
      <w:sz w:val="24"/>
      <w:szCs w:val="24"/>
      <w:lang w:val="pt-BR" w:eastAsia="pt-BR"/>
    </w:rPr>
  </w:style>
  <w:style w:type="character" w:customStyle="1" w:styleId="katex-mathml">
    <w:name w:val="katex-mathml"/>
    <w:basedOn w:val="Fontepargpadro"/>
    <w:rsid w:val="00B8687C"/>
  </w:style>
  <w:style w:type="character" w:styleId="CdigoHTML">
    <w:name w:val="HTML Code"/>
    <w:basedOn w:val="Fontepargpadro"/>
    <w:uiPriority w:val="99"/>
    <w:semiHidden/>
    <w:unhideWhenUsed/>
    <w:rsid w:val="005C119B"/>
    <w:rPr>
      <w:rFonts w:ascii="Courier New" w:eastAsia="Times New Roman" w:hAnsi="Courier New" w:cs="Courier New"/>
      <w:sz w:val="20"/>
      <w:szCs w:val="20"/>
    </w:rPr>
  </w:style>
  <w:style w:type="paragraph" w:styleId="ndicedeilustraes">
    <w:name w:val="table of figures"/>
    <w:basedOn w:val="Normal"/>
    <w:next w:val="Normal"/>
    <w:uiPriority w:val="99"/>
    <w:unhideWhenUsed/>
    <w:rsid w:val="008E089F"/>
  </w:style>
  <w:style w:type="paragraph" w:customStyle="1" w:styleId="FirstParagraph">
    <w:name w:val="First Paragraph"/>
    <w:basedOn w:val="Corpodetexto"/>
    <w:next w:val="Corpodetexto"/>
    <w:qFormat/>
    <w:rsid w:val="008A75BE"/>
    <w:pPr>
      <w:widowControl/>
      <w:autoSpaceDE/>
      <w:autoSpaceDN/>
      <w:spacing w:before="180" w:after="180"/>
    </w:pPr>
    <w:rPr>
      <w:rFonts w:asciiTheme="minorHAnsi" w:eastAsiaTheme="minorHAnsi" w:hAnsiTheme="minorHAnsi" w:cstheme="minorBidi"/>
      <w:lang w:val="en-US"/>
    </w:rPr>
  </w:style>
  <w:style w:type="character" w:customStyle="1" w:styleId="Ttulo5Char">
    <w:name w:val="Título 5 Char"/>
    <w:basedOn w:val="Fontepargpadro"/>
    <w:link w:val="Ttulo5"/>
    <w:uiPriority w:val="9"/>
    <w:rsid w:val="00303D02"/>
    <w:rPr>
      <w:rFonts w:asciiTheme="majorHAnsi" w:eastAsiaTheme="majorEastAsia" w:hAnsiTheme="majorHAnsi" w:cstheme="majorBidi"/>
      <w:iCs/>
      <w:color w:val="4F81BD" w:themeColor="accent1"/>
      <w:sz w:val="24"/>
      <w:szCs w:val="24"/>
    </w:rPr>
  </w:style>
  <w:style w:type="character" w:customStyle="1" w:styleId="Ttulo6Char">
    <w:name w:val="Título 6 Char"/>
    <w:basedOn w:val="Fontepargpadro"/>
    <w:link w:val="Ttulo6"/>
    <w:uiPriority w:val="9"/>
    <w:rsid w:val="00303D02"/>
    <w:rPr>
      <w:rFonts w:asciiTheme="majorHAnsi" w:eastAsiaTheme="majorEastAsia" w:hAnsiTheme="majorHAnsi" w:cstheme="majorBidi"/>
      <w:color w:val="4F81BD" w:themeColor="accent1"/>
      <w:sz w:val="24"/>
      <w:szCs w:val="24"/>
    </w:rPr>
  </w:style>
  <w:style w:type="character" w:customStyle="1" w:styleId="Ttulo8Char">
    <w:name w:val="Título 8 Char"/>
    <w:basedOn w:val="Fontepargpadro"/>
    <w:link w:val="Ttulo8"/>
    <w:uiPriority w:val="9"/>
    <w:rsid w:val="00303D02"/>
    <w:rPr>
      <w:rFonts w:asciiTheme="majorHAnsi" w:eastAsiaTheme="majorEastAsia" w:hAnsiTheme="majorHAnsi" w:cstheme="majorBidi"/>
      <w:color w:val="4F81BD" w:themeColor="accent1"/>
      <w:sz w:val="24"/>
      <w:szCs w:val="24"/>
    </w:rPr>
  </w:style>
  <w:style w:type="character" w:customStyle="1" w:styleId="Ttulo9Char">
    <w:name w:val="Título 9 Char"/>
    <w:basedOn w:val="Fontepargpadro"/>
    <w:link w:val="Ttulo9"/>
    <w:uiPriority w:val="9"/>
    <w:rsid w:val="00303D02"/>
    <w:rPr>
      <w:rFonts w:asciiTheme="majorHAnsi" w:eastAsiaTheme="majorEastAsia" w:hAnsiTheme="majorHAnsi" w:cstheme="majorBidi"/>
      <w:color w:val="4F81BD" w:themeColor="accent1"/>
      <w:sz w:val="24"/>
      <w:szCs w:val="24"/>
    </w:rPr>
  </w:style>
  <w:style w:type="paragraph" w:customStyle="1" w:styleId="Compact">
    <w:name w:val="Compact"/>
    <w:basedOn w:val="Corpodetexto"/>
    <w:qFormat/>
    <w:rsid w:val="00303D02"/>
    <w:pPr>
      <w:widowControl/>
      <w:autoSpaceDE/>
      <w:autoSpaceDN/>
      <w:spacing w:before="36" w:after="36"/>
    </w:pPr>
    <w:rPr>
      <w:rFonts w:asciiTheme="minorHAnsi" w:eastAsiaTheme="minorHAnsi" w:hAnsiTheme="minorHAnsi" w:cstheme="minorBidi"/>
      <w:lang w:val="en-US"/>
    </w:rPr>
  </w:style>
  <w:style w:type="paragraph" w:styleId="Ttulo">
    <w:name w:val="Title"/>
    <w:basedOn w:val="Normal"/>
    <w:next w:val="Corpodetexto"/>
    <w:link w:val="TtuloChar"/>
    <w:qFormat/>
    <w:rsid w:val="00303D02"/>
    <w:pPr>
      <w:keepNext/>
      <w:keepLines/>
      <w:widowControl/>
      <w:autoSpaceDE/>
      <w:autoSpaceDN/>
      <w:spacing w:before="480" w:after="240"/>
      <w:jc w:val="center"/>
    </w:pPr>
    <w:rPr>
      <w:rFonts w:asciiTheme="majorHAnsi" w:eastAsiaTheme="majorEastAsia" w:hAnsiTheme="majorHAnsi" w:cstheme="majorBidi"/>
      <w:b/>
      <w:bCs/>
      <w:color w:val="345A8A" w:themeColor="accent1" w:themeShade="B5"/>
      <w:sz w:val="36"/>
      <w:szCs w:val="36"/>
      <w:lang w:val="en-US"/>
    </w:rPr>
  </w:style>
  <w:style w:type="character" w:customStyle="1" w:styleId="TtuloChar">
    <w:name w:val="Título Char"/>
    <w:basedOn w:val="Fontepargpadro"/>
    <w:link w:val="Ttulo"/>
    <w:rsid w:val="00303D02"/>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link w:val="SubttuloChar"/>
    <w:qFormat/>
    <w:rsid w:val="00303D02"/>
    <w:pPr>
      <w:spacing w:before="240"/>
    </w:pPr>
    <w:rPr>
      <w:sz w:val="30"/>
      <w:szCs w:val="30"/>
    </w:rPr>
  </w:style>
  <w:style w:type="character" w:customStyle="1" w:styleId="SubttuloChar">
    <w:name w:val="Subtítulo Char"/>
    <w:basedOn w:val="Fontepargpadro"/>
    <w:link w:val="Subttulo"/>
    <w:rsid w:val="00303D02"/>
    <w:rPr>
      <w:rFonts w:asciiTheme="majorHAnsi" w:eastAsiaTheme="majorEastAsia" w:hAnsiTheme="majorHAnsi" w:cstheme="majorBidi"/>
      <w:b/>
      <w:bCs/>
      <w:color w:val="345A8A" w:themeColor="accent1" w:themeShade="B5"/>
      <w:sz w:val="30"/>
      <w:szCs w:val="30"/>
    </w:rPr>
  </w:style>
  <w:style w:type="paragraph" w:customStyle="1" w:styleId="Author">
    <w:name w:val="Author"/>
    <w:next w:val="Corpodetexto"/>
    <w:qFormat/>
    <w:rsid w:val="00303D02"/>
    <w:pPr>
      <w:keepNext/>
      <w:keepLines/>
      <w:widowControl/>
      <w:autoSpaceDE/>
      <w:autoSpaceDN/>
      <w:spacing w:after="200"/>
      <w:jc w:val="center"/>
    </w:pPr>
    <w:rPr>
      <w:sz w:val="24"/>
      <w:szCs w:val="24"/>
    </w:rPr>
  </w:style>
  <w:style w:type="paragraph" w:styleId="Data">
    <w:name w:val="Date"/>
    <w:next w:val="Corpodetexto"/>
    <w:link w:val="DataChar"/>
    <w:qFormat/>
    <w:rsid w:val="00303D02"/>
    <w:pPr>
      <w:keepNext/>
      <w:keepLines/>
      <w:widowControl/>
      <w:autoSpaceDE/>
      <w:autoSpaceDN/>
      <w:spacing w:after="200"/>
      <w:jc w:val="center"/>
    </w:pPr>
    <w:rPr>
      <w:sz w:val="24"/>
      <w:szCs w:val="24"/>
    </w:rPr>
  </w:style>
  <w:style w:type="character" w:customStyle="1" w:styleId="DataChar">
    <w:name w:val="Data Char"/>
    <w:basedOn w:val="Fontepargpadro"/>
    <w:link w:val="Data"/>
    <w:rsid w:val="00303D02"/>
    <w:rPr>
      <w:sz w:val="24"/>
      <w:szCs w:val="24"/>
    </w:rPr>
  </w:style>
  <w:style w:type="paragraph" w:customStyle="1" w:styleId="AbstractTitle">
    <w:name w:val="Abstract Title"/>
    <w:basedOn w:val="Normal"/>
    <w:next w:val="Abstract"/>
    <w:qFormat/>
    <w:rsid w:val="00303D02"/>
    <w:pPr>
      <w:keepNext/>
      <w:keepLines/>
      <w:widowControl/>
      <w:autoSpaceDE/>
      <w:autoSpaceDN/>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Corpodetexto"/>
    <w:qFormat/>
    <w:rsid w:val="00303D02"/>
    <w:pPr>
      <w:keepNext/>
      <w:keepLines/>
      <w:widowControl/>
      <w:autoSpaceDE/>
      <w:autoSpaceDN/>
      <w:spacing w:before="100" w:after="300"/>
    </w:pPr>
    <w:rPr>
      <w:rFonts w:asciiTheme="minorHAnsi" w:eastAsiaTheme="minorHAnsi" w:hAnsiTheme="minorHAnsi" w:cstheme="minorBidi"/>
      <w:sz w:val="20"/>
      <w:szCs w:val="20"/>
      <w:lang w:val="en-US"/>
    </w:rPr>
  </w:style>
  <w:style w:type="paragraph" w:styleId="Bibliografia">
    <w:name w:val="Bibliography"/>
    <w:basedOn w:val="Normal"/>
    <w:qFormat/>
    <w:rsid w:val="00303D02"/>
    <w:pPr>
      <w:widowControl/>
      <w:autoSpaceDE/>
      <w:autoSpaceDN/>
      <w:spacing w:after="200"/>
    </w:pPr>
    <w:rPr>
      <w:rFonts w:asciiTheme="minorHAnsi" w:eastAsiaTheme="minorHAnsi" w:hAnsiTheme="minorHAnsi" w:cstheme="minorBidi"/>
      <w:sz w:val="24"/>
      <w:szCs w:val="24"/>
      <w:lang w:val="en-US"/>
    </w:rPr>
  </w:style>
  <w:style w:type="paragraph" w:styleId="Textoembloco">
    <w:name w:val="Block Text"/>
    <w:basedOn w:val="Corpodetexto"/>
    <w:next w:val="Corpodetexto"/>
    <w:uiPriority w:val="9"/>
    <w:unhideWhenUsed/>
    <w:qFormat/>
    <w:rsid w:val="00303D02"/>
    <w:pPr>
      <w:widowControl/>
      <w:autoSpaceDE/>
      <w:autoSpaceDN/>
      <w:spacing w:before="100" w:after="100"/>
      <w:ind w:left="480" w:right="480"/>
    </w:pPr>
    <w:rPr>
      <w:rFonts w:asciiTheme="minorHAnsi" w:eastAsiaTheme="minorHAnsi" w:hAnsiTheme="minorHAnsi" w:cstheme="minorBidi"/>
      <w:lang w:val="en-US"/>
    </w:rPr>
  </w:style>
  <w:style w:type="paragraph" w:styleId="Textodenotaderodap">
    <w:name w:val="footnote text"/>
    <w:basedOn w:val="Normal"/>
    <w:link w:val="TextodenotaderodapChar"/>
    <w:uiPriority w:val="9"/>
    <w:unhideWhenUsed/>
    <w:qFormat/>
    <w:rsid w:val="00303D02"/>
    <w:pPr>
      <w:widowControl/>
      <w:autoSpaceDE/>
      <w:autoSpaceDN/>
      <w:spacing w:after="200"/>
    </w:pPr>
    <w:rPr>
      <w:rFonts w:asciiTheme="minorHAnsi" w:eastAsiaTheme="minorHAnsi" w:hAnsiTheme="minorHAnsi" w:cstheme="minorBidi"/>
      <w:sz w:val="24"/>
      <w:szCs w:val="24"/>
      <w:lang w:val="en-US"/>
    </w:rPr>
  </w:style>
  <w:style w:type="character" w:customStyle="1" w:styleId="TextodenotaderodapChar">
    <w:name w:val="Texto de nota de rodapé Char"/>
    <w:basedOn w:val="Fontepargpadro"/>
    <w:link w:val="Textodenotaderodap"/>
    <w:uiPriority w:val="9"/>
    <w:rsid w:val="00303D02"/>
    <w:rPr>
      <w:sz w:val="24"/>
      <w:szCs w:val="24"/>
    </w:rPr>
  </w:style>
  <w:style w:type="table" w:customStyle="1" w:styleId="Table">
    <w:name w:val="Table"/>
    <w:semiHidden/>
    <w:unhideWhenUsed/>
    <w:qFormat/>
    <w:rsid w:val="00303D02"/>
    <w:pPr>
      <w:widowControl/>
      <w:autoSpaceDE/>
      <w:autoSpaceDN/>
      <w:spacing w:after="200"/>
    </w:pPr>
    <w:rPr>
      <w:sz w:val="24"/>
      <w:szCs w:val="24"/>
      <w:lang w:val="pt-BR" w:eastAsia="pt-B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03D02"/>
    <w:pPr>
      <w:keepNext/>
      <w:keepLines/>
      <w:widowControl/>
      <w:autoSpaceDE/>
      <w:autoSpaceDN/>
    </w:pPr>
    <w:rPr>
      <w:rFonts w:asciiTheme="minorHAnsi" w:eastAsiaTheme="minorHAnsi" w:hAnsiTheme="minorHAnsi" w:cstheme="minorBidi"/>
      <w:b/>
      <w:sz w:val="24"/>
      <w:szCs w:val="24"/>
      <w:lang w:val="en-US"/>
    </w:rPr>
  </w:style>
  <w:style w:type="paragraph" w:customStyle="1" w:styleId="Definition">
    <w:name w:val="Definition"/>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TableCaption">
    <w:name w:val="Table Caption"/>
    <w:basedOn w:val="Legenda"/>
    <w:rsid w:val="00303D02"/>
    <w:pPr>
      <w:keepNext/>
      <w:spacing w:after="120"/>
    </w:pPr>
    <w:rPr>
      <w:iCs w:val="0"/>
      <w:color w:val="auto"/>
      <w:sz w:val="24"/>
      <w:szCs w:val="24"/>
      <w:lang w:val="en-US"/>
    </w:rPr>
  </w:style>
  <w:style w:type="paragraph" w:customStyle="1" w:styleId="ImageCaption">
    <w:name w:val="Image Caption"/>
    <w:basedOn w:val="Legenda"/>
    <w:rsid w:val="00303D02"/>
    <w:pPr>
      <w:spacing w:after="120"/>
    </w:pPr>
    <w:rPr>
      <w:iCs w:val="0"/>
      <w:color w:val="auto"/>
      <w:sz w:val="24"/>
      <w:szCs w:val="24"/>
      <w:lang w:val="en-US"/>
    </w:rPr>
  </w:style>
  <w:style w:type="paragraph" w:customStyle="1" w:styleId="Figure">
    <w:name w:val="Figure"/>
    <w:basedOn w:val="Normal"/>
    <w:rsid w:val="00303D02"/>
    <w:pPr>
      <w:widowControl/>
      <w:autoSpaceDE/>
      <w:autoSpaceDN/>
      <w:spacing w:after="200"/>
    </w:pPr>
    <w:rPr>
      <w:rFonts w:asciiTheme="minorHAnsi" w:eastAsiaTheme="minorHAnsi" w:hAnsiTheme="minorHAnsi" w:cstheme="minorBidi"/>
      <w:sz w:val="24"/>
      <w:szCs w:val="24"/>
      <w:lang w:val="en-US"/>
    </w:rPr>
  </w:style>
  <w:style w:type="paragraph" w:customStyle="1" w:styleId="CaptionedFigure">
    <w:name w:val="Captioned Figure"/>
    <w:basedOn w:val="Figure"/>
    <w:rsid w:val="00303D02"/>
    <w:pPr>
      <w:keepNext/>
    </w:pPr>
  </w:style>
  <w:style w:type="character" w:customStyle="1" w:styleId="LegendaChar">
    <w:name w:val="Legenda Char"/>
    <w:basedOn w:val="Fontepargpadro"/>
    <w:link w:val="Legenda"/>
    <w:rsid w:val="00303D02"/>
    <w:rPr>
      <w:i/>
      <w:iCs/>
      <w:color w:val="1F497D" w:themeColor="text2"/>
      <w:sz w:val="18"/>
      <w:szCs w:val="18"/>
      <w:lang w:val="pt-BR"/>
    </w:rPr>
  </w:style>
  <w:style w:type="character" w:customStyle="1" w:styleId="VerbatimChar">
    <w:name w:val="Verbatim Char"/>
    <w:basedOn w:val="LegendaChar"/>
    <w:link w:val="SourceCode"/>
    <w:rsid w:val="00303D02"/>
    <w:rPr>
      <w:rFonts w:ascii="Consolas" w:hAnsi="Consolas"/>
      <w:i/>
      <w:iCs/>
      <w:color w:val="1F497D" w:themeColor="text2"/>
      <w:sz w:val="18"/>
      <w:szCs w:val="18"/>
      <w:lang w:val="pt-BR"/>
    </w:rPr>
  </w:style>
  <w:style w:type="character" w:customStyle="1" w:styleId="SectionNumber">
    <w:name w:val="Section Number"/>
    <w:basedOn w:val="LegendaChar"/>
    <w:rsid w:val="00303D02"/>
    <w:rPr>
      <w:i/>
      <w:iCs/>
      <w:color w:val="1F497D" w:themeColor="text2"/>
      <w:sz w:val="18"/>
      <w:szCs w:val="18"/>
      <w:lang w:val="pt-BR"/>
    </w:rPr>
  </w:style>
  <w:style w:type="character" w:styleId="Refdenotaderodap">
    <w:name w:val="footnote reference"/>
    <w:basedOn w:val="LegendaChar"/>
    <w:rsid w:val="00303D02"/>
    <w:rPr>
      <w:i/>
      <w:iCs/>
      <w:color w:val="1F497D" w:themeColor="text2"/>
      <w:sz w:val="18"/>
      <w:szCs w:val="18"/>
      <w:vertAlign w:val="superscript"/>
      <w:lang w:val="pt-BR"/>
    </w:rPr>
  </w:style>
  <w:style w:type="paragraph" w:customStyle="1" w:styleId="SourceCode">
    <w:name w:val="Source Code"/>
    <w:basedOn w:val="Normal"/>
    <w:link w:val="VerbatimChar"/>
    <w:rsid w:val="00303D02"/>
    <w:pPr>
      <w:widowControl/>
      <w:wordWrap w:val="0"/>
      <w:autoSpaceDE/>
      <w:autoSpaceDN/>
      <w:spacing w:after="200"/>
    </w:pPr>
    <w:rPr>
      <w:rFonts w:ascii="Consolas" w:eastAsiaTheme="minorHAnsi" w:hAnsi="Consolas" w:cstheme="minorBidi"/>
      <w:i/>
      <w:iCs/>
      <w:color w:val="1F497D" w:themeColor="text2"/>
      <w:szCs w:val="18"/>
      <w:lang w:val="pt-BR"/>
    </w:rPr>
  </w:style>
  <w:style w:type="character" w:customStyle="1" w:styleId="KeywordTok">
    <w:name w:val="KeywordTok"/>
    <w:basedOn w:val="VerbatimChar"/>
    <w:rsid w:val="00303D02"/>
    <w:rPr>
      <w:rFonts w:ascii="Consolas" w:hAnsi="Consolas"/>
      <w:b/>
      <w:i/>
      <w:iCs/>
      <w:color w:val="007020"/>
      <w:sz w:val="18"/>
      <w:szCs w:val="18"/>
      <w:lang w:val="pt-BR"/>
    </w:rPr>
  </w:style>
  <w:style w:type="character" w:customStyle="1" w:styleId="DataTypeTok">
    <w:name w:val="DataTypeTok"/>
    <w:basedOn w:val="VerbatimChar"/>
    <w:rsid w:val="00303D02"/>
    <w:rPr>
      <w:rFonts w:ascii="Consolas" w:hAnsi="Consolas"/>
      <w:i/>
      <w:iCs/>
      <w:color w:val="902000"/>
      <w:sz w:val="18"/>
      <w:szCs w:val="18"/>
      <w:lang w:val="pt-BR"/>
    </w:rPr>
  </w:style>
  <w:style w:type="character" w:customStyle="1" w:styleId="DecValTok">
    <w:name w:val="DecValTok"/>
    <w:basedOn w:val="VerbatimChar"/>
    <w:rsid w:val="00303D02"/>
    <w:rPr>
      <w:rFonts w:ascii="Consolas" w:hAnsi="Consolas"/>
      <w:i/>
      <w:iCs/>
      <w:color w:val="40A070"/>
      <w:sz w:val="18"/>
      <w:szCs w:val="18"/>
      <w:lang w:val="pt-BR"/>
    </w:rPr>
  </w:style>
  <w:style w:type="character" w:customStyle="1" w:styleId="BaseNTok">
    <w:name w:val="BaseNTok"/>
    <w:basedOn w:val="VerbatimChar"/>
    <w:rsid w:val="00303D02"/>
    <w:rPr>
      <w:rFonts w:ascii="Consolas" w:hAnsi="Consolas"/>
      <w:i/>
      <w:iCs/>
      <w:color w:val="40A070"/>
      <w:sz w:val="18"/>
      <w:szCs w:val="18"/>
      <w:lang w:val="pt-BR"/>
    </w:rPr>
  </w:style>
  <w:style w:type="character" w:customStyle="1" w:styleId="FloatTok">
    <w:name w:val="FloatTok"/>
    <w:basedOn w:val="VerbatimChar"/>
    <w:rsid w:val="00303D02"/>
    <w:rPr>
      <w:rFonts w:ascii="Consolas" w:hAnsi="Consolas"/>
      <w:i/>
      <w:iCs/>
      <w:color w:val="40A070"/>
      <w:sz w:val="18"/>
      <w:szCs w:val="18"/>
      <w:lang w:val="pt-BR"/>
    </w:rPr>
  </w:style>
  <w:style w:type="character" w:customStyle="1" w:styleId="ConstantTok">
    <w:name w:val="ConstantTok"/>
    <w:basedOn w:val="VerbatimChar"/>
    <w:rsid w:val="00303D02"/>
    <w:rPr>
      <w:rFonts w:ascii="Consolas" w:hAnsi="Consolas"/>
      <w:i/>
      <w:iCs/>
      <w:color w:val="880000"/>
      <w:sz w:val="18"/>
      <w:szCs w:val="18"/>
      <w:lang w:val="pt-BR"/>
    </w:rPr>
  </w:style>
  <w:style w:type="character" w:customStyle="1" w:styleId="CharTok">
    <w:name w:val="CharTok"/>
    <w:basedOn w:val="VerbatimChar"/>
    <w:rsid w:val="00303D02"/>
    <w:rPr>
      <w:rFonts w:ascii="Consolas" w:hAnsi="Consolas"/>
      <w:i/>
      <w:iCs/>
      <w:color w:val="4070A0"/>
      <w:sz w:val="18"/>
      <w:szCs w:val="18"/>
      <w:lang w:val="pt-BR"/>
    </w:rPr>
  </w:style>
  <w:style w:type="character" w:customStyle="1" w:styleId="SpecialCharTok">
    <w:name w:val="SpecialCharTok"/>
    <w:basedOn w:val="VerbatimChar"/>
    <w:rsid w:val="00303D02"/>
    <w:rPr>
      <w:rFonts w:ascii="Consolas" w:hAnsi="Consolas"/>
      <w:i/>
      <w:iCs/>
      <w:color w:val="4070A0"/>
      <w:sz w:val="18"/>
      <w:szCs w:val="18"/>
      <w:lang w:val="pt-BR"/>
    </w:rPr>
  </w:style>
  <w:style w:type="character" w:customStyle="1" w:styleId="StringTok">
    <w:name w:val="StringTok"/>
    <w:basedOn w:val="VerbatimChar"/>
    <w:rsid w:val="00303D02"/>
    <w:rPr>
      <w:rFonts w:ascii="Consolas" w:hAnsi="Consolas"/>
      <w:i/>
      <w:iCs/>
      <w:color w:val="4070A0"/>
      <w:sz w:val="18"/>
      <w:szCs w:val="18"/>
      <w:lang w:val="pt-BR"/>
    </w:rPr>
  </w:style>
  <w:style w:type="character" w:customStyle="1" w:styleId="VerbatimStringTok">
    <w:name w:val="VerbatimStringTok"/>
    <w:basedOn w:val="VerbatimChar"/>
    <w:rsid w:val="00303D02"/>
    <w:rPr>
      <w:rFonts w:ascii="Consolas" w:hAnsi="Consolas"/>
      <w:i/>
      <w:iCs/>
      <w:color w:val="4070A0"/>
      <w:sz w:val="18"/>
      <w:szCs w:val="18"/>
      <w:lang w:val="pt-BR"/>
    </w:rPr>
  </w:style>
  <w:style w:type="character" w:customStyle="1" w:styleId="SpecialStringTok">
    <w:name w:val="SpecialStringTok"/>
    <w:basedOn w:val="VerbatimChar"/>
    <w:rsid w:val="00303D02"/>
    <w:rPr>
      <w:rFonts w:ascii="Consolas" w:hAnsi="Consolas"/>
      <w:i/>
      <w:iCs/>
      <w:color w:val="BB6688"/>
      <w:sz w:val="18"/>
      <w:szCs w:val="18"/>
      <w:lang w:val="pt-BR"/>
    </w:rPr>
  </w:style>
  <w:style w:type="character" w:customStyle="1" w:styleId="ImportTok">
    <w:name w:val="ImportTok"/>
    <w:basedOn w:val="VerbatimChar"/>
    <w:rsid w:val="00303D02"/>
    <w:rPr>
      <w:rFonts w:ascii="Consolas" w:hAnsi="Consolas"/>
      <w:b/>
      <w:i/>
      <w:iCs/>
      <w:color w:val="008000"/>
      <w:sz w:val="18"/>
      <w:szCs w:val="18"/>
      <w:lang w:val="pt-BR"/>
    </w:rPr>
  </w:style>
  <w:style w:type="character" w:customStyle="1" w:styleId="CommentTok">
    <w:name w:val="CommentTok"/>
    <w:basedOn w:val="VerbatimChar"/>
    <w:rsid w:val="00303D02"/>
    <w:rPr>
      <w:rFonts w:ascii="Consolas" w:hAnsi="Consolas"/>
      <w:i w:val="0"/>
      <w:iCs/>
      <w:color w:val="60A0B0"/>
      <w:sz w:val="18"/>
      <w:szCs w:val="18"/>
      <w:lang w:val="pt-BR"/>
    </w:rPr>
  </w:style>
  <w:style w:type="character" w:customStyle="1" w:styleId="DocumentationTok">
    <w:name w:val="DocumentationTok"/>
    <w:basedOn w:val="VerbatimChar"/>
    <w:rsid w:val="00303D02"/>
    <w:rPr>
      <w:rFonts w:ascii="Consolas" w:hAnsi="Consolas"/>
      <w:i w:val="0"/>
      <w:iCs/>
      <w:color w:val="BA2121"/>
      <w:sz w:val="18"/>
      <w:szCs w:val="18"/>
      <w:lang w:val="pt-BR"/>
    </w:rPr>
  </w:style>
  <w:style w:type="character" w:customStyle="1" w:styleId="AnnotationTok">
    <w:name w:val="AnnotationTok"/>
    <w:basedOn w:val="VerbatimChar"/>
    <w:rsid w:val="00303D02"/>
    <w:rPr>
      <w:rFonts w:ascii="Consolas" w:hAnsi="Consolas"/>
      <w:b/>
      <w:i w:val="0"/>
      <w:iCs/>
      <w:color w:val="60A0B0"/>
      <w:sz w:val="18"/>
      <w:szCs w:val="18"/>
      <w:lang w:val="pt-BR"/>
    </w:rPr>
  </w:style>
  <w:style w:type="character" w:customStyle="1" w:styleId="CommentVarTok">
    <w:name w:val="CommentVarTok"/>
    <w:basedOn w:val="VerbatimChar"/>
    <w:rsid w:val="00303D02"/>
    <w:rPr>
      <w:rFonts w:ascii="Consolas" w:hAnsi="Consolas"/>
      <w:b/>
      <w:i w:val="0"/>
      <w:iCs/>
      <w:color w:val="60A0B0"/>
      <w:sz w:val="18"/>
      <w:szCs w:val="18"/>
      <w:lang w:val="pt-BR"/>
    </w:rPr>
  </w:style>
  <w:style w:type="character" w:customStyle="1" w:styleId="OtherTok">
    <w:name w:val="OtherTok"/>
    <w:basedOn w:val="VerbatimChar"/>
    <w:rsid w:val="00303D02"/>
    <w:rPr>
      <w:rFonts w:ascii="Consolas" w:hAnsi="Consolas"/>
      <w:i/>
      <w:iCs/>
      <w:color w:val="007020"/>
      <w:sz w:val="18"/>
      <w:szCs w:val="18"/>
      <w:lang w:val="pt-BR"/>
    </w:rPr>
  </w:style>
  <w:style w:type="character" w:customStyle="1" w:styleId="FunctionTok">
    <w:name w:val="FunctionTok"/>
    <w:basedOn w:val="VerbatimChar"/>
    <w:rsid w:val="00303D02"/>
    <w:rPr>
      <w:rFonts w:ascii="Consolas" w:hAnsi="Consolas"/>
      <w:i/>
      <w:iCs/>
      <w:color w:val="06287E"/>
      <w:sz w:val="18"/>
      <w:szCs w:val="18"/>
      <w:lang w:val="pt-BR"/>
    </w:rPr>
  </w:style>
  <w:style w:type="character" w:customStyle="1" w:styleId="VariableTok">
    <w:name w:val="VariableTok"/>
    <w:basedOn w:val="VerbatimChar"/>
    <w:rsid w:val="00303D02"/>
    <w:rPr>
      <w:rFonts w:ascii="Consolas" w:hAnsi="Consolas"/>
      <w:i/>
      <w:iCs/>
      <w:color w:val="19177C"/>
      <w:sz w:val="18"/>
      <w:szCs w:val="18"/>
      <w:lang w:val="pt-BR"/>
    </w:rPr>
  </w:style>
  <w:style w:type="character" w:customStyle="1" w:styleId="ControlFlowTok">
    <w:name w:val="ControlFlowTok"/>
    <w:basedOn w:val="VerbatimChar"/>
    <w:rsid w:val="00303D02"/>
    <w:rPr>
      <w:rFonts w:ascii="Consolas" w:hAnsi="Consolas"/>
      <w:b/>
      <w:i/>
      <w:iCs/>
      <w:color w:val="007020"/>
      <w:sz w:val="18"/>
      <w:szCs w:val="18"/>
      <w:lang w:val="pt-BR"/>
    </w:rPr>
  </w:style>
  <w:style w:type="character" w:customStyle="1" w:styleId="OperatorTok">
    <w:name w:val="OperatorTok"/>
    <w:basedOn w:val="VerbatimChar"/>
    <w:rsid w:val="00303D02"/>
    <w:rPr>
      <w:rFonts w:ascii="Consolas" w:hAnsi="Consolas"/>
      <w:i/>
      <w:iCs/>
      <w:color w:val="666666"/>
      <w:sz w:val="18"/>
      <w:szCs w:val="18"/>
      <w:lang w:val="pt-BR"/>
    </w:rPr>
  </w:style>
  <w:style w:type="character" w:customStyle="1" w:styleId="BuiltInTok">
    <w:name w:val="BuiltInTok"/>
    <w:basedOn w:val="VerbatimChar"/>
    <w:rsid w:val="00303D02"/>
    <w:rPr>
      <w:rFonts w:ascii="Consolas" w:hAnsi="Consolas"/>
      <w:i/>
      <w:iCs/>
      <w:color w:val="008000"/>
      <w:sz w:val="18"/>
      <w:szCs w:val="18"/>
      <w:lang w:val="pt-BR"/>
    </w:rPr>
  </w:style>
  <w:style w:type="character" w:customStyle="1" w:styleId="ExtensionTok">
    <w:name w:val="ExtensionTok"/>
    <w:basedOn w:val="VerbatimChar"/>
    <w:rsid w:val="00303D02"/>
    <w:rPr>
      <w:rFonts w:ascii="Consolas" w:hAnsi="Consolas"/>
      <w:i/>
      <w:iCs/>
      <w:color w:val="1F497D" w:themeColor="text2"/>
      <w:sz w:val="18"/>
      <w:szCs w:val="18"/>
      <w:lang w:val="pt-BR"/>
    </w:rPr>
  </w:style>
  <w:style w:type="character" w:customStyle="1" w:styleId="PreprocessorTok">
    <w:name w:val="PreprocessorTok"/>
    <w:basedOn w:val="VerbatimChar"/>
    <w:rsid w:val="00303D02"/>
    <w:rPr>
      <w:rFonts w:ascii="Consolas" w:hAnsi="Consolas"/>
      <w:i/>
      <w:iCs/>
      <w:color w:val="BC7A00"/>
      <w:sz w:val="18"/>
      <w:szCs w:val="18"/>
      <w:lang w:val="pt-BR"/>
    </w:rPr>
  </w:style>
  <w:style w:type="character" w:customStyle="1" w:styleId="AttributeTok">
    <w:name w:val="AttributeTok"/>
    <w:basedOn w:val="VerbatimChar"/>
    <w:rsid w:val="00303D02"/>
    <w:rPr>
      <w:rFonts w:ascii="Consolas" w:hAnsi="Consolas"/>
      <w:i/>
      <w:iCs/>
      <w:color w:val="7D9029"/>
      <w:sz w:val="18"/>
      <w:szCs w:val="18"/>
      <w:lang w:val="pt-BR"/>
    </w:rPr>
  </w:style>
  <w:style w:type="character" w:customStyle="1" w:styleId="RegionMarkerTok">
    <w:name w:val="RegionMarkerTok"/>
    <w:basedOn w:val="VerbatimChar"/>
    <w:rsid w:val="00303D02"/>
    <w:rPr>
      <w:rFonts w:ascii="Consolas" w:hAnsi="Consolas"/>
      <w:i/>
      <w:iCs/>
      <w:color w:val="1F497D" w:themeColor="text2"/>
      <w:sz w:val="18"/>
      <w:szCs w:val="18"/>
      <w:lang w:val="pt-BR"/>
    </w:rPr>
  </w:style>
  <w:style w:type="character" w:customStyle="1" w:styleId="InformationTok">
    <w:name w:val="InformationTok"/>
    <w:basedOn w:val="VerbatimChar"/>
    <w:rsid w:val="00303D02"/>
    <w:rPr>
      <w:rFonts w:ascii="Consolas" w:hAnsi="Consolas"/>
      <w:b/>
      <w:i w:val="0"/>
      <w:iCs/>
      <w:color w:val="60A0B0"/>
      <w:sz w:val="18"/>
      <w:szCs w:val="18"/>
      <w:lang w:val="pt-BR"/>
    </w:rPr>
  </w:style>
  <w:style w:type="character" w:customStyle="1" w:styleId="WarningTok">
    <w:name w:val="WarningTok"/>
    <w:basedOn w:val="VerbatimChar"/>
    <w:rsid w:val="00303D02"/>
    <w:rPr>
      <w:rFonts w:ascii="Consolas" w:hAnsi="Consolas"/>
      <w:b/>
      <w:i w:val="0"/>
      <w:iCs/>
      <w:color w:val="60A0B0"/>
      <w:sz w:val="18"/>
      <w:szCs w:val="18"/>
      <w:lang w:val="pt-BR"/>
    </w:rPr>
  </w:style>
  <w:style w:type="character" w:customStyle="1" w:styleId="AlertTok">
    <w:name w:val="AlertTok"/>
    <w:basedOn w:val="VerbatimChar"/>
    <w:rsid w:val="00303D02"/>
    <w:rPr>
      <w:rFonts w:ascii="Consolas" w:hAnsi="Consolas"/>
      <w:b/>
      <w:i/>
      <w:iCs/>
      <w:color w:val="FF0000"/>
      <w:sz w:val="18"/>
      <w:szCs w:val="18"/>
      <w:lang w:val="pt-BR"/>
    </w:rPr>
  </w:style>
  <w:style w:type="character" w:customStyle="1" w:styleId="ErrorTok">
    <w:name w:val="ErrorTok"/>
    <w:basedOn w:val="VerbatimChar"/>
    <w:rsid w:val="00303D02"/>
    <w:rPr>
      <w:rFonts w:ascii="Consolas" w:hAnsi="Consolas"/>
      <w:b/>
      <w:i/>
      <w:iCs/>
      <w:color w:val="FF0000"/>
      <w:sz w:val="18"/>
      <w:szCs w:val="18"/>
      <w:lang w:val="pt-BR"/>
    </w:rPr>
  </w:style>
  <w:style w:type="character" w:customStyle="1" w:styleId="NormalTok">
    <w:name w:val="NormalTok"/>
    <w:basedOn w:val="VerbatimChar"/>
    <w:rsid w:val="00303D02"/>
    <w:rPr>
      <w:rFonts w:ascii="Consolas" w:hAnsi="Consolas"/>
      <w:i/>
      <w:iCs/>
      <w:color w:val="1F497D" w:themeColor="text2"/>
      <w:sz w:val="18"/>
      <w:szCs w:val="18"/>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7756177">
      <w:bodyDiv w:val="1"/>
      <w:marLeft w:val="0"/>
      <w:marRight w:val="0"/>
      <w:marTop w:val="0"/>
      <w:marBottom w:val="0"/>
      <w:divBdr>
        <w:top w:val="none" w:sz="0" w:space="0" w:color="auto"/>
        <w:left w:val="none" w:sz="0" w:space="0" w:color="auto"/>
        <w:bottom w:val="none" w:sz="0" w:space="0" w:color="auto"/>
        <w:right w:val="none" w:sz="0" w:space="0" w:color="auto"/>
      </w:divBdr>
    </w:div>
    <w:div w:id="79445562">
      <w:bodyDiv w:val="1"/>
      <w:marLeft w:val="0"/>
      <w:marRight w:val="0"/>
      <w:marTop w:val="0"/>
      <w:marBottom w:val="0"/>
      <w:divBdr>
        <w:top w:val="none" w:sz="0" w:space="0" w:color="auto"/>
        <w:left w:val="none" w:sz="0" w:space="0" w:color="auto"/>
        <w:bottom w:val="none" w:sz="0" w:space="0" w:color="auto"/>
        <w:right w:val="none" w:sz="0" w:space="0" w:color="auto"/>
      </w:divBdr>
    </w:div>
    <w:div w:id="129979363">
      <w:bodyDiv w:val="1"/>
      <w:marLeft w:val="0"/>
      <w:marRight w:val="0"/>
      <w:marTop w:val="0"/>
      <w:marBottom w:val="0"/>
      <w:divBdr>
        <w:top w:val="none" w:sz="0" w:space="0" w:color="auto"/>
        <w:left w:val="none" w:sz="0" w:space="0" w:color="auto"/>
        <w:bottom w:val="none" w:sz="0" w:space="0" w:color="auto"/>
        <w:right w:val="none" w:sz="0" w:space="0" w:color="auto"/>
      </w:divBdr>
      <w:divsChild>
        <w:div w:id="655492827">
          <w:marLeft w:val="0"/>
          <w:marRight w:val="0"/>
          <w:marTop w:val="0"/>
          <w:marBottom w:val="0"/>
          <w:divBdr>
            <w:top w:val="none" w:sz="0" w:space="0" w:color="auto"/>
            <w:left w:val="none" w:sz="0" w:space="0" w:color="auto"/>
            <w:bottom w:val="none" w:sz="0" w:space="0" w:color="auto"/>
            <w:right w:val="none" w:sz="0" w:space="0" w:color="auto"/>
          </w:divBdr>
          <w:divsChild>
            <w:div w:id="11660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5948710">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193812426">
      <w:bodyDiv w:val="1"/>
      <w:marLeft w:val="0"/>
      <w:marRight w:val="0"/>
      <w:marTop w:val="0"/>
      <w:marBottom w:val="0"/>
      <w:divBdr>
        <w:top w:val="none" w:sz="0" w:space="0" w:color="auto"/>
        <w:left w:val="none" w:sz="0" w:space="0" w:color="auto"/>
        <w:bottom w:val="none" w:sz="0" w:space="0" w:color="auto"/>
        <w:right w:val="none" w:sz="0" w:space="0" w:color="auto"/>
      </w:divBdr>
    </w:div>
    <w:div w:id="227499939">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2662821">
      <w:bodyDiv w:val="1"/>
      <w:marLeft w:val="0"/>
      <w:marRight w:val="0"/>
      <w:marTop w:val="0"/>
      <w:marBottom w:val="0"/>
      <w:divBdr>
        <w:top w:val="none" w:sz="0" w:space="0" w:color="auto"/>
        <w:left w:val="none" w:sz="0" w:space="0" w:color="auto"/>
        <w:bottom w:val="none" w:sz="0" w:space="0" w:color="auto"/>
        <w:right w:val="none" w:sz="0" w:space="0" w:color="auto"/>
      </w:divBdr>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33728788">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08963961">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22133150">
      <w:bodyDiv w:val="1"/>
      <w:marLeft w:val="0"/>
      <w:marRight w:val="0"/>
      <w:marTop w:val="0"/>
      <w:marBottom w:val="0"/>
      <w:divBdr>
        <w:top w:val="none" w:sz="0" w:space="0" w:color="auto"/>
        <w:left w:val="none" w:sz="0" w:space="0" w:color="auto"/>
        <w:bottom w:val="none" w:sz="0" w:space="0" w:color="auto"/>
        <w:right w:val="none" w:sz="0" w:space="0" w:color="auto"/>
      </w:divBdr>
    </w:div>
    <w:div w:id="538051664">
      <w:bodyDiv w:val="1"/>
      <w:marLeft w:val="0"/>
      <w:marRight w:val="0"/>
      <w:marTop w:val="0"/>
      <w:marBottom w:val="0"/>
      <w:divBdr>
        <w:top w:val="none" w:sz="0" w:space="0" w:color="auto"/>
        <w:left w:val="none" w:sz="0" w:space="0" w:color="auto"/>
        <w:bottom w:val="none" w:sz="0" w:space="0" w:color="auto"/>
        <w:right w:val="none" w:sz="0" w:space="0" w:color="auto"/>
      </w:divBdr>
      <w:divsChild>
        <w:div w:id="176577879">
          <w:marLeft w:val="0"/>
          <w:marRight w:val="0"/>
          <w:marTop w:val="0"/>
          <w:marBottom w:val="0"/>
          <w:divBdr>
            <w:top w:val="none" w:sz="0" w:space="0" w:color="auto"/>
            <w:left w:val="none" w:sz="0" w:space="0" w:color="auto"/>
            <w:bottom w:val="none" w:sz="0" w:space="0" w:color="auto"/>
            <w:right w:val="none" w:sz="0" w:space="0" w:color="auto"/>
          </w:divBdr>
          <w:divsChild>
            <w:div w:id="1612854217">
              <w:marLeft w:val="0"/>
              <w:marRight w:val="0"/>
              <w:marTop w:val="0"/>
              <w:marBottom w:val="0"/>
              <w:divBdr>
                <w:top w:val="none" w:sz="0" w:space="0" w:color="auto"/>
                <w:left w:val="none" w:sz="0" w:space="0" w:color="auto"/>
                <w:bottom w:val="none" w:sz="0" w:space="0" w:color="auto"/>
                <w:right w:val="none" w:sz="0" w:space="0" w:color="auto"/>
              </w:divBdr>
            </w:div>
            <w:div w:id="941107113">
              <w:marLeft w:val="0"/>
              <w:marRight w:val="0"/>
              <w:marTop w:val="0"/>
              <w:marBottom w:val="0"/>
              <w:divBdr>
                <w:top w:val="none" w:sz="0" w:space="0" w:color="auto"/>
                <w:left w:val="none" w:sz="0" w:space="0" w:color="auto"/>
                <w:bottom w:val="none" w:sz="0" w:space="0" w:color="auto"/>
                <w:right w:val="none" w:sz="0" w:space="0" w:color="auto"/>
              </w:divBdr>
              <w:divsChild>
                <w:div w:id="12771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2109">
          <w:marLeft w:val="0"/>
          <w:marRight w:val="0"/>
          <w:marTop w:val="0"/>
          <w:marBottom w:val="0"/>
          <w:divBdr>
            <w:top w:val="none" w:sz="0" w:space="0" w:color="auto"/>
            <w:left w:val="none" w:sz="0" w:space="0" w:color="auto"/>
            <w:bottom w:val="none" w:sz="0" w:space="0" w:color="auto"/>
            <w:right w:val="none" w:sz="0" w:space="0" w:color="auto"/>
          </w:divBdr>
          <w:divsChild>
            <w:div w:id="1414231917">
              <w:marLeft w:val="0"/>
              <w:marRight w:val="0"/>
              <w:marTop w:val="0"/>
              <w:marBottom w:val="0"/>
              <w:divBdr>
                <w:top w:val="none" w:sz="0" w:space="0" w:color="auto"/>
                <w:left w:val="none" w:sz="0" w:space="0" w:color="auto"/>
                <w:bottom w:val="none" w:sz="0" w:space="0" w:color="auto"/>
                <w:right w:val="none" w:sz="0" w:space="0" w:color="auto"/>
              </w:divBdr>
              <w:divsChild>
                <w:div w:id="556166798">
                  <w:marLeft w:val="0"/>
                  <w:marRight w:val="0"/>
                  <w:marTop w:val="0"/>
                  <w:marBottom w:val="0"/>
                  <w:divBdr>
                    <w:top w:val="none" w:sz="0" w:space="0" w:color="auto"/>
                    <w:left w:val="none" w:sz="0" w:space="0" w:color="auto"/>
                    <w:bottom w:val="none" w:sz="0" w:space="0" w:color="auto"/>
                    <w:right w:val="none" w:sz="0" w:space="0" w:color="auto"/>
                  </w:divBdr>
                  <w:divsChild>
                    <w:div w:id="19314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68881945">
      <w:bodyDiv w:val="1"/>
      <w:marLeft w:val="0"/>
      <w:marRight w:val="0"/>
      <w:marTop w:val="0"/>
      <w:marBottom w:val="0"/>
      <w:divBdr>
        <w:top w:val="none" w:sz="0" w:space="0" w:color="auto"/>
        <w:left w:val="none" w:sz="0" w:space="0" w:color="auto"/>
        <w:bottom w:val="none" w:sz="0" w:space="0" w:color="auto"/>
        <w:right w:val="none" w:sz="0" w:space="0" w:color="auto"/>
      </w:divBdr>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39712351">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20848430">
      <w:bodyDiv w:val="1"/>
      <w:marLeft w:val="0"/>
      <w:marRight w:val="0"/>
      <w:marTop w:val="0"/>
      <w:marBottom w:val="0"/>
      <w:divBdr>
        <w:top w:val="none" w:sz="0" w:space="0" w:color="auto"/>
        <w:left w:val="none" w:sz="0" w:space="0" w:color="auto"/>
        <w:bottom w:val="none" w:sz="0" w:space="0" w:color="auto"/>
        <w:right w:val="none" w:sz="0" w:space="0" w:color="auto"/>
      </w:divBdr>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56431150">
      <w:bodyDiv w:val="1"/>
      <w:marLeft w:val="0"/>
      <w:marRight w:val="0"/>
      <w:marTop w:val="0"/>
      <w:marBottom w:val="0"/>
      <w:divBdr>
        <w:top w:val="none" w:sz="0" w:space="0" w:color="auto"/>
        <w:left w:val="none" w:sz="0" w:space="0" w:color="auto"/>
        <w:bottom w:val="none" w:sz="0" w:space="0" w:color="auto"/>
        <w:right w:val="none" w:sz="0" w:space="0" w:color="auto"/>
      </w:divBdr>
    </w:div>
    <w:div w:id="869417868">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8322294">
      <w:bodyDiv w:val="1"/>
      <w:marLeft w:val="0"/>
      <w:marRight w:val="0"/>
      <w:marTop w:val="0"/>
      <w:marBottom w:val="0"/>
      <w:divBdr>
        <w:top w:val="none" w:sz="0" w:space="0" w:color="auto"/>
        <w:left w:val="none" w:sz="0" w:space="0" w:color="auto"/>
        <w:bottom w:val="none" w:sz="0" w:space="0" w:color="auto"/>
        <w:right w:val="none" w:sz="0" w:space="0" w:color="auto"/>
      </w:divBdr>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405801">
      <w:bodyDiv w:val="1"/>
      <w:marLeft w:val="0"/>
      <w:marRight w:val="0"/>
      <w:marTop w:val="0"/>
      <w:marBottom w:val="0"/>
      <w:divBdr>
        <w:top w:val="none" w:sz="0" w:space="0" w:color="auto"/>
        <w:left w:val="none" w:sz="0" w:space="0" w:color="auto"/>
        <w:bottom w:val="none" w:sz="0" w:space="0" w:color="auto"/>
        <w:right w:val="none" w:sz="0" w:space="0" w:color="auto"/>
      </w:divBdr>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14584953">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4919">
      <w:bodyDiv w:val="1"/>
      <w:marLeft w:val="0"/>
      <w:marRight w:val="0"/>
      <w:marTop w:val="0"/>
      <w:marBottom w:val="0"/>
      <w:divBdr>
        <w:top w:val="none" w:sz="0" w:space="0" w:color="auto"/>
        <w:left w:val="none" w:sz="0" w:space="0" w:color="auto"/>
        <w:bottom w:val="none" w:sz="0" w:space="0" w:color="auto"/>
        <w:right w:val="none" w:sz="0" w:space="0" w:color="auto"/>
      </w:divBdr>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985818414">
      <w:bodyDiv w:val="1"/>
      <w:marLeft w:val="0"/>
      <w:marRight w:val="0"/>
      <w:marTop w:val="0"/>
      <w:marBottom w:val="0"/>
      <w:divBdr>
        <w:top w:val="none" w:sz="0" w:space="0" w:color="auto"/>
        <w:left w:val="none" w:sz="0" w:space="0" w:color="auto"/>
        <w:bottom w:val="none" w:sz="0" w:space="0" w:color="auto"/>
        <w:right w:val="none" w:sz="0" w:space="0" w:color="auto"/>
      </w:divBdr>
    </w:div>
    <w:div w:id="991519536">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31762206">
      <w:bodyDiv w:val="1"/>
      <w:marLeft w:val="0"/>
      <w:marRight w:val="0"/>
      <w:marTop w:val="0"/>
      <w:marBottom w:val="0"/>
      <w:divBdr>
        <w:top w:val="none" w:sz="0" w:space="0" w:color="auto"/>
        <w:left w:val="none" w:sz="0" w:space="0" w:color="auto"/>
        <w:bottom w:val="none" w:sz="0" w:space="0" w:color="auto"/>
        <w:right w:val="none" w:sz="0" w:space="0" w:color="auto"/>
      </w:divBdr>
    </w:div>
    <w:div w:id="1039010194">
      <w:bodyDiv w:val="1"/>
      <w:marLeft w:val="0"/>
      <w:marRight w:val="0"/>
      <w:marTop w:val="0"/>
      <w:marBottom w:val="0"/>
      <w:divBdr>
        <w:top w:val="none" w:sz="0" w:space="0" w:color="auto"/>
        <w:left w:val="none" w:sz="0" w:space="0" w:color="auto"/>
        <w:bottom w:val="none" w:sz="0" w:space="0" w:color="auto"/>
        <w:right w:val="none" w:sz="0" w:space="0" w:color="auto"/>
      </w:divBdr>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48336302">
      <w:bodyDiv w:val="1"/>
      <w:marLeft w:val="0"/>
      <w:marRight w:val="0"/>
      <w:marTop w:val="0"/>
      <w:marBottom w:val="0"/>
      <w:divBdr>
        <w:top w:val="none" w:sz="0" w:space="0" w:color="auto"/>
        <w:left w:val="none" w:sz="0" w:space="0" w:color="auto"/>
        <w:bottom w:val="none" w:sz="0" w:space="0" w:color="auto"/>
        <w:right w:val="none" w:sz="0" w:space="0" w:color="auto"/>
      </w:divBdr>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57572762">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55374">
      <w:bodyDiv w:val="1"/>
      <w:marLeft w:val="0"/>
      <w:marRight w:val="0"/>
      <w:marTop w:val="0"/>
      <w:marBottom w:val="0"/>
      <w:divBdr>
        <w:top w:val="none" w:sz="0" w:space="0" w:color="auto"/>
        <w:left w:val="none" w:sz="0" w:space="0" w:color="auto"/>
        <w:bottom w:val="none" w:sz="0" w:space="0" w:color="auto"/>
        <w:right w:val="none" w:sz="0" w:space="0" w:color="auto"/>
      </w:divBdr>
    </w:div>
    <w:div w:id="1226799048">
      <w:bodyDiv w:val="1"/>
      <w:marLeft w:val="0"/>
      <w:marRight w:val="0"/>
      <w:marTop w:val="0"/>
      <w:marBottom w:val="0"/>
      <w:divBdr>
        <w:top w:val="none" w:sz="0" w:space="0" w:color="auto"/>
        <w:left w:val="none" w:sz="0" w:space="0" w:color="auto"/>
        <w:bottom w:val="none" w:sz="0" w:space="0" w:color="auto"/>
        <w:right w:val="none" w:sz="0" w:space="0" w:color="auto"/>
      </w:divBdr>
    </w:div>
    <w:div w:id="1241524015">
      <w:bodyDiv w:val="1"/>
      <w:marLeft w:val="0"/>
      <w:marRight w:val="0"/>
      <w:marTop w:val="0"/>
      <w:marBottom w:val="0"/>
      <w:divBdr>
        <w:top w:val="none" w:sz="0" w:space="0" w:color="auto"/>
        <w:left w:val="none" w:sz="0" w:space="0" w:color="auto"/>
        <w:bottom w:val="none" w:sz="0" w:space="0" w:color="auto"/>
        <w:right w:val="none" w:sz="0" w:space="0" w:color="auto"/>
      </w:divBdr>
    </w:div>
    <w:div w:id="1272124534">
      <w:bodyDiv w:val="1"/>
      <w:marLeft w:val="0"/>
      <w:marRight w:val="0"/>
      <w:marTop w:val="0"/>
      <w:marBottom w:val="0"/>
      <w:divBdr>
        <w:top w:val="none" w:sz="0" w:space="0" w:color="auto"/>
        <w:left w:val="none" w:sz="0" w:space="0" w:color="auto"/>
        <w:bottom w:val="none" w:sz="0" w:space="0" w:color="auto"/>
        <w:right w:val="none" w:sz="0" w:space="0" w:color="auto"/>
      </w:divBdr>
    </w:div>
    <w:div w:id="1312254761">
      <w:bodyDiv w:val="1"/>
      <w:marLeft w:val="0"/>
      <w:marRight w:val="0"/>
      <w:marTop w:val="0"/>
      <w:marBottom w:val="0"/>
      <w:divBdr>
        <w:top w:val="none" w:sz="0" w:space="0" w:color="auto"/>
        <w:left w:val="none" w:sz="0" w:space="0" w:color="auto"/>
        <w:bottom w:val="none" w:sz="0" w:space="0" w:color="auto"/>
        <w:right w:val="none" w:sz="0" w:space="0" w:color="auto"/>
      </w:divBdr>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53073532">
      <w:bodyDiv w:val="1"/>
      <w:marLeft w:val="0"/>
      <w:marRight w:val="0"/>
      <w:marTop w:val="0"/>
      <w:marBottom w:val="0"/>
      <w:divBdr>
        <w:top w:val="none" w:sz="0" w:space="0" w:color="auto"/>
        <w:left w:val="none" w:sz="0" w:space="0" w:color="auto"/>
        <w:bottom w:val="none" w:sz="0" w:space="0" w:color="auto"/>
        <w:right w:val="none" w:sz="0" w:space="0" w:color="auto"/>
      </w:divBdr>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3649422">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455296082">
      <w:bodyDiv w:val="1"/>
      <w:marLeft w:val="0"/>
      <w:marRight w:val="0"/>
      <w:marTop w:val="0"/>
      <w:marBottom w:val="0"/>
      <w:divBdr>
        <w:top w:val="none" w:sz="0" w:space="0" w:color="auto"/>
        <w:left w:val="none" w:sz="0" w:space="0" w:color="auto"/>
        <w:bottom w:val="none" w:sz="0" w:space="0" w:color="auto"/>
        <w:right w:val="none" w:sz="0" w:space="0" w:color="auto"/>
      </w:divBdr>
    </w:div>
    <w:div w:id="1482842755">
      <w:bodyDiv w:val="1"/>
      <w:marLeft w:val="0"/>
      <w:marRight w:val="0"/>
      <w:marTop w:val="0"/>
      <w:marBottom w:val="0"/>
      <w:divBdr>
        <w:top w:val="none" w:sz="0" w:space="0" w:color="auto"/>
        <w:left w:val="none" w:sz="0" w:space="0" w:color="auto"/>
        <w:bottom w:val="none" w:sz="0" w:space="0" w:color="auto"/>
        <w:right w:val="none" w:sz="0" w:space="0" w:color="auto"/>
      </w:divBdr>
    </w:div>
    <w:div w:id="1492259300">
      <w:bodyDiv w:val="1"/>
      <w:marLeft w:val="0"/>
      <w:marRight w:val="0"/>
      <w:marTop w:val="0"/>
      <w:marBottom w:val="0"/>
      <w:divBdr>
        <w:top w:val="none" w:sz="0" w:space="0" w:color="auto"/>
        <w:left w:val="none" w:sz="0" w:space="0" w:color="auto"/>
        <w:bottom w:val="none" w:sz="0" w:space="0" w:color="auto"/>
        <w:right w:val="none" w:sz="0" w:space="0" w:color="auto"/>
      </w:divBdr>
      <w:divsChild>
        <w:div w:id="1698851853">
          <w:marLeft w:val="0"/>
          <w:marRight w:val="0"/>
          <w:marTop w:val="0"/>
          <w:marBottom w:val="0"/>
          <w:divBdr>
            <w:top w:val="none" w:sz="0" w:space="0" w:color="auto"/>
            <w:left w:val="none" w:sz="0" w:space="0" w:color="auto"/>
            <w:bottom w:val="none" w:sz="0" w:space="0" w:color="auto"/>
            <w:right w:val="none" w:sz="0" w:space="0" w:color="auto"/>
          </w:divBdr>
          <w:divsChild>
            <w:div w:id="4330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43077">
      <w:bodyDiv w:val="1"/>
      <w:marLeft w:val="0"/>
      <w:marRight w:val="0"/>
      <w:marTop w:val="0"/>
      <w:marBottom w:val="0"/>
      <w:divBdr>
        <w:top w:val="none" w:sz="0" w:space="0" w:color="auto"/>
        <w:left w:val="none" w:sz="0" w:space="0" w:color="auto"/>
        <w:bottom w:val="none" w:sz="0" w:space="0" w:color="auto"/>
        <w:right w:val="none" w:sz="0" w:space="0" w:color="auto"/>
      </w:divBdr>
    </w:div>
    <w:div w:id="1501432177">
      <w:bodyDiv w:val="1"/>
      <w:marLeft w:val="0"/>
      <w:marRight w:val="0"/>
      <w:marTop w:val="0"/>
      <w:marBottom w:val="0"/>
      <w:divBdr>
        <w:top w:val="none" w:sz="0" w:space="0" w:color="auto"/>
        <w:left w:val="none" w:sz="0" w:space="0" w:color="auto"/>
        <w:bottom w:val="none" w:sz="0" w:space="0" w:color="auto"/>
        <w:right w:val="none" w:sz="0" w:space="0" w:color="auto"/>
      </w:divBdr>
    </w:div>
    <w:div w:id="1512338154">
      <w:bodyDiv w:val="1"/>
      <w:marLeft w:val="0"/>
      <w:marRight w:val="0"/>
      <w:marTop w:val="0"/>
      <w:marBottom w:val="0"/>
      <w:divBdr>
        <w:top w:val="none" w:sz="0" w:space="0" w:color="auto"/>
        <w:left w:val="none" w:sz="0" w:space="0" w:color="auto"/>
        <w:bottom w:val="none" w:sz="0" w:space="0" w:color="auto"/>
        <w:right w:val="none" w:sz="0" w:space="0" w:color="auto"/>
      </w:divBdr>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77012719">
      <w:bodyDiv w:val="1"/>
      <w:marLeft w:val="0"/>
      <w:marRight w:val="0"/>
      <w:marTop w:val="0"/>
      <w:marBottom w:val="0"/>
      <w:divBdr>
        <w:top w:val="none" w:sz="0" w:space="0" w:color="auto"/>
        <w:left w:val="none" w:sz="0" w:space="0" w:color="auto"/>
        <w:bottom w:val="none" w:sz="0" w:space="0" w:color="auto"/>
        <w:right w:val="none" w:sz="0" w:space="0" w:color="auto"/>
      </w:divBdr>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539408">
      <w:bodyDiv w:val="1"/>
      <w:marLeft w:val="0"/>
      <w:marRight w:val="0"/>
      <w:marTop w:val="0"/>
      <w:marBottom w:val="0"/>
      <w:divBdr>
        <w:top w:val="none" w:sz="0" w:space="0" w:color="auto"/>
        <w:left w:val="none" w:sz="0" w:space="0" w:color="auto"/>
        <w:bottom w:val="none" w:sz="0" w:space="0" w:color="auto"/>
        <w:right w:val="none" w:sz="0" w:space="0" w:color="auto"/>
      </w:divBdr>
    </w:div>
    <w:div w:id="1683044519">
      <w:bodyDiv w:val="1"/>
      <w:marLeft w:val="0"/>
      <w:marRight w:val="0"/>
      <w:marTop w:val="0"/>
      <w:marBottom w:val="0"/>
      <w:divBdr>
        <w:top w:val="none" w:sz="0" w:space="0" w:color="auto"/>
        <w:left w:val="none" w:sz="0" w:space="0" w:color="auto"/>
        <w:bottom w:val="none" w:sz="0" w:space="0" w:color="auto"/>
        <w:right w:val="none" w:sz="0" w:space="0" w:color="auto"/>
      </w:divBdr>
    </w:div>
    <w:div w:id="1718703870">
      <w:bodyDiv w:val="1"/>
      <w:marLeft w:val="0"/>
      <w:marRight w:val="0"/>
      <w:marTop w:val="0"/>
      <w:marBottom w:val="0"/>
      <w:divBdr>
        <w:top w:val="none" w:sz="0" w:space="0" w:color="auto"/>
        <w:left w:val="none" w:sz="0" w:space="0" w:color="auto"/>
        <w:bottom w:val="none" w:sz="0" w:space="0" w:color="auto"/>
        <w:right w:val="none" w:sz="0" w:space="0" w:color="auto"/>
      </w:divBdr>
    </w:div>
    <w:div w:id="1729067586">
      <w:bodyDiv w:val="1"/>
      <w:marLeft w:val="0"/>
      <w:marRight w:val="0"/>
      <w:marTop w:val="0"/>
      <w:marBottom w:val="0"/>
      <w:divBdr>
        <w:top w:val="none" w:sz="0" w:space="0" w:color="auto"/>
        <w:left w:val="none" w:sz="0" w:space="0" w:color="auto"/>
        <w:bottom w:val="none" w:sz="0" w:space="0" w:color="auto"/>
        <w:right w:val="none" w:sz="0" w:space="0" w:color="auto"/>
      </w:divBdr>
    </w:div>
    <w:div w:id="1740667354">
      <w:bodyDiv w:val="1"/>
      <w:marLeft w:val="0"/>
      <w:marRight w:val="0"/>
      <w:marTop w:val="0"/>
      <w:marBottom w:val="0"/>
      <w:divBdr>
        <w:top w:val="none" w:sz="0" w:space="0" w:color="auto"/>
        <w:left w:val="none" w:sz="0" w:space="0" w:color="auto"/>
        <w:bottom w:val="none" w:sz="0" w:space="0" w:color="auto"/>
        <w:right w:val="none" w:sz="0" w:space="0" w:color="auto"/>
      </w:divBdr>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7866995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783843127">
      <w:bodyDiv w:val="1"/>
      <w:marLeft w:val="0"/>
      <w:marRight w:val="0"/>
      <w:marTop w:val="0"/>
      <w:marBottom w:val="0"/>
      <w:divBdr>
        <w:top w:val="none" w:sz="0" w:space="0" w:color="auto"/>
        <w:left w:val="none" w:sz="0" w:space="0" w:color="auto"/>
        <w:bottom w:val="none" w:sz="0" w:space="0" w:color="auto"/>
        <w:right w:val="none" w:sz="0" w:space="0" w:color="auto"/>
      </w:divBdr>
    </w:div>
    <w:div w:id="1824545335">
      <w:bodyDiv w:val="1"/>
      <w:marLeft w:val="0"/>
      <w:marRight w:val="0"/>
      <w:marTop w:val="0"/>
      <w:marBottom w:val="0"/>
      <w:divBdr>
        <w:top w:val="none" w:sz="0" w:space="0" w:color="auto"/>
        <w:left w:val="none" w:sz="0" w:space="0" w:color="auto"/>
        <w:bottom w:val="none" w:sz="0" w:space="0" w:color="auto"/>
        <w:right w:val="none" w:sz="0" w:space="0" w:color="auto"/>
      </w:divBdr>
    </w:div>
    <w:div w:id="1862666019">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864199641">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79257808">
      <w:bodyDiv w:val="1"/>
      <w:marLeft w:val="0"/>
      <w:marRight w:val="0"/>
      <w:marTop w:val="0"/>
      <w:marBottom w:val="0"/>
      <w:divBdr>
        <w:top w:val="none" w:sz="0" w:space="0" w:color="auto"/>
        <w:left w:val="none" w:sz="0" w:space="0" w:color="auto"/>
        <w:bottom w:val="none" w:sz="0" w:space="0" w:color="auto"/>
        <w:right w:val="none" w:sz="0" w:space="0" w:color="auto"/>
      </w:divBdr>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327">
      <w:bodyDiv w:val="1"/>
      <w:marLeft w:val="0"/>
      <w:marRight w:val="0"/>
      <w:marTop w:val="0"/>
      <w:marBottom w:val="0"/>
      <w:divBdr>
        <w:top w:val="none" w:sz="0" w:space="0" w:color="auto"/>
        <w:left w:val="none" w:sz="0" w:space="0" w:color="auto"/>
        <w:bottom w:val="none" w:sz="0" w:space="0" w:color="auto"/>
        <w:right w:val="none" w:sz="0" w:space="0" w:color="auto"/>
      </w:divBdr>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02999836">
      <w:bodyDiv w:val="1"/>
      <w:marLeft w:val="0"/>
      <w:marRight w:val="0"/>
      <w:marTop w:val="0"/>
      <w:marBottom w:val="0"/>
      <w:divBdr>
        <w:top w:val="none" w:sz="0" w:space="0" w:color="auto"/>
        <w:left w:val="none" w:sz="0" w:space="0" w:color="auto"/>
        <w:bottom w:val="none" w:sz="0" w:space="0" w:color="auto"/>
        <w:right w:val="none" w:sz="0" w:space="0" w:color="auto"/>
      </w:divBdr>
    </w:div>
    <w:div w:id="2022049965">
      <w:bodyDiv w:val="1"/>
      <w:marLeft w:val="0"/>
      <w:marRight w:val="0"/>
      <w:marTop w:val="0"/>
      <w:marBottom w:val="0"/>
      <w:divBdr>
        <w:top w:val="none" w:sz="0" w:space="0" w:color="auto"/>
        <w:left w:val="none" w:sz="0" w:space="0" w:color="auto"/>
        <w:bottom w:val="none" w:sz="0" w:space="0" w:color="auto"/>
        <w:right w:val="none" w:sz="0" w:space="0" w:color="auto"/>
      </w:divBdr>
    </w:div>
    <w:div w:id="2038919421">
      <w:bodyDiv w:val="1"/>
      <w:marLeft w:val="0"/>
      <w:marRight w:val="0"/>
      <w:marTop w:val="0"/>
      <w:marBottom w:val="0"/>
      <w:divBdr>
        <w:top w:val="none" w:sz="0" w:space="0" w:color="auto"/>
        <w:left w:val="none" w:sz="0" w:space="0" w:color="auto"/>
        <w:bottom w:val="none" w:sz="0" w:space="0" w:color="auto"/>
        <w:right w:val="none" w:sz="0" w:space="0" w:color="auto"/>
      </w:divBdr>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nefin.com.br/risk_factors.html"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c.ufg.br/p/3398-ficha-catalografica"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1482-3EEC-4146-BF00-5808EA21B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118</Pages>
  <Words>30307</Words>
  <Characters>163664</Characters>
  <Application>Microsoft Office Word</Application>
  <DocSecurity>0</DocSecurity>
  <Lines>1363</Lines>
  <Paragraphs>387</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193584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cp:lastModifiedBy>
  <cp:revision>5</cp:revision>
  <cp:lastPrinted>2025-12-18T18:40:00Z</cp:lastPrinted>
  <dcterms:created xsi:type="dcterms:W3CDTF">2026-06-03T23:12:00Z</dcterms:created>
  <dcterms:modified xsi:type="dcterms:W3CDTF">2026-06-03T23:27:00Z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