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240"/>
        <w:jc w:val="center"/>
      </w:pPr>
      <w:r>
        <w:rPr>
          <w:rFonts w:ascii="Times New Roman" w:hAnsi="Times New Roman"/>
          <w:b/>
          <w:sz w:val="32"/>
        </w:rPr>
        <w:t>A Reconstrução da Arquitetura Financeira: Uma Síntese Integradora entre a Psicologia do Investidor, Prêmios de Risco Multifatoriais e a Otimização Bayesiana Robusta</w:t>
      </w: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1. A Crise Epistemológica da Teoria Moderna e a Necessidade de Renovação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trajetória da ciência financeira ao longo dos últimos setenta anos não descreve uma linha reta de acumulação de conhecimento, mas sim um processo dialético de construção, desconstrução e síntese. O edifício teórico erguido sobre os alicerces da Teoria Moderna do Portfólio (MPT), formalizada por Harry Markowitz em 1952, e subsequentemente cimentado pelo </w:t>
      </w:r>
      <w:r>
        <w:rPr>
          <w:rFonts w:ascii="Times New Roman" w:hAnsi="Times New Roman"/>
          <w:i/>
          <w:sz w:val="24"/>
        </w:rPr>
        <w:t>Capital Asset Pricing Model</w:t>
      </w:r>
      <w:r>
        <w:rPr>
          <w:rFonts w:ascii="Times New Roman" w:hAnsi="Times New Roman"/>
          <w:sz w:val="24"/>
        </w:rPr>
        <w:t xml:space="preserve"> (CAPM) na década de 1960, proporcionou a primeira gramática rigorosa para a quantificação da incerteza. No entanto, a hegemonia do paradigma Média-Variância (MV) enfrenta, na contemporaneidade, uma crise de legitimidade empírica e prática. A premissa de racionalidade estrita, na qual agentes econômicos (o </w:t>
      </w:r>
      <w:r>
        <w:rPr>
          <w:rFonts w:ascii="Times New Roman" w:hAnsi="Times New Roman"/>
          <w:i/>
          <w:sz w:val="24"/>
        </w:rPr>
        <w:t>Homo Economicus</w:t>
      </w:r>
      <w:r>
        <w:rPr>
          <w:rFonts w:ascii="Times New Roman" w:hAnsi="Times New Roman"/>
          <w:sz w:val="24"/>
        </w:rPr>
        <w:t>) maximizam a utilidade esperada de forma consistente, livre de vieses e com capacidade computacional infinita, revelou-se insuficiente para explicar a complexidade, a turbulência e as anomalias persistentes dos mercados financeiros globais.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Este relatório estabelece uma atualização estrutural exaustiva do arcabouço teórico financeiro. A análise transcende a ortodoxia da Média-Variância para integrar duas das mais vigorosas correntes de desenvolvimento acadêmico e prático: as Finanças Comportamentais (FC), que dissecam a arquitetura cognitiva do erro humano, e os Modelos Multifatoriais de Precificação de Ativos (notadamente a linhagem Fama-French), que expandem a dimensionalidade do risco. A tese central aqui defendida postula que estas disciplinas não são silos isolados, mas componentes complementares de uma </w:t>
      </w:r>
      <w:r>
        <w:rPr>
          <w:rFonts w:ascii="Times New Roman" w:hAnsi="Times New Roman"/>
          <w:i/>
          <w:sz w:val="24"/>
        </w:rPr>
        <w:t>Teoria Pós-Moderna de Portfólio</w:t>
      </w:r>
      <w:r>
        <w:rPr>
          <w:rFonts w:ascii="Times New Roman" w:hAnsi="Times New Roman"/>
          <w:sz w:val="24"/>
        </w:rPr>
        <w:t xml:space="preserve"> (PMPT) unificada.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Enquanto as Finanças Comportamentais diagnosticam as patologias da racionalidade — como a assimetria na percepção de perdas e o excesso de confiança — os Modelos Multifatoriais oferecem a terapêutica quantitativa, identificando os prêmios de risco associados a essas anomalias comportamentais e estruturais. A síntese operacional desta nova arquitetura é o Modelo Black-Litterman. Longe de ser apenas uma ferramenta de otimização, o Black-Litterman é apresentado neste documento como o mecanismo bayesiano capaz de amalgamar o equilíbrio de mercado (definido pelos fatores de risco robustos) com as visões subjetivas do investidor, utilizando a incerteza estatística para filtrar vieses cognitivos e mitigar erros de estimação.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1.1. O Legado e as Limitações da Otimização Média-Variância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Para compreender a urgência da evolução teórica, é imperativo dissecar as limitações ontológicas do modelo de Markowitz. A MPT revolucionou as finanças ao deslocar o foco da análise de ativos individuais (</w:t>
      </w:r>
      <w:r>
        <w:rPr>
          <w:rFonts w:ascii="Times New Roman" w:hAnsi="Times New Roman"/>
          <w:i/>
          <w:sz w:val="24"/>
        </w:rPr>
        <w:t>security analysis</w:t>
      </w:r>
      <w:r>
        <w:rPr>
          <w:rFonts w:ascii="Times New Roman" w:hAnsi="Times New Roman"/>
          <w:sz w:val="24"/>
        </w:rPr>
        <w:t>) para a construção de portfólios, demonstrando matematicamente os benefícios da diversificação através da covariância (Markowitz, 1952). Contudo, a implementação prática da otimização MV revelou-se traiçoeira.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Os otimizadores baseados em Média-Variância são frequentemente descritos na literatura acadêmica, notadamente por Michaud (1989), como "maximizadores de erro de estimação". A matemática da otimização quadrática age como uma alavanca para o ruído estatístico: ela tende a alocar pesos excessivos em ativos com retornos esperados estatisticamente superestimados e correlações subestimadas, e vice-versa (Michaud, 1989). O resultado são portfólios instáveis, pouco intuitivos e concentrados em "soluções de canto" (pesos 0% ou 100%), que flutuam violentamente com pequenas alterações nos </w:t>
      </w:r>
      <w:r>
        <w:rPr>
          <w:rFonts w:ascii="Times New Roman" w:hAnsi="Times New Roman"/>
          <w:i/>
          <w:sz w:val="24"/>
        </w:rPr>
        <w:t>inputs</w:t>
      </w:r>
      <w:r>
        <w:rPr>
          <w:rFonts w:ascii="Times New Roman" w:hAnsi="Times New Roman"/>
          <w:sz w:val="24"/>
        </w:rPr>
        <w:t xml:space="preserve"> de dados históricos (Michaud, 1989).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Além da instabilidade numérica, a MPT sofre de uma cegueira conceitual em relação à natureza do risco. Ao definir risco estritamente como variância (ou desvio-padrão), a teoria assume uma simetria que contradiz a realidade biológica e econômica. A variância penaliza os desvios positivos (ganhos acima da média) com a mesma severidade que os desvios negativos (perdas). No entanto, a utilidade marginal do investidor não é simétrica; a volatilidade de </w:t>
      </w:r>
      <w:r>
        <w:rPr>
          <w:rFonts w:ascii="Times New Roman" w:hAnsi="Times New Roman"/>
          <w:i/>
          <w:sz w:val="24"/>
        </w:rPr>
        <w:t>upside</w:t>
      </w:r>
      <w:r>
        <w:rPr>
          <w:rFonts w:ascii="Times New Roman" w:hAnsi="Times New Roman"/>
          <w:sz w:val="24"/>
        </w:rPr>
        <w:t xml:space="preserve"> é a fonte da acumulação de riqueza, enquanto a volatilidade de </w:t>
      </w:r>
      <w:r>
        <w:rPr>
          <w:rFonts w:ascii="Times New Roman" w:hAnsi="Times New Roman"/>
          <w:i/>
          <w:sz w:val="24"/>
        </w:rPr>
        <w:t>downside</w:t>
      </w:r>
      <w:r>
        <w:rPr>
          <w:rFonts w:ascii="Times New Roman" w:hAnsi="Times New Roman"/>
          <w:sz w:val="24"/>
        </w:rPr>
        <w:t xml:space="preserve"> é a ameaça à solvência (Markowitz, 1952). Esta dissonância entre a definição matemática de risco da MPT e a percepção psicológica de risco do investidor abre o caminho para a integração das Finanças Comportamentais.</w:t>
      </w: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2. A Desconstrução da Racionalidade: O Impacto das Finanças Comportamentais na Modelagem de Risco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transição da MPT clássica para uma estrutura pós-moderna exige, primordialmente, o reconhecimento das falhas no modelo de utilidade esperada de Von Neumann-Morgenstern. A evidência empírica, acumulada ao longo de décadas de pesquisa em psicologia cognitiva e economia experimental, sugere que os investidores não processam probabilidades de forma linear nem avaliam a riqueza final em termos absolutos.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2.1. Teoria da Perspectiva (***Prospect Theory***): A Redefinição da Função Valor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pedra angular da crítica comportamental, e o alicerce para a nova modelagem de risco, é a </w:t>
      </w:r>
      <w:r>
        <w:rPr>
          <w:rFonts w:ascii="Times New Roman" w:hAnsi="Times New Roman"/>
          <w:i/>
          <w:sz w:val="24"/>
        </w:rPr>
        <w:t>Teoria da Perspectiva</w:t>
      </w:r>
      <w:r>
        <w:rPr>
          <w:rFonts w:ascii="Times New Roman" w:hAnsi="Times New Roman"/>
          <w:sz w:val="24"/>
        </w:rPr>
        <w:t xml:space="preserve">, desenvolvida por Daniel Kahneman e Amos Tversky em 1979. Diferentemente da teoria da utilidade esperada, que assume que os agentes avaliam o nível final de riqueza, a Teoria da Perspectiva postula que os indivíduos avaliam resultados em termos de </w:t>
      </w:r>
      <w:r>
        <w:rPr>
          <w:rFonts w:ascii="Times New Roman" w:hAnsi="Times New Roman"/>
          <w:b/>
          <w:sz w:val="24"/>
        </w:rPr>
        <w:t>alterações</w:t>
      </w:r>
      <w:r>
        <w:rPr>
          <w:rFonts w:ascii="Times New Roman" w:hAnsi="Times New Roman"/>
          <w:sz w:val="24"/>
        </w:rPr>
        <w:t xml:space="preserve"> (ganhos e perdas) relativas a um ponto de referência neutro (geralmente o status quo ou o preço de compra) (Kahneman &amp; Tversky, 1979).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implicação mais profunda e sistêmica para a gestão de portfólios é o conceito de </w:t>
      </w:r>
      <w:r>
        <w:rPr>
          <w:rFonts w:ascii="Times New Roman" w:hAnsi="Times New Roman"/>
          <w:b/>
          <w:sz w:val="24"/>
        </w:rPr>
        <w:t>Aversão à Perda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Loss Aversion</w:t>
      </w:r>
      <w:r>
        <w:rPr>
          <w:rFonts w:ascii="Times New Roman" w:hAnsi="Times New Roman"/>
          <w:sz w:val="24"/>
        </w:rPr>
        <w:t xml:space="preserve">). Estudos experimentais robustos, replicados em diversas culturas e contextos econômicos, demonstram que a dor psicológica de uma perda é, em média, </w:t>
      </w:r>
      <w:r>
        <w:rPr>
          <w:rFonts w:ascii="Times New Roman" w:hAnsi="Times New Roman"/>
          <w:b/>
          <w:sz w:val="24"/>
        </w:rPr>
        <w:t>2,25 vezes mais intensa</w:t>
      </w:r>
      <w:r>
        <w:rPr>
          <w:rFonts w:ascii="Times New Roman" w:hAnsi="Times New Roman"/>
          <w:sz w:val="24"/>
        </w:rPr>
        <w:t xml:space="preserve"> do que o prazer proporcionado por um ganho de magnitude equivalente (Kahneman &amp; Tversky, 1979). O coeficiente de aversão à perda (</w:t>
      </w:r>
      <w:r>
        <w:rPr>
          <w:rFonts w:ascii="Times New Roman" w:hAnsi="Times New Roman"/>
          <w:i/>
          <w:sz w:val="24"/>
        </w:rPr>
        <w:t>λ ≈ 2.25</w:t>
      </w:r>
      <w:r>
        <w:rPr>
          <w:rFonts w:ascii="Times New Roman" w:hAnsi="Times New Roman"/>
          <w:sz w:val="24"/>
        </w:rPr>
        <w:t xml:space="preserve">) sugere uma assimetria fundamental na função de valor </w:t>
      </w:r>
      <w:r>
        <w:rPr>
          <w:rFonts w:ascii="Times New Roman" w:hAnsi="Times New Roman"/>
          <w:i/>
          <w:sz w:val="24"/>
        </w:rPr>
        <w:t>v(x)</w:t>
      </w:r>
      <w:r>
        <w:rPr>
          <w:rFonts w:ascii="Times New Roman" w:hAnsi="Times New Roman"/>
          <w:sz w:val="24"/>
        </w:rPr>
        <w:t>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função de valor da Teoria da Perspectiva exibe características morfológicas distintas que invalidam a premissa de normalidade e simetria da MPT: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Côncava no domínio dos ganhos:</w:t>
      </w:r>
      <w:r>
        <w:rPr>
          <w:rFonts w:ascii="Times New Roman" w:hAnsi="Times New Roman"/>
          <w:sz w:val="24"/>
        </w:rPr>
        <w:t xml:space="preserve"> Indica aversão ao risco quando o investidor está em território positivo ("segurar os lucros").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Convexa no domínio das perdas:</w:t>
      </w:r>
      <w:r>
        <w:rPr>
          <w:rFonts w:ascii="Times New Roman" w:hAnsi="Times New Roman"/>
          <w:sz w:val="24"/>
        </w:rPr>
        <w:t xml:space="preserve"> Indica propensão ao risco quando o investidor está em território negativo. O investidor tende a "dobrar a aposta" ou manter ativos perdedores na esperança de recuperar o prejuízo e evitar a realização da perda, um fenômeno conhecido como </w:t>
      </w:r>
      <w:r>
        <w:rPr>
          <w:rFonts w:ascii="Times New Roman" w:hAnsi="Times New Roman"/>
          <w:i/>
          <w:sz w:val="24"/>
        </w:rPr>
        <w:t>Efeito Disposição</w:t>
      </w:r>
      <w:r>
        <w:rPr>
          <w:rFonts w:ascii="Times New Roman" w:hAnsi="Times New Roman"/>
          <w:sz w:val="24"/>
        </w:rPr>
        <w:t xml:space="preserve"> (Kahneman &amp; Tversky, 1979).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Kink (Quebra) na Origem:</w:t>
      </w:r>
      <w:r>
        <w:rPr>
          <w:rFonts w:ascii="Times New Roman" w:hAnsi="Times New Roman"/>
          <w:sz w:val="24"/>
        </w:rPr>
        <w:t xml:space="preserve"> A inclinação da curva muda abruptamente no ponto de referência, tornando a função não-diferenciável em zero e matematicamente incompatível com a variância global como medida única de risco.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Esta assimetria comportamental fornece a justificativa teórica imperativa para a substituição da MPT pela </w:t>
      </w:r>
      <w:r>
        <w:rPr>
          <w:rFonts w:ascii="Times New Roman" w:hAnsi="Times New Roman"/>
          <w:b/>
          <w:sz w:val="24"/>
        </w:rPr>
        <w:t>Teoria Pós-Moderna de Portfólio (PMPT)</w:t>
      </w:r>
      <w:r>
        <w:rPr>
          <w:rFonts w:ascii="Times New Roman" w:hAnsi="Times New Roman"/>
          <w:sz w:val="24"/>
        </w:rPr>
        <w:t xml:space="preserve">. Se o investidor é avesso à perda e não à volatilidade </w:t>
      </w:r>
      <w:r>
        <w:rPr>
          <w:rFonts w:ascii="Times New Roman" w:hAnsi="Times New Roman"/>
          <w:i/>
          <w:sz w:val="24"/>
        </w:rPr>
        <w:t>per se</w:t>
      </w:r>
      <w:r>
        <w:rPr>
          <w:rFonts w:ascii="Times New Roman" w:hAnsi="Times New Roman"/>
          <w:sz w:val="24"/>
        </w:rPr>
        <w:t>, a modelagem deve focar exclusivamente nos momentos parciais da distribuição de retornos (Kahneman &amp; Tversky, 1979).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2.2. O Catálogo de Vieses e suas Implicações Sistêmicas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estrutura teórica atualizada deve ir além da aversão à perda para incorporar mecanismos que identifiquem e mitiguem vieses cognitivos sistemáticos que distorcem a formação de preços e a alocação de ativos. Estes vieses não são erros aleatórios que se cancelam (ruído branco), mas desvios sistemáticos que geram anomalias de mercado persistentes.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Viés Cognitivo</w:t>
            </w:r>
          </w:p>
        </w:tc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Mecanismo Psicológico</w:t>
            </w:r>
          </w:p>
        </w:tc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Manifestação no Mercado e no Portfólio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Excesso de Confiança (Overconfidence)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Superestimação da precisão das informações privadas e da própria habilidade de previsão.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Resulta em volumes de negociação excessivos (overtrading), que corroem retornos líquidos, e em sub-diversificação (carteiras concentradas). Na modelagem Bayesiana, traduz-se em intervalos de confiança excessivamente estreitos para as "visões" do gestor (Barber &amp; Odean, 2001)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Viés de Ancoragem (Anchoring)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Fixação em informações iniciais ou irrelevantes, como o preço de compra ou máximas históricas.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Cria resistência a novos níveis de preço ("o preço está muito baixo comparado ao ano passado"), gerando ineficiências de sub-reação a novas informações fundamentais negativas (momentum de baixa) (Tversky &amp; Kahneman, 1974)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Comportamento de Manada (Herding)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Imitação das ações de um grupo maior, ignorando informações privadas ou fundamentos.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Motor crítico de bolhas especulativas e crashes súbitos. Desafia a premissa de independência dos erros nos modelos de equilíbrio tradicionais, aumentando a correlação entre ativos em momentos de estresse (Nofsinger &amp; Sias, 1999)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Contabilidade Mental (Mental Accounting)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Separação do patrimônio em "contas" mentais distintas baseadas na origem ou destino do dinheiro.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Leva a construções de portfólio ineficientes, onde o investidor assume riscos excessivos com "dinheiro da casa" (lucros passados) enquanto é excessivamente conservador com o principal (Thaler, 1999)</w:t>
            </w:r>
          </w:p>
        </w:tc>
      </w:tr>
    </w:tbl>
    <w:p>
      <w:pPr>
        <w:spacing w:before="120"/>
      </w:pP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incorporação desses vieses na teoria não serve apenas para diagnóstico, mas para a calibração dos modelos quantitativos. Como veremos na seção sobre o modelo Black-Litterman, a quantificação da incerteza na matriz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 xml:space="preserve"> é a resposta metodológica direta para mitigar o viés de excesso de confiança.</w:t>
      </w: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3. A Teoria Pós-Moderna de Portfólio (PMPT): A Resposta Matemática à Assimetria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aceitação da Teoria da Perspectiva exige uma reconstrução das métricas de risco. A PMPT surge como a evolução natural, substituindo a variância global pelos </w:t>
      </w:r>
      <w:r>
        <w:rPr>
          <w:rFonts w:ascii="Times New Roman" w:hAnsi="Times New Roman"/>
          <w:b/>
          <w:sz w:val="24"/>
        </w:rPr>
        <w:t>Momentos Parciais Inferiores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Lower Partial Moments</w:t>
      </w:r>
      <w:r>
        <w:rPr>
          <w:rFonts w:ascii="Times New Roman" w:hAnsi="Times New Roman"/>
          <w:sz w:val="24"/>
        </w:rPr>
        <w:t xml:space="preserve"> - LPM). Enquanto a variância é o segundo momento central de toda a distribuição, o LPM de ordem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 xml:space="preserve"> mede apenas a dispersão dos retornos que caem abaixo de um Retorno Mínimo Aceitável (</w:t>
      </w:r>
      <w:r>
        <w:rPr>
          <w:rFonts w:ascii="Times New Roman" w:hAnsi="Times New Roman"/>
          <w:i/>
          <w:sz w:val="24"/>
        </w:rPr>
        <w:t>Target Rate</w:t>
      </w:r>
      <w:r>
        <w:rPr>
          <w:rFonts w:ascii="Times New Roman" w:hAnsi="Times New Roman"/>
          <w:sz w:val="24"/>
        </w:rPr>
        <w:t xml:space="preserve">, MAR ou </w:t>
      </w:r>
      <w:r>
        <w:rPr>
          <w:rFonts w:ascii="Times New Roman" w:hAnsi="Times New Roman"/>
          <w:i/>
          <w:sz w:val="24"/>
        </w:rPr>
        <w:t>τ</w:t>
      </w:r>
      <w:r>
        <w:rPr>
          <w:rFonts w:ascii="Times New Roman" w:hAnsi="Times New Roman"/>
          <w:sz w:val="24"/>
        </w:rPr>
        <w:t>) (Rom &amp; Ferguson, 1994).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3.1. A Derivação dos Momentos Parciais (LPM)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fórmula geral discreta para o LPM de ordem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 xml:space="preserve"> é: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LPM_n(τ) = (1 / T) * Σ [t=1 to T] max(0, τ - R_t)^n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escolha da ordem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 xml:space="preserve"> não é arbitrária; ela reflete o grau de aversão ao risco do investidor, alinhando-se diretamente com os parâmetros da função de utilidade da Teoria da Perspectiva (Kahneman &amp; Tversky, 1979):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LPM de Ordem 0 (Probabilidade de Perda):</w:t>
      </w:r>
      <w:r>
        <w:rPr>
          <w:rFonts w:ascii="Times New Roman" w:hAnsi="Times New Roman"/>
          <w:sz w:val="24"/>
        </w:rPr>
        <w:t xml:space="preserve"> Mede a frequência com que o retorno fica abaixo da meta </w:t>
      </w:r>
      <w:r>
        <w:rPr>
          <w:rFonts w:ascii="Times New Roman" w:hAnsi="Times New Roman"/>
          <w:i/>
          <w:sz w:val="24"/>
        </w:rPr>
        <w:t>τ</w:t>
      </w:r>
      <w:r>
        <w:rPr>
          <w:rFonts w:ascii="Times New Roman" w:hAnsi="Times New Roman"/>
          <w:sz w:val="24"/>
        </w:rPr>
        <w:t>. Ignora a magnitude da perda, sendo útil apenas para investidores focados em "segurança primeiro" (</w:t>
      </w:r>
      <w:r>
        <w:rPr>
          <w:rFonts w:ascii="Times New Roman" w:hAnsi="Times New Roman"/>
          <w:i/>
          <w:sz w:val="24"/>
        </w:rPr>
        <w:t>safety first</w:t>
      </w:r>
      <w:r>
        <w:rPr>
          <w:rFonts w:ascii="Times New Roman" w:hAnsi="Times New Roman"/>
          <w:sz w:val="24"/>
        </w:rPr>
        <w:t>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LPM de Ordem 1 (Shortfall Esperado):</w:t>
      </w:r>
      <w:r>
        <w:rPr>
          <w:rFonts w:ascii="Times New Roman" w:hAnsi="Times New Roman"/>
          <w:sz w:val="24"/>
        </w:rPr>
        <w:t xml:space="preserve"> Mede a magnitude média da perda. Relaciona-se linearmente com a aversão à perda.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LPM de Ordem 2 (Semivariância):</w:t>
      </w:r>
      <w:r>
        <w:rPr>
          <w:rFonts w:ascii="Times New Roman" w:hAnsi="Times New Roman"/>
          <w:sz w:val="24"/>
        </w:rPr>
        <w:t xml:space="preserve"> Mede a volatilidade dos retornos negativos (</w:t>
      </w:r>
      <w:r>
        <w:rPr>
          <w:rFonts w:ascii="Times New Roman" w:hAnsi="Times New Roman"/>
          <w:i/>
          <w:sz w:val="24"/>
        </w:rPr>
        <w:t>Downside Deviation</w:t>
      </w:r>
      <w:r>
        <w:rPr>
          <w:rFonts w:ascii="Times New Roman" w:hAnsi="Times New Roman"/>
          <w:sz w:val="24"/>
        </w:rPr>
        <w:t>). Esta é a métrica padrão da PMPT. Ela captura a convexidade da dor da perda (aversão quadrática no domínio negativo), alinhando-se com a observação de que grandes perdas são desproporcionalmente mais dolorosas e destrutivas para a riqueza composta do que pequenas perdas (Rom &amp; Ferguson, 1994).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3.2. O Índice de Sortino vs. Índice de Sharpe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consequência prática direta dessa atualização teórica é a obsolescência relativa do Índice de Sharpe em favor do </w:t>
      </w:r>
      <w:r>
        <w:rPr>
          <w:rFonts w:ascii="Times New Roman" w:hAnsi="Times New Roman"/>
          <w:b/>
          <w:sz w:val="24"/>
        </w:rPr>
        <w:t>Índice de Sortino</w:t>
      </w:r>
      <w:r>
        <w:rPr>
          <w:rFonts w:ascii="Times New Roman" w:hAnsi="Times New Roman"/>
          <w:sz w:val="24"/>
        </w:rPr>
        <w:t xml:space="preserve">. Enquanto Sharpe utiliza o desvio-padrão total no denominador, Sortino utiliza o desvio-padrão de </w:t>
      </w:r>
      <w:r>
        <w:rPr>
          <w:rFonts w:ascii="Times New Roman" w:hAnsi="Times New Roman"/>
          <w:i/>
          <w:sz w:val="24"/>
        </w:rPr>
        <w:t>downside</w:t>
      </w:r>
      <w:r>
        <w:rPr>
          <w:rFonts w:ascii="Times New Roman" w:hAnsi="Times New Roman"/>
          <w:sz w:val="24"/>
        </w:rPr>
        <w:t xml:space="preserve"> (a raiz quadrada do LPM de ordem 2).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Sortino = (R_p - τ) / √[LPM_2(τ)]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Esta substituição não é trivial. Para distribuições de retorno normais (gaussianas), Sharpe e Sortino convergem. No entanto, os mercados financeiros exibem </w:t>
      </w:r>
      <w:r>
        <w:rPr>
          <w:rFonts w:ascii="Times New Roman" w:hAnsi="Times New Roman"/>
          <w:b/>
          <w:sz w:val="24"/>
        </w:rPr>
        <w:t>assimetria negativa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skewness</w:t>
      </w:r>
      <w:r>
        <w:rPr>
          <w:rFonts w:ascii="Times New Roman" w:hAnsi="Times New Roman"/>
          <w:sz w:val="24"/>
        </w:rPr>
        <w:t xml:space="preserve">) e </w:t>
      </w:r>
      <w:r>
        <w:rPr>
          <w:rFonts w:ascii="Times New Roman" w:hAnsi="Times New Roman"/>
          <w:b/>
          <w:sz w:val="24"/>
        </w:rPr>
        <w:t>caudas gordas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kurtosis</w:t>
      </w:r>
      <w:r>
        <w:rPr>
          <w:rFonts w:ascii="Times New Roman" w:hAnsi="Times New Roman"/>
          <w:sz w:val="24"/>
        </w:rPr>
        <w:t xml:space="preserve">), especialmente em períodos de crise ("Cisnes Negros"). Nesses cenários, o Índice de Sharpe subestima o risco real, enquanto o Sortino, focado no </w:t>
      </w:r>
      <w:r>
        <w:rPr>
          <w:rFonts w:ascii="Times New Roman" w:hAnsi="Times New Roman"/>
          <w:i/>
          <w:sz w:val="24"/>
        </w:rPr>
        <w:t>downside</w:t>
      </w:r>
      <w:r>
        <w:rPr>
          <w:rFonts w:ascii="Times New Roman" w:hAnsi="Times New Roman"/>
          <w:sz w:val="24"/>
        </w:rPr>
        <w:t>, oferece uma avaliação de desempenho mais robusta e alinhada com a preservação de capital exigida pela aversão à perda (Sortino &amp; Price, 1994). A PMPT, portanto, não é apenas uma preferência estética, mas uma necessidade matemática para gerir portfólios em mercados não-normais habitados por agentes avessos à perda.</w:t>
      </w: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4. A Expansão Dimensional do Risco: Dos Modelos de Fator Único aos Modelos Multifatoriais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Enquanto as Finanças Comportamentais explicam </w:t>
      </w:r>
      <w:r>
        <w:rPr>
          <w:rFonts w:ascii="Times New Roman" w:hAnsi="Times New Roman"/>
          <w:i/>
          <w:sz w:val="24"/>
        </w:rPr>
        <w:t>por que</w:t>
      </w:r>
      <w:r>
        <w:rPr>
          <w:rFonts w:ascii="Times New Roman" w:hAnsi="Times New Roman"/>
          <w:sz w:val="24"/>
        </w:rPr>
        <w:t xml:space="preserve"> os investidores agem de forma irracional e a PMPT fornece as métricas para medir o risco assimétrico resultante, os modelos multifatoriais buscam explicar </w:t>
      </w:r>
      <w:r>
        <w:rPr>
          <w:rFonts w:ascii="Times New Roman" w:hAnsi="Times New Roman"/>
          <w:i/>
          <w:sz w:val="24"/>
        </w:rPr>
        <w:t>como</w:t>
      </w:r>
      <w:r>
        <w:rPr>
          <w:rFonts w:ascii="Times New Roman" w:hAnsi="Times New Roman"/>
          <w:sz w:val="24"/>
        </w:rPr>
        <w:t xml:space="preserve"> o mercado precifica o risco de forma estrutural. A evolução do CAPM para os modelos Fama-French representa a transição de uma visão monocular do risco (apenas Beta de mercado) para uma visão multidimensional.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4.1. O Colapso do Beta Único e o Surgimento do FF3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O CAPM clássico prevê que o retorno esperado de um ativo é função linear exclusiva de sua sensibilidade ao risco de mercado (</w:t>
      </w:r>
      <w:r>
        <w:rPr>
          <w:rFonts w:ascii="Times New Roman" w:hAnsi="Times New Roman"/>
          <w:i/>
          <w:sz w:val="24"/>
        </w:rPr>
        <w:t>R_m - R_f</w:t>
      </w:r>
      <w:r>
        <w:rPr>
          <w:rFonts w:ascii="Times New Roman" w:hAnsi="Times New Roman"/>
          <w:sz w:val="24"/>
        </w:rPr>
        <w:t>). Contudo, a evidência empírica acumulada, particularmente os trabalhos de Basu (1977) e Banz (1981), demonstrou que ações de pequena capitalização (</w:t>
      </w:r>
      <w:r>
        <w:rPr>
          <w:rFonts w:ascii="Times New Roman" w:hAnsi="Times New Roman"/>
          <w:i/>
          <w:sz w:val="24"/>
        </w:rPr>
        <w:t>Small Caps</w:t>
      </w:r>
      <w:r>
        <w:rPr>
          <w:rFonts w:ascii="Times New Roman" w:hAnsi="Times New Roman"/>
          <w:sz w:val="24"/>
        </w:rPr>
        <w:t>) e ações com alta razão valor patrimonial/valor de mercado (</w:t>
      </w:r>
      <w:r>
        <w:rPr>
          <w:rFonts w:ascii="Times New Roman" w:hAnsi="Times New Roman"/>
          <w:i/>
          <w:sz w:val="24"/>
        </w:rPr>
        <w:t>Value Stocks</w:t>
      </w:r>
      <w:r>
        <w:rPr>
          <w:rFonts w:ascii="Times New Roman" w:hAnsi="Times New Roman"/>
          <w:sz w:val="24"/>
        </w:rPr>
        <w:t>) geravam retornos consistentemente superiores aos previstos pelo Beta do CAPM. O CAPM falhava em capturar esses "Alfas" estruturais (Basu, 1977; Banz, 1981).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Em resposta, Eugene Fama e Kenneth French (1992, 1993) propuseram o Modelo de Três Fatores (FF3), argumentando que Tamanho e Valor são proxies para riscos fundamentais não diversificáveis que o Beta de mercado não captura.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SMB (</w:t>
      </w:r>
      <w:r>
        <w:rPr>
          <w:rFonts w:ascii="Times New Roman" w:hAnsi="Times New Roman"/>
          <w:b/>
          <w:i/>
          <w:sz w:val="24"/>
        </w:rPr>
        <w:t>Small Minus Big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O fator de </w:t>
      </w:r>
      <w:r>
        <w:rPr>
          <w:rFonts w:ascii="Times New Roman" w:hAnsi="Times New Roman"/>
          <w:b/>
          <w:sz w:val="24"/>
        </w:rPr>
        <w:t>Tamanho</w:t>
      </w:r>
      <w:r>
        <w:rPr>
          <w:rFonts w:ascii="Times New Roman" w:hAnsi="Times New Roman"/>
          <w:sz w:val="24"/>
        </w:rPr>
        <w:t xml:space="preserve">. Captura o diferencial de retorno entre empresas pequenas e grandes. A racionalidade econômica reside no fato de que empresas menores são intrinsecamente mais arriscadas: possuem menor acesso a crédito, linhas de produtos menos diversificadas, menor liquidez e maior vulnerabilidade a choques macroeconômicos negativos. O prêmio SMB é a compensação exigida por carregar esse risco idiossincrático que se torna sistemático em carteiras de </w:t>
      </w:r>
      <w:r>
        <w:rPr>
          <w:rFonts w:ascii="Times New Roman" w:hAnsi="Times New Roman"/>
          <w:i/>
          <w:sz w:val="24"/>
        </w:rPr>
        <w:t>small caps</w:t>
      </w:r>
      <w:r>
        <w:rPr>
          <w:rFonts w:ascii="Times New Roman" w:hAnsi="Times New Roman"/>
          <w:sz w:val="24"/>
        </w:rPr>
        <w:t xml:space="preserve"> (Fama &amp; French, 1993).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HML (</w:t>
      </w:r>
      <w:r>
        <w:rPr>
          <w:rFonts w:ascii="Times New Roman" w:hAnsi="Times New Roman"/>
          <w:b/>
          <w:i/>
          <w:sz w:val="24"/>
        </w:rPr>
        <w:t>High Minus Low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O fator de </w:t>
      </w:r>
      <w:r>
        <w:rPr>
          <w:rFonts w:ascii="Times New Roman" w:hAnsi="Times New Roman"/>
          <w:b/>
          <w:sz w:val="24"/>
        </w:rPr>
        <w:t>Valor</w:t>
      </w:r>
      <w:r>
        <w:rPr>
          <w:rFonts w:ascii="Times New Roman" w:hAnsi="Times New Roman"/>
          <w:sz w:val="24"/>
        </w:rPr>
        <w:t xml:space="preserve">. Captura o diferencial entre empresas com alto </w:t>
      </w:r>
      <w:r>
        <w:rPr>
          <w:rFonts w:ascii="Times New Roman" w:hAnsi="Times New Roman"/>
          <w:i/>
          <w:sz w:val="24"/>
        </w:rPr>
        <w:t>book-to-market</w:t>
      </w:r>
      <w:r>
        <w:rPr>
          <w:rFonts w:ascii="Times New Roman" w:hAnsi="Times New Roman"/>
          <w:sz w:val="24"/>
        </w:rPr>
        <w:t xml:space="preserve"> (Value) e baixo </w:t>
      </w:r>
      <w:r>
        <w:rPr>
          <w:rFonts w:ascii="Times New Roman" w:hAnsi="Times New Roman"/>
          <w:i/>
          <w:sz w:val="24"/>
        </w:rPr>
        <w:t>book-to-market</w:t>
      </w:r>
      <w:r>
        <w:rPr>
          <w:rFonts w:ascii="Times New Roman" w:hAnsi="Times New Roman"/>
          <w:sz w:val="24"/>
        </w:rPr>
        <w:t xml:space="preserve"> (Growth). Fama e French interpretam HML como um prêmio de "angústia financeira" (</w:t>
      </w:r>
      <w:r>
        <w:rPr>
          <w:rFonts w:ascii="Times New Roman" w:hAnsi="Times New Roman"/>
          <w:i/>
          <w:sz w:val="24"/>
        </w:rPr>
        <w:t>distress risk</w:t>
      </w:r>
      <w:r>
        <w:rPr>
          <w:rFonts w:ascii="Times New Roman" w:hAnsi="Times New Roman"/>
          <w:sz w:val="24"/>
        </w:rPr>
        <w:t>). Empresas de Valor são frequentemente empresas cujos lucros estão deprimidos e que enfrentam incertezas sobre sua solvência futura. Em contraste, as Finanças Comportamentais (Lakonishok et al., 1994) argumentam que o prêmio HML decorre de erros de extrapolação: investidores superestimam o crescimento futuro das ações "Growth" (glamour) e subestimam a capacidade de recuperação das ações "Value", criando oportunidades de retorno superior quando a reversão à média ocorre (Lakonishok et al., 1994).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equação de regressão do modelo FF3 torna-se: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R_it - R_ft = α_i + β_i * (R_Mt - R_ft) + s_i * SMB_t + h_i * HML_t + ε_it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4.2. A Maturação do Modelo: Cinco Fatores (FF5) e a Qualidade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evolução teórica não estagnou no FF3. Fama e French (2015) observaram que o modelo de três fatores falhava em explicar retornos anormais associados à qualidade dos lucros e ao comportamento de investimento corporativo. Derivando diretamente do Modelo de Desconto de Dividendos (DDM), eles demonstraram que, mantendo o valor de mercado fixo, uma empresa com maior lucratividade futura ou menor necessidade de reinvestimento deve oferecer um retorno esperado maior (Fama &amp; French, 2015).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Isso levou à inclusão de dois novos fatores, criando o Modelo de Cinco Fatores (FF5):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RMW (</w:t>
      </w:r>
      <w:r>
        <w:rPr>
          <w:rFonts w:ascii="Times New Roman" w:hAnsi="Times New Roman"/>
          <w:b/>
          <w:i/>
          <w:sz w:val="24"/>
        </w:rPr>
        <w:t>Robust Minus Weak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O fator de </w:t>
      </w:r>
      <w:r>
        <w:rPr>
          <w:rFonts w:ascii="Times New Roman" w:hAnsi="Times New Roman"/>
          <w:b/>
          <w:sz w:val="24"/>
        </w:rPr>
        <w:t>Lucratividade</w:t>
      </w:r>
      <w:r>
        <w:rPr>
          <w:rFonts w:ascii="Times New Roman" w:hAnsi="Times New Roman"/>
          <w:sz w:val="24"/>
        </w:rPr>
        <w:t>. Representa o diferencial de retorno entre empresas com alta lucratividade operacional (</w:t>
      </w:r>
      <w:r>
        <w:rPr>
          <w:rFonts w:ascii="Times New Roman" w:hAnsi="Times New Roman"/>
          <w:i/>
          <w:sz w:val="24"/>
        </w:rPr>
        <w:t>Robust</w:t>
      </w:r>
      <w:r>
        <w:rPr>
          <w:rFonts w:ascii="Times New Roman" w:hAnsi="Times New Roman"/>
          <w:sz w:val="24"/>
        </w:rPr>
        <w:t>) e baixa lucratividade (</w:t>
      </w:r>
      <w:r>
        <w:rPr>
          <w:rFonts w:ascii="Times New Roman" w:hAnsi="Times New Roman"/>
          <w:i/>
          <w:sz w:val="24"/>
        </w:rPr>
        <w:t>Weak</w:t>
      </w:r>
      <w:r>
        <w:rPr>
          <w:rFonts w:ascii="Times New Roman" w:hAnsi="Times New Roman"/>
          <w:sz w:val="24"/>
        </w:rPr>
        <w:t xml:space="preserve">). A lógica econômica é direta: empresas mais lucrativas são menos propensas a dificuldades financeiras e tendem a ser mais resilientes em crises (fenômeno </w:t>
      </w:r>
      <w:r>
        <w:rPr>
          <w:rFonts w:ascii="Times New Roman" w:hAnsi="Times New Roman"/>
          <w:i/>
          <w:sz w:val="24"/>
        </w:rPr>
        <w:t>Flight to Quality</w:t>
      </w:r>
      <w:r>
        <w:rPr>
          <w:rFonts w:ascii="Times New Roman" w:hAnsi="Times New Roman"/>
          <w:sz w:val="24"/>
        </w:rPr>
        <w:t xml:space="preserve">). Curiosamente, o fator RMW frequentemente subsume parte do poder explicativo do fator Valor (HML), pois muitas empresas de "Valor" são apenas empresas baratas com baixa lucratividade (armadilhas de valor), enquanto o verdadeiro prêmio reside naquelas que são baratas </w:t>
      </w:r>
      <w:r>
        <w:rPr>
          <w:rFonts w:ascii="Times New Roman" w:hAnsi="Times New Roman"/>
          <w:i/>
          <w:sz w:val="24"/>
        </w:rPr>
        <w:t>apesar</w:t>
      </w:r>
      <w:r>
        <w:rPr>
          <w:rFonts w:ascii="Times New Roman" w:hAnsi="Times New Roman"/>
          <w:sz w:val="24"/>
        </w:rPr>
        <w:t xml:space="preserve"> de serem lucrativas (Fama &amp; French, 2015).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CMA (</w:t>
      </w:r>
      <w:r>
        <w:rPr>
          <w:rFonts w:ascii="Times New Roman" w:hAnsi="Times New Roman"/>
          <w:b/>
          <w:i/>
          <w:sz w:val="24"/>
        </w:rPr>
        <w:t>Conservative Minus Aggressive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O fator de </w:t>
      </w:r>
      <w:r>
        <w:rPr>
          <w:rFonts w:ascii="Times New Roman" w:hAnsi="Times New Roman"/>
          <w:b/>
          <w:sz w:val="24"/>
        </w:rPr>
        <w:t>Investimento</w:t>
      </w:r>
      <w:r>
        <w:rPr>
          <w:rFonts w:ascii="Times New Roman" w:hAnsi="Times New Roman"/>
          <w:sz w:val="24"/>
        </w:rPr>
        <w:t xml:space="preserve">. Representa o diferencial entre empresas que investem de forma conservadora (baixo crescimento de ativos) e aquelas que investem agressivamente. A teoria financeira corporativa e as Finanças Comportamentais convergem aqui: empresas que investem agressivamente ("construção de impérios" por CEOs excessivamente confiantes) tendem a ter retornos marginais decrescentes sobre o capital investido. O mercado penaliza esse </w:t>
      </w:r>
      <w:r>
        <w:rPr>
          <w:rFonts w:ascii="Times New Roman" w:hAnsi="Times New Roman"/>
          <w:i/>
          <w:sz w:val="24"/>
        </w:rPr>
        <w:t>overinvestment</w:t>
      </w:r>
      <w:r>
        <w:rPr>
          <w:rFonts w:ascii="Times New Roman" w:hAnsi="Times New Roman"/>
          <w:sz w:val="24"/>
        </w:rPr>
        <w:t xml:space="preserve"> com retornos menores. O prêmio CMA remunera a disciplina de capital (Fama &amp; French, 2015).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equação expandida do modelo FF5 é formalizada como: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R_it - R_ft = α_i + β_i * (R_Mt - R_ft) + s_i * SMB_t + h_i * HML_t + r_i * RMW_t + c_i * CMA_t + ε_it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4.3. O Sexto Elemento: Momentum (WML) e a Persistência da Irracionalidade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Embora Fama e French tenham inicialmente resistido à inclusão do fator Momentum (WML - </w:t>
      </w:r>
      <w:r>
        <w:rPr>
          <w:rFonts w:ascii="Times New Roman" w:hAnsi="Times New Roman"/>
          <w:i/>
          <w:sz w:val="24"/>
        </w:rPr>
        <w:t>Winners Minus Losers</w:t>
      </w:r>
      <w:r>
        <w:rPr>
          <w:rFonts w:ascii="Times New Roman" w:hAnsi="Times New Roman"/>
          <w:sz w:val="24"/>
        </w:rPr>
        <w:t>), argumentando que ele carecia de base teórica em risco fundamental, a evidência empírica de sua persistência tornou-se irrefutável. O Momentum, a tendência de ativos que performaram bem no passado recente (3-12 meses) continuarem a performar bem, é o desafio mais direto à Hipótese de Mercados Eficientes (Jegadeesh &amp; Titman, 1993).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Sua explicação é predominantemente comportamental: resulta de uma combinação de </w:t>
      </w:r>
      <w:r>
        <w:rPr>
          <w:rFonts w:ascii="Times New Roman" w:hAnsi="Times New Roman"/>
          <w:b/>
          <w:sz w:val="24"/>
        </w:rPr>
        <w:t>reação inicial insuficiente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underreaction</w:t>
      </w:r>
      <w:r>
        <w:rPr>
          <w:rFonts w:ascii="Times New Roman" w:hAnsi="Times New Roman"/>
          <w:sz w:val="24"/>
        </w:rPr>
        <w:t xml:space="preserve">) a novas informações positivas (devido ao viés de conservadorismo e ancoragem) seguida por uma </w:t>
      </w:r>
      <w:r>
        <w:rPr>
          <w:rFonts w:ascii="Times New Roman" w:hAnsi="Times New Roman"/>
          <w:b/>
          <w:sz w:val="24"/>
        </w:rPr>
        <w:t>reação exagerada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overreaction</w:t>
      </w:r>
      <w:r>
        <w:rPr>
          <w:rFonts w:ascii="Times New Roman" w:hAnsi="Times New Roman"/>
          <w:sz w:val="24"/>
        </w:rPr>
        <w:t>) tardia (devido ao comportamento de manada e medo de ficar de fora - FOMO). Embora não faça parte do FF5 canônico, o Momentum é frequentemente adicionado em modelos práticos (FF6) devido à sua correlação negativa com o fator Valor, oferecendo benefícios significativos de diversificação (Jegadeesh &amp; Titman, 1993).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Tabela 1: Taxonomia dos Fatores de Risco e suas Fundamentações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Fator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Definição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Fundamentação de Risco (Racional)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Fundamentação Comportamental (Irracional)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Mercado (MKT)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Beta x ERP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Compensação pelo risco sistemático da economia.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Tamanho (SMB)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Small - Big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Risco de iliquidez e vulnerabilidade a choques de crédito.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Preferência por ações "loteria" (skewness positiva) em Small Caps.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Valor (HML)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High B/M - Low B/M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Risco de falência (distress risk) e alavancagem operacional.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Overreaction a más notícias passadas; viés de representatividade.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Lucratividade (RMW)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Robust - Weak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Qualidade dos lucros e menor volatilidade de fluxo de caixa.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Subestimação da persistência dos lucros de empresas de qualidade.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Investimento (CMA)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Conservative - Aggressive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Retornos marginais decrescentes do investimento.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Penalização do "Empire Building" e excesso de confiança de CEOs.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Momentum (WML)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Winners - Losers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Risco de liquidez temporária? (Contestado).</w:t>
            </w:r>
          </w:p>
        </w:tc>
        <w:tc>
          <w:tcPr>
            <w:tcW w:type="dxa" w:w="235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Underreaction inicial (ancoragem) seguido de Herding.</w:t>
            </w:r>
          </w:p>
        </w:tc>
      </w:tr>
    </w:tbl>
    <w:p>
      <w:pPr>
        <w:spacing w:before="120"/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5. A Grande Síntese: O Modelo Black-Litterman como Framework Integrador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O ponto culminante desta atualização teórica é a aplicação do Modelo Black-Litterman (BL) como a "máquina de fusão" operacional. O BL não é apenas um otimizador; é um framework Bayesiano que resolve o problema central da "maximização de erros" da MPT tradicional, permitindo a integração coerente dos Fatores Fama-French (como o equilíbrio robusto) com as realidades comportamentais (através do tratamento da incerteza nas visões).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5.1. O Equilíbrio como "Prior" Bayesiano: A Conexão Fama-French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Na abordagem clássica, os retornos esperados (</w:t>
      </w:r>
      <w:r>
        <w:rPr>
          <w:rFonts w:ascii="Times New Roman" w:hAnsi="Times New Roman"/>
          <w:i/>
          <w:sz w:val="24"/>
        </w:rPr>
        <w:t>μ</w:t>
      </w:r>
      <w:r>
        <w:rPr>
          <w:rFonts w:ascii="Times New Roman" w:hAnsi="Times New Roman"/>
          <w:sz w:val="24"/>
        </w:rPr>
        <w:t xml:space="preserve">) são frequentemente estimados via médias históricas, que são ruidosas e instáveis. O BL substitui isso por um "Prior" Bayesiano: o </w:t>
      </w:r>
      <w:r>
        <w:rPr>
          <w:rFonts w:ascii="Times New Roman" w:hAnsi="Times New Roman"/>
          <w:b/>
          <w:sz w:val="24"/>
        </w:rPr>
        <w:t>Vetor de Retornos de Equilíbrio Implícitos ($\Pi$)</w:t>
      </w:r>
      <w:r>
        <w:rPr>
          <w:rFonts w:ascii="Times New Roman" w:hAnsi="Times New Roman"/>
          <w:sz w:val="24"/>
        </w:rPr>
        <w:t>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Tradicionalmente, o BL utiliza o CAPM para derivar </w:t>
      </w:r>
      <w:r>
        <w:rPr>
          <w:rFonts w:ascii="Times New Roman" w:hAnsi="Times New Roman"/>
          <w:i/>
          <w:sz w:val="24"/>
        </w:rPr>
        <w:t>Π</w:t>
      </w:r>
      <w:r>
        <w:rPr>
          <w:rFonts w:ascii="Times New Roman" w:hAnsi="Times New Roman"/>
          <w:sz w:val="24"/>
        </w:rPr>
        <w:t xml:space="preserve">. Contudo, na nossa estrutura atualizada, substituímos o CAPM pelos Fatores Fama-French. Assumimos que o "mercado neutro" precifica os ativos não apenas pelo Beta, mas pelas suas cargas nos cinco fatores. O retorno de equilíbrio </w:t>
      </w:r>
      <w:r>
        <w:rPr>
          <w:rFonts w:ascii="Times New Roman" w:hAnsi="Times New Roman"/>
          <w:i/>
          <w:sz w:val="24"/>
        </w:rPr>
        <w:t>Π</w:t>
      </w:r>
      <w:r>
        <w:rPr>
          <w:rFonts w:ascii="Times New Roman" w:hAnsi="Times New Roman"/>
          <w:sz w:val="24"/>
        </w:rPr>
        <w:t xml:space="preserve"> para um ativo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 xml:space="preserve"> é calculado somando-se os prêmios de risco dos fatores ponderados pelas exposições do ativo 32: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Π_i = β_MKT,i * λ_MKT + β_SMB,i * λ_SMB + β_HML,i * λ_HML + β_RMW,i * λ_RMW + β_CMA,i * λ_CMA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Onde: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i/>
          <w:sz w:val="24"/>
        </w:rPr>
        <w:t>β_{Fator,i}</w:t>
      </w:r>
      <w:r>
        <w:rPr>
          <w:rFonts w:ascii="Times New Roman" w:hAnsi="Times New Roman"/>
          <w:sz w:val="24"/>
        </w:rPr>
        <w:t xml:space="preserve"> são as sensibilidades do ativo aos fatores (obtidas via regressão de séries temporais).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i/>
          <w:sz w:val="24"/>
        </w:rPr>
        <w:t>λ_{Fator}</w:t>
      </w:r>
      <w:r>
        <w:rPr>
          <w:rFonts w:ascii="Times New Roman" w:hAnsi="Times New Roman"/>
          <w:sz w:val="24"/>
        </w:rPr>
        <w:t xml:space="preserve"> são os prêmios de risco esperados para cada fator (médias de longo prazo ou estimativas </w:t>
      </w:r>
      <w:r>
        <w:rPr>
          <w:rFonts w:ascii="Times New Roman" w:hAnsi="Times New Roman"/>
          <w:i/>
          <w:sz w:val="24"/>
        </w:rPr>
        <w:t>forward-looking</w:t>
      </w:r>
      <w:r>
        <w:rPr>
          <w:rFonts w:ascii="Times New Roman" w:hAnsi="Times New Roman"/>
          <w:sz w:val="24"/>
        </w:rPr>
        <w:t>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Este procedimento ancora o portfólio em um "centro de gravidade" economicamente robusto. Diferente da média histórica simples, o </w:t>
      </w:r>
      <w:r>
        <w:rPr>
          <w:rFonts w:ascii="Times New Roman" w:hAnsi="Times New Roman"/>
          <w:i/>
          <w:sz w:val="24"/>
        </w:rPr>
        <w:t>Π</w:t>
      </w:r>
      <w:r>
        <w:rPr>
          <w:rFonts w:ascii="Times New Roman" w:hAnsi="Times New Roman"/>
          <w:sz w:val="24"/>
        </w:rPr>
        <w:t xml:space="preserve"> derivado do FF5 incorpora décadas de pesquisa sobre o que </w:t>
      </w:r>
      <w:r>
        <w:rPr>
          <w:rFonts w:ascii="Times New Roman" w:hAnsi="Times New Roman"/>
          <w:i/>
          <w:sz w:val="24"/>
        </w:rPr>
        <w:t>deveria</w:t>
      </w:r>
      <w:r>
        <w:rPr>
          <w:rFonts w:ascii="Times New Roman" w:hAnsi="Times New Roman"/>
          <w:sz w:val="24"/>
        </w:rPr>
        <w:t xml:space="preserve"> ser o retorno justo de um ativo dadas as suas características fundamentais (Fama &amp; French, 1993).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5.2. A Incorporação de Visões (Likelihood) e as Matrizes P e Q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O BL permite que o investidor insira "Visões" subjetivas que se desviam desse equilíbrio. Isso é formalizado pela equação de estado: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P * E(R) = Q + ε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Matriz P (Identificação):</w:t>
      </w:r>
      <w:r>
        <w:rPr>
          <w:rFonts w:ascii="Times New Roman" w:hAnsi="Times New Roman"/>
          <w:sz w:val="24"/>
        </w:rPr>
        <w:t xml:space="preserve"> Uma matriz </w:t>
      </w:r>
      <w:r>
        <w:rPr>
          <w:rFonts w:ascii="Times New Roman" w:hAnsi="Times New Roman"/>
          <w:i/>
          <w:sz w:val="24"/>
        </w:rPr>
        <w:t>K \times N</w:t>
      </w:r>
      <w:r>
        <w:rPr>
          <w:rFonts w:ascii="Times New Roman" w:hAnsi="Times New Roman"/>
          <w:sz w:val="24"/>
        </w:rPr>
        <w:t xml:space="preserve"> que identifica quais ativos estão sujeitos a visões. Se o investidor tem uma visão sobre o fator Tamanho (SMB), a linha correspondente em P conteria pesos positivos para Small Caps e negativos para Large Caps (Idzorek, 2005).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Vetor Q (Magnitude):</w:t>
      </w:r>
      <w:r>
        <w:rPr>
          <w:rFonts w:ascii="Times New Roman" w:hAnsi="Times New Roman"/>
          <w:sz w:val="24"/>
        </w:rPr>
        <w:t xml:space="preserve"> Um vetor </w:t>
      </w:r>
      <w:r>
        <w:rPr>
          <w:rFonts w:ascii="Times New Roman" w:hAnsi="Times New Roman"/>
          <w:i/>
          <w:sz w:val="24"/>
        </w:rPr>
        <w:t>K \times 1</w:t>
      </w:r>
      <w:r>
        <w:rPr>
          <w:rFonts w:ascii="Times New Roman" w:hAnsi="Times New Roman"/>
          <w:sz w:val="24"/>
        </w:rPr>
        <w:t xml:space="preserve"> que expressa a magnitude da visão (ex: "Espero que Small Caps superem Large Caps em 2%"). Na nossa estrutura moderna, o vetor Q não precisa ser um "palpite". Ele pode ser alimentado por algoritmos de </w:t>
      </w:r>
      <w:r>
        <w:rPr>
          <w:rFonts w:ascii="Times New Roman" w:hAnsi="Times New Roman"/>
          <w:i/>
          <w:sz w:val="24"/>
        </w:rPr>
        <w:t>Machine Learning</w:t>
      </w:r>
      <w:r>
        <w:rPr>
          <w:rFonts w:ascii="Times New Roman" w:hAnsi="Times New Roman"/>
          <w:sz w:val="24"/>
        </w:rPr>
        <w:t>, como redes neurais LSTM (</w:t>
      </w:r>
      <w:r>
        <w:rPr>
          <w:rFonts w:ascii="Times New Roman" w:hAnsi="Times New Roman"/>
          <w:i/>
          <w:sz w:val="24"/>
        </w:rPr>
        <w:t>Long Short-Term Memory</w:t>
      </w:r>
      <w:r>
        <w:rPr>
          <w:rFonts w:ascii="Times New Roman" w:hAnsi="Times New Roman"/>
          <w:sz w:val="24"/>
        </w:rPr>
        <w:t>) ou modelos ARIMA, que detectam padrões não lineares nas séries temporais dos fatores, fornecendo visões quantitativas livres de viés emocional imediato (Yilmaz et al., 2023).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Termo de Erro $\epsilon$:</w:t>
      </w:r>
      <w:r>
        <w:rPr>
          <w:rFonts w:ascii="Times New Roman" w:hAnsi="Times New Roman"/>
          <w:sz w:val="24"/>
        </w:rPr>
        <w:t xml:space="preserve"> Um vetor gaussiano com média zero e covariância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>, representando a incerteza da visão.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5.3. A Calibração da Matriz Omega (**$\Omega$**) como Mitigação do Excesso de Confiança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inovação mais crítica na aplicação do BL sob a ótica das Finanças Comportamentais reside na calibração da </w:t>
      </w:r>
      <w:r>
        <w:rPr>
          <w:rFonts w:ascii="Times New Roman" w:hAnsi="Times New Roman"/>
          <w:b/>
          <w:sz w:val="24"/>
        </w:rPr>
        <w:t>Matriz de Incerteza ($\Omega$)</w:t>
      </w:r>
      <w:r>
        <w:rPr>
          <w:rFonts w:ascii="Times New Roman" w:hAnsi="Times New Roman"/>
          <w:sz w:val="24"/>
        </w:rPr>
        <w:t>. Esta matriz diagonal determina o quanto o modelo deve confiar nas visões do investidor em detrimento do equilíbrio de mercado.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O viés de </w:t>
      </w:r>
      <w:r>
        <w:rPr>
          <w:rFonts w:ascii="Times New Roman" w:hAnsi="Times New Roman"/>
          <w:b/>
          <w:sz w:val="24"/>
        </w:rPr>
        <w:t>Excesso de Confiança</w:t>
      </w:r>
      <w:r>
        <w:rPr>
          <w:rFonts w:ascii="Times New Roman" w:hAnsi="Times New Roman"/>
          <w:sz w:val="24"/>
        </w:rPr>
        <w:t xml:space="preserve"> leva os investidores a subestimar a variância de suas previsões (atribuindo </w:t>
      </w:r>
      <w:r>
        <w:rPr>
          <w:rFonts w:ascii="Times New Roman" w:hAnsi="Times New Roman"/>
          <w:i/>
          <w:sz w:val="24"/>
        </w:rPr>
        <w:t>\omega ≈ 0</w:t>
      </w:r>
      <w:r>
        <w:rPr>
          <w:rFonts w:ascii="Times New Roman" w:hAnsi="Times New Roman"/>
          <w:sz w:val="24"/>
        </w:rPr>
        <w:t>). Isso faria o modelo BL gerar alocações extremas, replicando a arrogância do investidor. Para "desenviesar" (</w:t>
      </w:r>
      <w:r>
        <w:rPr>
          <w:rFonts w:ascii="Times New Roman" w:hAnsi="Times New Roman"/>
          <w:i/>
          <w:sz w:val="24"/>
        </w:rPr>
        <w:t>de-bias</w:t>
      </w:r>
      <w:r>
        <w:rPr>
          <w:rFonts w:ascii="Times New Roman" w:hAnsi="Times New Roman"/>
          <w:sz w:val="24"/>
        </w:rPr>
        <w:t xml:space="preserve">) o portfólio, propõe-se a utilização do </w:t>
      </w:r>
      <w:r>
        <w:rPr>
          <w:rFonts w:ascii="Times New Roman" w:hAnsi="Times New Roman"/>
          <w:b/>
          <w:sz w:val="24"/>
        </w:rPr>
        <w:t>Método de Idzorek</w:t>
      </w:r>
      <w:r>
        <w:rPr>
          <w:rFonts w:ascii="Times New Roman" w:hAnsi="Times New Roman"/>
          <w:sz w:val="24"/>
        </w:rPr>
        <w:t xml:space="preserve"> (Idzorek, 2005).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O Método de Idzorek permite que o usuário especifique um "Nível de Confiança" intuitivo (ex: </w:t>
      </w:r>
      <w:r>
        <w:rPr>
          <w:rFonts w:ascii="Times New Roman" w:hAnsi="Times New Roman"/>
          <w:i/>
          <w:sz w:val="24"/>
        </w:rPr>
        <w:t>0\%</w:t>
      </w:r>
      <w:r>
        <w:rPr>
          <w:rFonts w:ascii="Times New Roman" w:hAnsi="Times New Roman"/>
          <w:sz w:val="24"/>
        </w:rPr>
        <w:t xml:space="preserve"> a </w:t>
      </w:r>
      <w:r>
        <w:rPr>
          <w:rFonts w:ascii="Times New Roman" w:hAnsi="Times New Roman"/>
          <w:i/>
          <w:sz w:val="24"/>
        </w:rPr>
        <w:t>100\%</w:t>
      </w:r>
      <w:r>
        <w:rPr>
          <w:rFonts w:ascii="Times New Roman" w:hAnsi="Times New Roman"/>
          <w:sz w:val="24"/>
        </w:rPr>
        <w:t xml:space="preserve">) para cada visão. O algoritmo converte matematicamente esse percentual na variância </w:t>
      </w:r>
      <w:r>
        <w:rPr>
          <w:rFonts w:ascii="Times New Roman" w:hAnsi="Times New Roman"/>
          <w:i/>
          <w:sz w:val="24"/>
        </w:rPr>
        <w:t>\omega</w:t>
      </w:r>
      <w:r>
        <w:rPr>
          <w:rFonts w:ascii="Times New Roman" w:hAnsi="Times New Roman"/>
          <w:sz w:val="24"/>
        </w:rPr>
        <w:t>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Se Confiança = 100% </w:t>
      </w:r>
      <w:r>
        <w:rPr>
          <w:rFonts w:ascii="Times New Roman" w:hAnsi="Times New Roman"/>
          <w:i/>
          <w:sz w:val="24"/>
        </w:rPr>
        <w:t>\rightarrow \omega ≈ 0</w:t>
      </w:r>
      <w:r>
        <w:rPr>
          <w:rFonts w:ascii="Times New Roman" w:hAnsi="Times New Roman"/>
          <w:sz w:val="24"/>
        </w:rPr>
        <w:t>: O modelo ignora o equilíbrio e aposta tudo na visão (comportamento de excesso de confiança).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Se Confiança = 0% </w:t>
      </w:r>
      <w:r>
        <w:rPr>
          <w:rFonts w:ascii="Times New Roman" w:hAnsi="Times New Roman"/>
          <w:i/>
          <w:sz w:val="24"/>
        </w:rPr>
        <w:t>\rightarrow \omega \rightarrow \infty</w:t>
      </w:r>
      <w:r>
        <w:rPr>
          <w:rFonts w:ascii="Times New Roman" w:hAnsi="Times New Roman"/>
          <w:sz w:val="24"/>
        </w:rPr>
        <w:t>: O modelo ignora a visão e adere estritamente ao portfólio de equilíbrio Fama-French (comportamento passivo).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Insight de Aplicação Prática:</w:t>
      </w:r>
      <w:r>
        <w:rPr>
          <w:rFonts w:ascii="Times New Roman" w:hAnsi="Times New Roman"/>
          <w:sz w:val="24"/>
        </w:rPr>
        <w:t xml:space="preserve"> Um sistema robusto de gestão de risco deve calibrar esse nível de confiança baseando-se no </w:t>
      </w:r>
      <w:r>
        <w:rPr>
          <w:rFonts w:ascii="Times New Roman" w:hAnsi="Times New Roman"/>
          <w:i/>
          <w:sz w:val="24"/>
        </w:rPr>
        <w:t>track record</w:t>
      </w:r>
      <w:r>
        <w:rPr>
          <w:rFonts w:ascii="Times New Roman" w:hAnsi="Times New Roman"/>
          <w:sz w:val="24"/>
        </w:rPr>
        <w:t xml:space="preserve"> histórico do analista ou do modelo de ML. Se a precisão histórica das previsões for baixa, o sistema deve impor um "teto de confiança" (ex: máx 50%), forçando matematicamente a matriz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 xml:space="preserve"> a ser maior. Isso atua como um freio automático contra o viés de excesso de confiança, garantindo que o portfólio nunca se desvie perigosamente dos fundamentos de longo prazo (Equilíbrio FF5) baseando-se em previsões de curto prazo falíveis (Lund University, 2025).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5.4. O Vetor Posterior e a Otimização Final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A síntese Bayesiana final combina o </w:t>
      </w:r>
      <w:r>
        <w:rPr>
          <w:rFonts w:ascii="Times New Roman" w:hAnsi="Times New Roman"/>
          <w:i/>
          <w:sz w:val="24"/>
        </w:rPr>
        <w:t>Prior</w:t>
      </w:r>
      <w:r>
        <w:rPr>
          <w:rFonts w:ascii="Times New Roman" w:hAnsi="Times New Roman"/>
          <w:sz w:val="24"/>
        </w:rPr>
        <w:t xml:space="preserve"> (Equilíbrio Fama-French) com a </w:t>
      </w:r>
      <w:r>
        <w:rPr>
          <w:rFonts w:ascii="Times New Roman" w:hAnsi="Times New Roman"/>
          <w:i/>
          <w:sz w:val="24"/>
        </w:rPr>
        <w:t>Likelihood</w:t>
      </w:r>
      <w:r>
        <w:rPr>
          <w:rFonts w:ascii="Times New Roman" w:hAnsi="Times New Roman"/>
          <w:sz w:val="24"/>
        </w:rPr>
        <w:t xml:space="preserve"> (Visões ajustadas pela confiança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 xml:space="preserve">) para gerar a distribuição </w:t>
      </w:r>
      <w:r>
        <w:rPr>
          <w:rFonts w:ascii="Times New Roman" w:hAnsi="Times New Roman"/>
          <w:i/>
          <w:sz w:val="24"/>
        </w:rPr>
        <w:t>Posterior</w:t>
      </w:r>
      <w:r>
        <w:rPr>
          <w:rFonts w:ascii="Times New Roman" w:hAnsi="Times New Roman"/>
          <w:sz w:val="24"/>
        </w:rPr>
        <w:t xml:space="preserve"> dos retornos esperados (</w:t>
      </w:r>
      <w:r>
        <w:rPr>
          <w:rFonts w:ascii="Times New Roman" w:hAnsi="Times New Roman"/>
          <w:i/>
          <w:sz w:val="24"/>
        </w:rPr>
        <w:t>μ_{BL}</w:t>
      </w:r>
      <w:r>
        <w:rPr>
          <w:rFonts w:ascii="Times New Roman" w:hAnsi="Times New Roman"/>
          <w:sz w:val="24"/>
        </w:rPr>
        <w:t>):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μ_BL = [(τ * Σ)⁻¹ + Pᵀ * Ω⁻¹ * P]⁻¹ * [(τ * Σ)⁻¹ * Π + Pᵀ * Ω⁻¹ * Q]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Este vetor </w:t>
      </w:r>
      <w:r>
        <w:rPr>
          <w:rFonts w:ascii="Times New Roman" w:hAnsi="Times New Roman"/>
          <w:i/>
          <w:sz w:val="24"/>
        </w:rPr>
        <w:t>μ_{BL}</w:t>
      </w:r>
      <w:r>
        <w:rPr>
          <w:rFonts w:ascii="Times New Roman" w:hAnsi="Times New Roman"/>
          <w:sz w:val="24"/>
        </w:rPr>
        <w:t xml:space="preserve"> representa o estado da arte da estimativa de retornos: ele é ancorado na teoria econômica robusta (FF5), enriquecido por sinais ativos (ML/Analistas), e protegido contra vieses comportamentais (via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 xml:space="preserve">). Finalmente, este vetor deve ser utilizado em um otimizador que respeite a PMPT, maximizando o </w:t>
      </w:r>
      <w:r>
        <w:rPr>
          <w:rFonts w:ascii="Times New Roman" w:hAnsi="Times New Roman"/>
          <w:b/>
          <w:sz w:val="24"/>
        </w:rPr>
        <w:t>Índice de Sortino</w:t>
      </w:r>
      <w:r>
        <w:rPr>
          <w:rFonts w:ascii="Times New Roman" w:hAnsi="Times New Roman"/>
          <w:sz w:val="24"/>
        </w:rPr>
        <w:t xml:space="preserve"> ou uma função de utilidade baseada em </w:t>
      </w:r>
      <w:r>
        <w:rPr>
          <w:rFonts w:ascii="Times New Roman" w:hAnsi="Times New Roman"/>
          <w:b/>
          <w:sz w:val="24"/>
        </w:rPr>
        <w:t>LPM</w:t>
      </w:r>
      <w:r>
        <w:rPr>
          <w:rFonts w:ascii="Times New Roman" w:hAnsi="Times New Roman"/>
          <w:sz w:val="24"/>
        </w:rPr>
        <w:t>, fechando o ciclo teórico entre a definição de risco, a precificação de ativos e a construção de portfólio (Rom &amp; Ferguson, 1994).</w:t>
      </w: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sz w:val="28"/>
        </w:rPr>
        <w:t>6. Conclusão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 atualização da estrutura teórica financeira apresentada neste relatório não é um mero exercício acadêmico, mas uma resposta pragmática às falhas expostas pelas crises de mercado e pela compreensão moderna da psicologia humana.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Ao abandonarmos a ingenuidade da MPT clássica, adotamos um realismo estruturado em três pilares: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Redefinição de Risco:</w:t>
      </w:r>
      <w:r>
        <w:rPr>
          <w:rFonts w:ascii="Times New Roman" w:hAnsi="Times New Roman"/>
          <w:sz w:val="24"/>
        </w:rPr>
        <w:t xml:space="preserve"> Substituímos a variância pela </w:t>
      </w:r>
      <w:r>
        <w:rPr>
          <w:rFonts w:ascii="Times New Roman" w:hAnsi="Times New Roman"/>
          <w:b/>
          <w:sz w:val="24"/>
        </w:rPr>
        <w:t>Perda/LPM</w:t>
      </w:r>
      <w:r>
        <w:rPr>
          <w:rFonts w:ascii="Times New Roman" w:hAnsi="Times New Roman"/>
          <w:sz w:val="24"/>
        </w:rPr>
        <w:t>, reconhecendo a aversão à perda e a assimetria das preferências humanas (PMPT).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Multidimensionalidade:</w:t>
      </w:r>
      <w:r>
        <w:rPr>
          <w:rFonts w:ascii="Times New Roman" w:hAnsi="Times New Roman"/>
          <w:sz w:val="24"/>
        </w:rPr>
        <w:t xml:space="preserve"> Substituímos o CAPM pelos </w:t>
      </w:r>
      <w:r>
        <w:rPr>
          <w:rFonts w:ascii="Times New Roman" w:hAnsi="Times New Roman"/>
          <w:b/>
          <w:sz w:val="24"/>
        </w:rPr>
        <w:t>Fatores Fama-French (FF5)</w:t>
      </w:r>
      <w:r>
        <w:rPr>
          <w:rFonts w:ascii="Times New Roman" w:hAnsi="Times New Roman"/>
          <w:sz w:val="24"/>
        </w:rPr>
        <w:t>, capturando as fontes reais e multifacetadas de prêmio de risco (Valor, Tamanho, Qualidade, Investimento) que operam nos mercados reais.</w:t>
      </w:r>
    </w:p>
    <w:p>
      <w:pPr>
        <w:spacing w:after="120" w:line="360" w:lineRule="auto"/>
        <w:ind w:left="360"/>
        <w:jc w:val="both"/>
      </w:pPr>
      <w:r>
        <w:rPr>
          <w:rFonts w:ascii="Times New Roman" w:hAnsi="Times New Roman"/>
          <w:b/>
          <w:sz w:val="24"/>
        </w:rPr>
        <w:t>Síntese Bayesiana:</w:t>
      </w:r>
      <w:r>
        <w:rPr>
          <w:rFonts w:ascii="Times New Roman" w:hAnsi="Times New Roman"/>
          <w:sz w:val="24"/>
        </w:rPr>
        <w:t xml:space="preserve"> Utilizamos o </w:t>
      </w:r>
      <w:r>
        <w:rPr>
          <w:rFonts w:ascii="Times New Roman" w:hAnsi="Times New Roman"/>
          <w:b/>
          <w:sz w:val="24"/>
        </w:rPr>
        <w:t>Modelo Black-Litterman</w:t>
      </w:r>
      <w:r>
        <w:rPr>
          <w:rFonts w:ascii="Times New Roman" w:hAnsi="Times New Roman"/>
          <w:sz w:val="24"/>
        </w:rPr>
        <w:t xml:space="preserve"> como o mecanismo integrador. Ele ancora o portfólio na robustez dos fatores (o </w:t>
      </w:r>
      <w:r>
        <w:rPr>
          <w:rFonts w:ascii="Times New Roman" w:hAnsi="Times New Roman"/>
          <w:i/>
          <w:sz w:val="24"/>
        </w:rPr>
        <w:t>Prior</w:t>
      </w:r>
      <w:r>
        <w:rPr>
          <w:rFonts w:ascii="Times New Roman" w:hAnsi="Times New Roman"/>
          <w:sz w:val="24"/>
        </w:rPr>
        <w:t xml:space="preserve">) enquanto permite a expressão de inteligência ativa. Crucialmente, através da calibração da matriz 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 xml:space="preserve"> via método de Idzorek, o modelo quantifica e neutraliza o viés de excesso de confiança, protegendo o investidor de sua própria psicologia.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Este arcabouço integrado oferece ao gestor moderno a armadura teórica necessária para navegar na incerteza, equilibrando a disciplina quantitativa dos fatores com a compreensão sutil e necessária do comportamento humano.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Tabela 2: Comparativo Estrutural - Da MPT Clássica à PMPT Integrada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Dimensão Analítica</w:t>
            </w:r>
          </w:p>
        </w:tc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Paradigma Clássico (MPT/CAPM)</w:t>
            </w:r>
          </w:p>
        </w:tc>
        <w:tc>
          <w:tcPr>
            <w:tcW w:type="dxa" w:w="3134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Paradigma Atualizado (PMPT/FF5/BL)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Medida de Risco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Variância / Desvio-Padrão (Simétrico)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LPM / Semivariância / CVaR (Assimétrico)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Métrica de Performance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Índice de Sharpe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Índice de Sortino / Índice Omega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Drivers de Retorno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Beta de Mercado (Fator Único)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Fama-French 5 Fatores (MKT, SMB, HML, RMW, CMA)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Previsão de Retorno ($\mu$)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Média Histórica (Instável e Ruidosa)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Black-Litterman Posterior (Equilíbrio + Visões)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Papel do Investidor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Racional (Homo Economicus)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Normal (Sujeito a Vieses e Aversão à Perda)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Tratamento de Vieses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Ignorados (Assumidos Inexistentes)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Mitigados Quantitativamente (Matriz $\Omega$ e Idzorek)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Objetivo da Otimização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Maximizar Utilidade Quadrática</w:t>
            </w:r>
          </w:p>
        </w:tc>
        <w:tc>
          <w:tcPr>
            <w:tcW w:type="dxa" w:w="3134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sz w:val="20"/>
              </w:rPr>
              <w:t>Maximizar Retorno Ajustado ao Risco de Downside</w:t>
            </w:r>
          </w:p>
        </w:tc>
      </w:tr>
    </w:tbl>
    <w:p>
      <w:pPr>
        <w:spacing w:before="120"/>
      </w:pP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>Citações Utilizadas no Relatório: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>35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Referências citadas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BANZ, Rolf W. The relationship between return and market value of common stocks. </w:t>
      </w:r>
      <w:r>
        <w:rPr>
          <w:rFonts w:ascii="Times New Roman" w:hAnsi="Times New Roman"/>
          <w:b/>
          <w:sz w:val="24"/>
        </w:rPr>
        <w:t>Journal of Financial Economics</w:t>
      </w:r>
      <w:r>
        <w:rPr>
          <w:rFonts w:ascii="Times New Roman" w:hAnsi="Times New Roman"/>
          <w:sz w:val="24"/>
        </w:rPr>
        <w:t>, Amsterdam, v. 9, n. 1, p. 3-18, mar. 1981.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BARBER, Brad M.; ODEAN, Terrance. Boys will be boys: gender, overconfidence, and common stock investment. </w:t>
      </w:r>
      <w:r>
        <w:rPr>
          <w:rFonts w:ascii="Times New Roman" w:hAnsi="Times New Roman"/>
          <w:b/>
          <w:sz w:val="24"/>
        </w:rPr>
        <w:t>The Quarterly Journal of Economics</w:t>
      </w:r>
      <w:r>
        <w:rPr>
          <w:rFonts w:ascii="Times New Roman" w:hAnsi="Times New Roman"/>
          <w:sz w:val="24"/>
        </w:rPr>
        <w:t>, Oxford, v. 116, n. 1, p. 261-292, fev. 2001.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BASU, Sanjoy. Investment performance of common stocks in relation to their price-earnings ratios: a test of the efficient market hypothesis. </w:t>
      </w:r>
      <w:r>
        <w:rPr>
          <w:rFonts w:ascii="Times New Roman" w:hAnsi="Times New Roman"/>
          <w:b/>
          <w:sz w:val="24"/>
        </w:rPr>
        <w:t>The Journal of Finance</w:t>
      </w:r>
      <w:r>
        <w:rPr>
          <w:rFonts w:ascii="Times New Roman" w:hAnsi="Times New Roman"/>
          <w:sz w:val="24"/>
        </w:rPr>
        <w:t>, Hoboken, v. 32, n. 3, p. 663-682, jun. 1977.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BLACK, Fischer; LITTERMAN, Robert. Global portfolio optimization. </w:t>
      </w:r>
      <w:r>
        <w:rPr>
          <w:rFonts w:ascii="Times New Roman" w:hAnsi="Times New Roman"/>
          <w:b/>
          <w:sz w:val="24"/>
        </w:rPr>
        <w:t>Financial Analysts Journal</w:t>
      </w:r>
      <w:r>
        <w:rPr>
          <w:rFonts w:ascii="Times New Roman" w:hAnsi="Times New Roman"/>
          <w:sz w:val="24"/>
        </w:rPr>
        <w:t>, Charlottesville, v. 48, n. 5, p. 28-43, set./out. 1992.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FAMA, Eugene F.; FRENCH, Kenneth R. A five-factor asset pricing model. </w:t>
      </w:r>
      <w:r>
        <w:rPr>
          <w:rFonts w:ascii="Times New Roman" w:hAnsi="Times New Roman"/>
          <w:b/>
          <w:sz w:val="24"/>
        </w:rPr>
        <w:t>Journal of Financial Economics</w:t>
      </w:r>
      <w:r>
        <w:rPr>
          <w:rFonts w:ascii="Times New Roman" w:hAnsi="Times New Roman"/>
          <w:sz w:val="24"/>
        </w:rPr>
        <w:t>, Amsterdam, v. 116, n. 1, p. 1-22, abr. 2015.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FAMA, Eugene F.; FRENCH, Kenneth R. Common risk factors in the returns on stocks and bonds. </w:t>
      </w:r>
      <w:r>
        <w:rPr>
          <w:rFonts w:ascii="Times New Roman" w:hAnsi="Times New Roman"/>
          <w:b/>
          <w:sz w:val="24"/>
        </w:rPr>
        <w:t>Journal of Financial Economics</w:t>
      </w:r>
      <w:r>
        <w:rPr>
          <w:rFonts w:ascii="Times New Roman" w:hAnsi="Times New Roman"/>
          <w:sz w:val="24"/>
        </w:rPr>
        <w:t>, Amsterdam, v. 33, n. 1, p. 3-56, fev. 1993.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IDZOREK, Thomas M. </w:t>
      </w:r>
      <w:r>
        <w:rPr>
          <w:rFonts w:ascii="Times New Roman" w:hAnsi="Times New Roman"/>
          <w:b/>
          <w:sz w:val="24"/>
        </w:rPr>
        <w:t>A Step-by-Step Guide to the Black-Litterman Model: Incorporating User-Specified Confidence Levels</w:t>
      </w:r>
      <w:r>
        <w:rPr>
          <w:rFonts w:ascii="Times New Roman" w:hAnsi="Times New Roman"/>
          <w:sz w:val="24"/>
        </w:rPr>
        <w:t>. Chicago: Ibbotson Associates, 2005. Disponível em: &lt;https://people.duke.edu/~charvey/Teaching/BA453_2006/Idzorek_onBL.pdf&gt;. Acesso em: 19 nov. 2025.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JEGADEESH, Narasimhan; TITMAN, Sheridan. Returns to buying winners and selling losers: implications for stock market efficiency. </w:t>
      </w:r>
      <w:r>
        <w:rPr>
          <w:rFonts w:ascii="Times New Roman" w:hAnsi="Times New Roman"/>
          <w:b/>
          <w:sz w:val="24"/>
        </w:rPr>
        <w:t>The Journal of Finance</w:t>
      </w:r>
      <w:r>
        <w:rPr>
          <w:rFonts w:ascii="Times New Roman" w:hAnsi="Times New Roman"/>
          <w:sz w:val="24"/>
        </w:rPr>
        <w:t>, Hoboken, v. 48, n. 1, p. 65-91, mar. 1993.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KAHNEMAN, Daniel; TVERSKY, Amos. Prospect theory: an analysis of decision under risk. </w:t>
      </w:r>
      <w:r>
        <w:rPr>
          <w:rFonts w:ascii="Times New Roman" w:hAnsi="Times New Roman"/>
          <w:b/>
          <w:sz w:val="24"/>
        </w:rPr>
        <w:t>Econometrica</w:t>
      </w:r>
      <w:r>
        <w:rPr>
          <w:rFonts w:ascii="Times New Roman" w:hAnsi="Times New Roman"/>
          <w:sz w:val="24"/>
        </w:rPr>
        <w:t>, Hoboken, v. 47, n. 2, p. 263-292, mar. 1979.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LAKONISHOK, Josef; SHLEIFER, Andrei; VISHNY, Robert W. Contrarian investment, extrapolation, and risk. </w:t>
      </w:r>
      <w:r>
        <w:rPr>
          <w:rFonts w:ascii="Times New Roman" w:hAnsi="Times New Roman"/>
          <w:b/>
          <w:sz w:val="24"/>
        </w:rPr>
        <w:t>The Journal of Finance</w:t>
      </w:r>
      <w:r>
        <w:rPr>
          <w:rFonts w:ascii="Times New Roman" w:hAnsi="Times New Roman"/>
          <w:sz w:val="24"/>
        </w:rPr>
        <w:t>, Hoboken, v. 49, n. 5, p. 1541-1578, dez. 1994.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sz w:val="24"/>
        </w:rPr>
        <w:t xml:space="preserve">LUND UNIVERSITY. </w:t>
      </w:r>
      <w:r>
        <w:rPr>
          <w:rFonts w:ascii="Times New Roman" w:hAnsi="Times New Roman"/>
          <w:b/>
          <w:sz w:val="24"/>
        </w:rPr>
        <w:t>The Black-Litterman Model: An Investigation of Confidence</w:t>
      </w:r>
      <w:r>
        <w:rPr>
          <w:rFonts w:ascii="Times New Roman" w:hAnsi="Times New Roman"/>
          <w:sz w:val="24"/>
        </w:rPr>
        <w:t>. Lund: Lund University Publications, 2025. Disponível em: &lt;https://lup.lub.lu.se/&gt;. Acesso em: 19 nov. 2025.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MARKOWITZ, Harry. Portfolio selection. </w:t>
      </w:r>
      <w:r>
        <w:rPr>
          <w:rFonts w:ascii="Times New Roman" w:hAnsi="Times New Roman"/>
          <w:b/>
          <w:sz w:val="24"/>
        </w:rPr>
        <w:t>The Journal of Finance</w:t>
      </w:r>
      <w:r>
        <w:rPr>
          <w:rFonts w:ascii="Times New Roman" w:hAnsi="Times New Roman"/>
          <w:sz w:val="24"/>
        </w:rPr>
        <w:t>, Hoboken, v. 7, n. 1, p. 77-91, mar. 1952.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MICHAUD, Richard O. The Markowitz optimization enigma: is 'optimized' optimal? </w:t>
      </w:r>
      <w:r>
        <w:rPr>
          <w:rFonts w:ascii="Times New Roman" w:hAnsi="Times New Roman"/>
          <w:b/>
          <w:sz w:val="24"/>
        </w:rPr>
        <w:t>Financial Analysts Journal</w:t>
      </w:r>
      <w:r>
        <w:rPr>
          <w:rFonts w:ascii="Times New Roman" w:hAnsi="Times New Roman"/>
          <w:sz w:val="24"/>
        </w:rPr>
        <w:t>, Charlottesville, v. 45, n. 1, p. 31-42, jan./fev. 1989.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NOFSINGER, John R.; SIAS, Richard W. Herding and feedback trading by institutional and individual investors. </w:t>
      </w:r>
      <w:r>
        <w:rPr>
          <w:rFonts w:ascii="Times New Roman" w:hAnsi="Times New Roman"/>
          <w:b/>
          <w:sz w:val="24"/>
        </w:rPr>
        <w:t>The Journal of Finance</w:t>
      </w:r>
      <w:r>
        <w:rPr>
          <w:rFonts w:ascii="Times New Roman" w:hAnsi="Times New Roman"/>
          <w:sz w:val="24"/>
        </w:rPr>
        <w:t>, Hoboken, v. 54, n. 6, p. 2263-2295, dez. 1999.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ROM, Brian M.; FERGUSON, Kathleen W. Post-modern portfolio theory comes of age. </w:t>
      </w:r>
      <w:r>
        <w:rPr>
          <w:rFonts w:ascii="Times New Roman" w:hAnsi="Times New Roman"/>
          <w:b/>
          <w:sz w:val="24"/>
        </w:rPr>
        <w:t>The Journal of Investing</w:t>
      </w:r>
      <w:r>
        <w:rPr>
          <w:rFonts w:ascii="Times New Roman" w:hAnsi="Times New Roman"/>
          <w:sz w:val="24"/>
        </w:rPr>
        <w:t>, New York, v. 3, n. 3, p. 11-17, out. 1994.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RONCALLI, Thierry. </w:t>
      </w:r>
      <w:r>
        <w:rPr>
          <w:rFonts w:ascii="Times New Roman" w:hAnsi="Times New Roman"/>
          <w:b/>
          <w:sz w:val="24"/>
        </w:rPr>
        <w:t>Risk Factor, Risk Premium and Black-Litterman Model</w:t>
      </w:r>
      <w:r>
        <w:rPr>
          <w:rFonts w:ascii="Times New Roman" w:hAnsi="Times New Roman"/>
          <w:sz w:val="24"/>
        </w:rPr>
        <w:t>. Paris: Thierry Roncalli's Research Notes, 2025. Disponível em: &lt;http://www.thierry-roncalli.com/&gt;. Acesso em: 19 nov. 2025.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SORTINO, Frank A.; PRICE, Lee N. Performance measurement in a downside risk framework. </w:t>
      </w:r>
      <w:r>
        <w:rPr>
          <w:rFonts w:ascii="Times New Roman" w:hAnsi="Times New Roman"/>
          <w:b/>
          <w:sz w:val="24"/>
        </w:rPr>
        <w:t>The Journal of Investing</w:t>
      </w:r>
      <w:r>
        <w:rPr>
          <w:rFonts w:ascii="Times New Roman" w:hAnsi="Times New Roman"/>
          <w:sz w:val="24"/>
        </w:rPr>
        <w:t>, New York, v. 3, n. 3, p. 59-64, out. 1994.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THALER, Richard H. Mental accounting matters. </w:t>
      </w:r>
      <w:r>
        <w:rPr>
          <w:rFonts w:ascii="Times New Roman" w:hAnsi="Times New Roman"/>
          <w:b/>
          <w:sz w:val="24"/>
        </w:rPr>
        <w:t>Journal of Behavioral Decision Making</w:t>
      </w:r>
      <w:r>
        <w:rPr>
          <w:rFonts w:ascii="Times New Roman" w:hAnsi="Times New Roman"/>
          <w:sz w:val="24"/>
        </w:rPr>
        <w:t>, Chichester, v. 12, n. 3, p. 183-206, jul. 1999.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TVERSKY, Amos; KAHNEMAN, Daniel. Judgment under uncertainty: heuristics and biases. </w:t>
      </w:r>
      <w:r>
        <w:rPr>
          <w:rFonts w:ascii="Times New Roman" w:hAnsi="Times New Roman"/>
          <w:b/>
          <w:sz w:val="24"/>
        </w:rPr>
        <w:t>Science</w:t>
      </w:r>
      <w:r>
        <w:rPr>
          <w:rFonts w:ascii="Times New Roman" w:hAnsi="Times New Roman"/>
          <w:sz w:val="24"/>
        </w:rPr>
        <w:t>, Washington, v. 185, n. 4157, p. 1124-1131, set. 1974.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24"/>
        </w:rPr>
        <w:t xml:space="preserve">YILMAZ, Tuncay et al. Investment portfolio optimization: integrating portfolio allocation methods with RNN LSTM. In: </w:t>
      </w:r>
      <w:r>
        <w:rPr>
          <w:rFonts w:ascii="Times New Roman" w:hAnsi="Times New Roman"/>
          <w:b/>
          <w:sz w:val="24"/>
        </w:rPr>
        <w:t>IEEE International Conference on Data Mining (ICDM)</w:t>
      </w:r>
      <w:r>
        <w:rPr>
          <w:rFonts w:ascii="Times New Roman" w:hAnsi="Times New Roman"/>
          <w:sz w:val="24"/>
        </w:rPr>
        <w:t xml:space="preserve">, 2023. </w:t>
      </w:r>
      <w:r>
        <w:rPr>
          <w:rFonts w:ascii="Times New Roman" w:hAnsi="Times New Roman"/>
          <w:b/>
          <w:sz w:val="24"/>
        </w:rPr>
        <w:t>Proceedings...</w:t>
      </w:r>
      <w:r>
        <w:rPr>
          <w:rFonts w:ascii="Times New Roman" w:hAnsi="Times New Roman"/>
          <w:sz w:val="24"/>
        </w:rPr>
        <w:t xml:space="preserve"> IEEE, 2023. Disponível em: &lt;https://ieeexplore.ieee.org/document/10317711/&gt;. Acesso em: 19 nov. 2025.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