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B5D" w:rsidRDefault="00CE17BC">
      <w:pPr>
        <w:spacing w:after="60"/>
        <w:jc w:val="center"/>
      </w:pPr>
      <w:bookmarkStart w:id="0" w:name="_GoBack"/>
      <w:bookmarkEnd w:id="0"/>
      <w:r>
        <w:rPr>
          <w:b/>
          <w:bCs/>
          <w:color w:val="1F3864"/>
          <w:sz w:val="34"/>
          <w:szCs w:val="34"/>
        </w:rPr>
        <w:t>PARECER TÉCNICO DE ORIENTAÇÃO</w:t>
      </w:r>
    </w:p>
    <w:p w:rsidR="00982B5D" w:rsidRDefault="00CE17BC">
      <w:pPr>
        <w:spacing w:after="60"/>
        <w:jc w:val="center"/>
      </w:pPr>
      <w:r>
        <w:rPr>
          <w:color w:val="595959"/>
          <w:sz w:val="22"/>
          <w:szCs w:val="22"/>
        </w:rPr>
        <w:t>Avaliação rigorosa (padrão Qualis A1) para revisão do TCC</w:t>
      </w:r>
    </w:p>
    <w:p w:rsidR="00982B5D" w:rsidRDefault="00CE17BC">
      <w:pPr>
        <w:spacing w:after="20"/>
        <w:jc w:val="center"/>
      </w:pPr>
      <w:r>
        <w:rPr>
          <w:i/>
          <w:iCs/>
          <w:sz w:val="20"/>
          <w:szCs w:val="20"/>
        </w:rPr>
        <w:t>“Moderna Teoria das Carteiras no Mercado de Ações Brasileiro: Comparação entre Otimizadores e Inputs”</w:t>
      </w:r>
    </w:p>
    <w:p w:rsidR="00982B5D" w:rsidRDefault="00CE17BC">
      <w:pPr>
        <w:spacing w:after="240"/>
        <w:jc w:val="center"/>
      </w:pPr>
      <w:r>
        <w:rPr>
          <w:color w:val="808080"/>
          <w:sz w:val="18"/>
          <w:szCs w:val="18"/>
        </w:rPr>
        <w:t>Pedro Augusto Pinheiro Reis · Ciências Contábeis · UFG</w:t>
      </w:r>
    </w:p>
    <w:p w:rsidR="00982B5D" w:rsidRDefault="00CE17BC">
      <w:pPr>
        <w:spacing w:after="120" w:line="276" w:lineRule="auto"/>
        <w:jc w:val="both"/>
      </w:pPr>
      <w:r>
        <w:rPr>
          <w:i/>
          <w:iCs/>
          <w:color w:val="595959"/>
        </w:rPr>
        <w:t>Este parecer é deliberadamente severo e sem complacência, como você pediu. O objetivo não é desqualificar o trabalho — que tem mérito real e ambição teórica acima da média de um TCC de graduação — mas apontar, com franqueza de banca exigente, tudo o que im</w:t>
      </w:r>
      <w:r>
        <w:rPr>
          <w:i/>
          <w:iCs/>
          <w:color w:val="595959"/>
        </w:rPr>
        <w:t>pede a aprovação no estado atual e o que separa este texto de um trabalho efetivamente A1. Leia a Seção 1 (veredito) e a Seção 8 (roteiro priorizado) primeiro; o miolo é o detalhamento item a item.</w:t>
      </w:r>
    </w:p>
    <w:p w:rsidR="00982B5D" w:rsidRDefault="00CE17BC">
      <w:pPr>
        <w:pStyle w:val="Ttulo1"/>
      </w:pPr>
      <w:r>
        <w:t>1. Veredito geral</w:t>
      </w:r>
    </w:p>
    <w:p w:rsidR="00982B5D" w:rsidRDefault="00CE17BC">
      <w:pPr>
        <w:spacing w:after="120" w:line="276" w:lineRule="auto"/>
        <w:jc w:val="both"/>
      </w:pPr>
      <w:r>
        <w:t xml:space="preserve">Em sua forma atual, o trabalho NÃO está </w:t>
      </w:r>
      <w:r>
        <w:t>pronto para defesa nem para aprovação. Não por falta de conteúdo — o referencial é extenso e a ambição metodológica é legítima — mas porque o núcleo empírico está incompleto e internamente contraditório, e porque a tese central repousa sobre resultados que</w:t>
      </w:r>
      <w:r>
        <w:t xml:space="preserve"> o próprio autor admite estarem contaminados por erros de implementação.</w:t>
      </w:r>
    </w:p>
    <w:p w:rsidR="00982B5D" w:rsidRDefault="00CE17BC">
      <w:pPr>
        <w:spacing w:after="60" w:line="276" w:lineRule="auto"/>
        <w:jc w:val="both"/>
      </w:pPr>
      <w:r>
        <w:t>Há três classes de problema, em ordem de gravidade: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C00000"/>
        </w:rPr>
        <w:t xml:space="preserve">Bloqueadores absolutos (impedem a defesa): </w:t>
      </w:r>
      <w:r>
        <w:t>tabelas de resultado incompletas; comparação feita sobre períodos diferentes; bug de esc</w:t>
      </w:r>
      <w:r>
        <w:t>ala no Black-Litterman; amostra com quatro tamanhos diferentes no texto.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C55A11"/>
        </w:rPr>
        <w:t xml:space="preserve">Descasamento teoria–método–resultado: </w:t>
      </w:r>
      <w:r>
        <w:t>o referencial dedica ~15 páginas a CVaR/Sortino/Omega e o experimento nunca implementa um otimizador de CVaR nem de Sortino; o resumo e a introdu</w:t>
      </w:r>
      <w:r>
        <w:t>ção prometem ARIMA, que não existe na metodologia.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BF8F00"/>
        </w:rPr>
        <w:t xml:space="preserve">Rigor formal e de citação: </w:t>
      </w:r>
      <w:r>
        <w:t>marcadores numéricos espúrios no texto, fórmulas truncadas/quebradas, e um descompasso grande entre obras citadas e a lista de referências — exatamente o tipo de coisa que uma ba</w:t>
      </w:r>
      <w:r>
        <w:t>nca A1 usa para questionar a autoria e o cuidado do trabalho.</w:t>
      </w:r>
    </w:p>
    <w:p w:rsidR="00982B5D" w:rsidRDefault="00CE17BC">
      <w:pPr>
        <w:spacing w:after="120" w:line="276" w:lineRule="auto"/>
        <w:jc w:val="both"/>
      </w:pPr>
      <w:r>
        <w:rPr>
          <w:b/>
          <w:bCs/>
        </w:rPr>
        <w:t>Diagnóstico honesto: o trabalho está hoje no nível de uma versão preliminar avançada, não de uma versão final. Com foco, é recuperável — mas exige decisões de escopo (cortar ou entregar o que fo</w:t>
      </w:r>
      <w:r>
        <w:rPr>
          <w:b/>
          <w:bCs/>
        </w:rPr>
        <w:t>i prometido) e a conclusão do pipeline empírico. Estimo o esforço realista em 3 a 5 semanas de trabalho concentrado.</w:t>
      </w:r>
    </w:p>
    <w:p w:rsidR="00982B5D" w:rsidRDefault="00CE17BC">
      <w:pPr>
        <w:pStyle w:val="Ttulo1"/>
      </w:pPr>
      <w:r>
        <w:t>2. Painel de severidade dos achados</w:t>
      </w:r>
    </w:p>
    <w:p w:rsidR="00982B5D" w:rsidRDefault="00CE17BC">
      <w:pPr>
        <w:spacing w:after="120" w:line="276" w:lineRule="auto"/>
        <w:jc w:val="both"/>
      </w:pPr>
      <w:r>
        <w:rPr>
          <w:i/>
          <w:iCs/>
          <w:color w:val="595959"/>
          <w:sz w:val="18"/>
          <w:szCs w:val="18"/>
        </w:rPr>
        <w:t xml:space="preserve">Legenda de severidade:  </w:t>
      </w:r>
      <w:r>
        <w:rPr>
          <w:b/>
          <w:bCs/>
          <w:color w:val="C00000"/>
          <w:sz w:val="18"/>
          <w:szCs w:val="18"/>
        </w:rPr>
        <w:t>BLOQUEADOR</w:t>
      </w:r>
      <w:r>
        <w:rPr>
          <w:color w:val="595959"/>
          <w:sz w:val="18"/>
          <w:szCs w:val="18"/>
        </w:rPr>
        <w:t xml:space="preserve"> (impede a defesa)  ·  </w:t>
      </w:r>
      <w:r>
        <w:rPr>
          <w:b/>
          <w:bCs/>
          <w:color w:val="C55A11"/>
          <w:sz w:val="18"/>
          <w:szCs w:val="18"/>
        </w:rPr>
        <w:t>GRAVE</w:t>
      </w:r>
      <w:r>
        <w:rPr>
          <w:color w:val="595959"/>
          <w:sz w:val="18"/>
          <w:szCs w:val="18"/>
        </w:rPr>
        <w:t xml:space="preserve"> (compromete a qualidade)  ·  </w:t>
      </w:r>
      <w:r>
        <w:rPr>
          <w:b/>
          <w:bCs/>
          <w:color w:val="BF8F00"/>
          <w:sz w:val="18"/>
          <w:szCs w:val="18"/>
        </w:rPr>
        <w:t>MÉDIO</w:t>
      </w:r>
      <w:r>
        <w:rPr>
          <w:color w:val="595959"/>
          <w:sz w:val="18"/>
          <w:szCs w:val="18"/>
        </w:rPr>
        <w:t xml:space="preserve">  ·  </w:t>
      </w:r>
      <w:r>
        <w:rPr>
          <w:b/>
          <w:bCs/>
          <w:color w:val="548235"/>
          <w:sz w:val="18"/>
          <w:szCs w:val="18"/>
        </w:rPr>
        <w:t>M</w:t>
      </w:r>
      <w:r>
        <w:rPr>
          <w:b/>
          <w:bCs/>
          <w:color w:val="548235"/>
          <w:sz w:val="18"/>
          <w:szCs w:val="18"/>
        </w:rPr>
        <w:t>ENOR</w:t>
      </w:r>
      <w:r>
        <w:rPr>
          <w:color w:val="595959"/>
          <w:sz w:val="18"/>
          <w:szCs w:val="18"/>
        </w:rPr>
        <w:t xml:space="preserve"> (acabamento)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5200"/>
        <w:gridCol w:w="1500"/>
        <w:gridCol w:w="1706"/>
      </w:tblGrid>
      <w:tr w:rsidR="00982B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Achado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Severidade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Seção do parecer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Tabelas 8, 9, 11 e 12 com Sharpe/Sortino/Vol/MDD em branco (“a completar”)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BLOQUEADOR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Comparação entre estratégias feita sobre períodos diferentes (set/2015 vs jan/2015)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BLOQUEADOR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Bug de escala da covariância no Black-Litterman (×21 em vez de ×252) — contamina o resultado-chave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BLOQUEADOR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Tamanho da amostra: 130 / 135 / 136 no texto e 125 no Apêndice 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BLOQUEADOR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CVaR e Sortino teorizados mas nunca implementados como otimizadores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GRAVE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ARIMA prometido no resumo/intro e ausente da metodologia/resultados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GRAVE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Conclusão sobre “limites do ML” apoiada em implementação admitidamente com bug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GRAVE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“Máximo Sharpe” é, na verdade, utilidade média-variância (λ=2,5) — rótulo enganoso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GRAVE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Look-ahead bias: pesos de mercado de mai/2026 usados no prior do BL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GRAVE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Descasamento entre citações no texto e a lista de Referências (50+ vs ~37)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GRAVE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Marcadores numéricos espúrios no corpo do texto (5, 13, 17, 37, 63, 76...)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GRAVE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Fórmulas truncadas, quebradas ou em branco (fórmula mestra, CVaR, métricas 3.7)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GRAVE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Pregões: 3.967 (metodologia) vs 4.030 (Apêndice B)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BF8F00"/>
                <w:sz w:val="17"/>
                <w:szCs w:val="17"/>
              </w:rPr>
              <w:t>MÉDIO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Duas Tabelas 9/10 sob o mesmo título “Estratégia 2 — Máximo Sharpe”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BF8F00"/>
                <w:sz w:val="17"/>
                <w:szCs w:val="17"/>
              </w:rPr>
              <w:t>MÉDIO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Seção 4.4 intitulada apenas “l” (placeholder)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BF8F00"/>
                <w:sz w:val="17"/>
                <w:szCs w:val="17"/>
              </w:rPr>
              <w:t>MÉDIO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Cronograma é o do PROJETO (mar–jul, “definição do tema”), não do TCC concluído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BF8F00"/>
                <w:sz w:val="17"/>
                <w:szCs w:val="17"/>
              </w:rPr>
              <w:t>MÉDIO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Taxonomia setorial divergente entre Tabela 4 e Apêndice 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BF8F00"/>
                <w:sz w:val="17"/>
                <w:szCs w:val="17"/>
              </w:rPr>
              <w:t>MÉDIO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Epígrafe atribui a Simons a “criação da análise quantitativa” (impreciso)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548235"/>
                <w:sz w:val="17"/>
                <w:szCs w:val="17"/>
              </w:rPr>
              <w:t>MENOR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Redundância textual entre Introdução e Seção 2.1.1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548235"/>
                <w:sz w:val="17"/>
                <w:szCs w:val="17"/>
              </w:rPr>
              <w:t>MENOR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</w:tr>
      <w:tr w:rsidR="00982B5D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</w:pPr>
            <w:r>
              <w:rPr>
                <w:sz w:val="19"/>
                <w:szCs w:val="19"/>
              </w:rPr>
              <w:t>Mistura PT-BR / PT-PT e erros de acentuação/digitação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jc w:val="center"/>
            </w:pPr>
            <w:r>
              <w:rPr>
                <w:b/>
                <w:bCs/>
                <w:color w:val="548235"/>
                <w:sz w:val="17"/>
                <w:szCs w:val="17"/>
              </w:rPr>
              <w:t>MENOR</w:t>
            </w:r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2B5D" w:rsidRDefault="00CE17BC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</w:tr>
    </w:tbl>
    <w:p w:rsidR="00982B5D" w:rsidRDefault="00CE17BC">
      <w:r>
        <w:br w:type="page"/>
      </w:r>
    </w:p>
    <w:p w:rsidR="00982B5D" w:rsidRDefault="00CE17BC">
      <w:pPr>
        <w:pStyle w:val="Ttulo1"/>
      </w:pPr>
      <w:r>
        <w:lastRenderedPageBreak/>
        <w:t>3. Bloqueadores absolutos (resolver antes de qualquer outra coisa)</w:t>
      </w:r>
    </w:p>
    <w:p w:rsidR="00982B5D" w:rsidRDefault="00CE17BC">
      <w:pPr>
        <w:pStyle w:val="Ttulo2"/>
      </w:pPr>
      <w:r>
        <w:t>3.1. Tabelas de resultado incompletas</w:t>
      </w:r>
    </w:p>
    <w:p w:rsidR="00982B5D" w:rsidRDefault="00CE17BC">
      <w:pPr>
        <w:spacing w:after="120" w:line="276" w:lineRule="auto"/>
        <w:jc w:val="both"/>
      </w:pPr>
      <w:r>
        <w:t>As Tabelas 8, 9, 11 e 12 trazem “a completar” ou “-” nas colunas de Volatilidade, Índice de Sharpe, Índice de Sortino e Maximum Drawdown justamente para as duas estratégias vencedoras (Mínima Variância L1 e Máximo Sharpe L1). Isto é fatal: a tese central a</w:t>
      </w:r>
      <w:r>
        <w:t>firma que a Mínima Variância tem o “melhor resultado ajustado ao risco”, mas as métricas ajustadas ao risco dela não estão reportadas. Você está pedindo à banca que aceite a conclusão sem a evidência que a sustenta.</w:t>
      </w:r>
    </w:p>
    <w:p w:rsidR="00982B5D" w:rsidRDefault="00CE17BC">
      <w:pPr>
        <w:spacing w:after="120" w:line="276" w:lineRule="auto"/>
        <w:jc w:val="both"/>
      </w:pPr>
      <w:r>
        <w:t>Ação: rodar os notebooks 14_2_4 e 14_1_4</w:t>
      </w:r>
      <w:r>
        <w:t>, preencher todas as células e garantir que o texto interpretativo seja consistente com os números (hoje o texto descreve uma superioridade ajustada ao risco que a tabela não mostra).</w:t>
      </w:r>
    </w:p>
    <w:p w:rsidR="00982B5D" w:rsidRDefault="00CE17BC">
      <w:pPr>
        <w:pStyle w:val="Ttulo2"/>
      </w:pPr>
      <w:r>
        <w:t>3.2. Comparação sobre períodos diferentes</w:t>
      </w:r>
    </w:p>
    <w:p w:rsidR="00982B5D" w:rsidRDefault="00CE17BC">
      <w:pPr>
        <w:spacing w:after="120" w:line="276" w:lineRule="auto"/>
        <w:jc w:val="both"/>
      </w:pPr>
      <w:r>
        <w:t>Você mesmo registra na Seção 5</w:t>
      </w:r>
      <w:r>
        <w:t>.4 que as estratégias L1 começam em set/2015 e o BL+LSTM em jan/2015, gerando referências distintas do IBOVESPA (+215% vs +243,49%). O trabalho inteiro é uma comparação entre estratégias; comparar séries que cobrem janelas diferentes invalida a comparação.</w:t>
      </w:r>
      <w:r>
        <w:t xml:space="preserve"> Não é um detalhe — é o eixo do trabalho. Todas as estratégias precisam ser recalculadas na MESMA janela out-of-sample, com o MESMO ponto inicial e o MESMO benchmark.</w:t>
      </w:r>
    </w:p>
    <w:p w:rsidR="00982B5D" w:rsidRDefault="00CE17BC">
      <w:pPr>
        <w:pStyle w:val="Ttulo2"/>
      </w:pPr>
      <w:r>
        <w:t>3.3. Bug de escala no Black-Litterman</w:t>
      </w:r>
    </w:p>
    <w:p w:rsidR="00982B5D" w:rsidRDefault="00CE17BC">
      <w:pPr>
        <w:spacing w:after="120" w:line="276" w:lineRule="auto"/>
        <w:jc w:val="both"/>
      </w:pPr>
      <w:r>
        <w:t>A Seção 4.4 e a 5.4 admitem que a matriz de covariâ</w:t>
      </w:r>
      <w:r>
        <w:t>ncia no BL foi mensalizada (×21) em vez de anualizada (×252), distorcendo o peso relativo entre o prior de equilíbrio (Π) e as visões LSTM (Q) e “conferindo peso excessivo às visões”. Consequência direta: o drawdown de -92,99% e o Sharpe negativo do BL+LST</w:t>
      </w:r>
      <w:r>
        <w:t>M são, em grande parte, artefato de um erro de implementação — não um resultado científico limpo.</w:t>
      </w:r>
    </w:p>
    <w:p w:rsidR="00982B5D" w:rsidRDefault="00CE17BC">
      <w:pPr>
        <w:spacing w:after="120" w:line="276" w:lineRule="auto"/>
        <w:jc w:val="both"/>
      </w:pPr>
      <w:r>
        <w:rPr>
          <w:b/>
          <w:bCs/>
        </w:rPr>
        <w:t xml:space="preserve">Isto tem implicação devastadora para a Seção 5.3.3: </w:t>
      </w:r>
      <w:r>
        <w:t xml:space="preserve">você não pode usar o fracasso de uma implementação com bug confessado como evidência sobre “os limites do </w:t>
      </w:r>
      <w:r>
        <w:t>aprendizado de máquina em finanças”. Ou (a) corrige a escala, re-roda e reporta o resultado correto; ou (b) reescreve a conclusão de forma honesta e estreita: “nossa implementação, com a escala incorreta da covariância, produziu resultados patológicos; por</w:t>
      </w:r>
      <w:r>
        <w:t>tanto não permite conclusão sobre a eficácia do ML”. A opção (a) é fortemente preferível.</w:t>
      </w:r>
    </w:p>
    <w:p w:rsidR="00982B5D" w:rsidRDefault="00CE17BC">
      <w:pPr>
        <w:pStyle w:val="Ttulo2"/>
      </w:pPr>
      <w:r>
        <w:t>3.4. Amostra com quatro tamanhos diferentes</w:t>
      </w:r>
    </w:p>
    <w:p w:rsidR="00982B5D" w:rsidRDefault="00CE17BC">
      <w:pPr>
        <w:spacing w:after="120" w:line="276" w:lineRule="auto"/>
        <w:jc w:val="both"/>
      </w:pPr>
      <w:r>
        <w:t xml:space="preserve">O número de ativos da amostra final aparece como: 130 (resumo, metodologia 3.2.1, Tabela 4, estatísticas), 135 (título da </w:t>
      </w:r>
      <w:r>
        <w:t>Tabela 7, matriz 135×135 em 3.4.2, e na Seção 5.1 “universo de 135 ações”), 136 (Apêndice B) — e o Apêndice A, que deveria listar todos, contém apenas 125 tickers (termina em SBSP3, posição 125). São quatro números para a mesma coisa. Uma banca detecta iss</w:t>
      </w:r>
      <w:r>
        <w:t>o na primeira leitura e a credibilidade de todo o pipeline desaba.</w:t>
      </w:r>
    </w:p>
    <w:p w:rsidR="00982B5D" w:rsidRDefault="00CE17BC">
      <w:pPr>
        <w:spacing w:after="120" w:line="276" w:lineRule="auto"/>
        <w:jc w:val="both"/>
      </w:pPr>
      <w:r>
        <w:t xml:space="preserve">Ação: definir o N verdadeiro de forma reprodutível (o crivo de 95% de presença aplicado ao número exato de pregões), corrigir TODAS as menções, e completar o Apêndice A com a lista íntegra </w:t>
      </w:r>
      <w:r>
        <w:t>e os setores preenchidos para cada ticker. Hoje a maioria das linhas do Apêndice A está com o campo “Setor” em branco.</w:t>
      </w:r>
    </w:p>
    <w:p w:rsidR="00982B5D" w:rsidRDefault="00CE17BC">
      <w:pPr>
        <w:pStyle w:val="Ttulo1"/>
      </w:pPr>
      <w:r>
        <w:t>4. Inconsistências numéricas e de dados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Pregões: </w:t>
      </w:r>
      <w:r>
        <w:t>a metodologia (3.2) fala em 3.967 pregões válidos; o Apêndice B fala em “4.030 pregões c</w:t>
      </w:r>
      <w:r>
        <w:t>ontínuos” e depois cita 4.030 novamente. Defina um número e propague.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lastRenderedPageBreak/>
        <w:t xml:space="preserve">Matriz de covariância: </w:t>
      </w:r>
      <w:r>
        <w:t>a 3.4.2 diz “dimensão 135×135 no ponto de maturidade”, incompatível com os 130 ativos declarados. Se há ativos que entram/saem ao longo da janela expansiva, isso p</w:t>
      </w:r>
      <w:r>
        <w:t>recisa ser explicado explicitamente; caso contrário, é erro.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Taxonomia setorial: </w:t>
      </w:r>
      <w:r>
        <w:t>a Tabela 4 usa “Utilidade Pública”, “Consumo Não Cíclico”, “Bens Industriais”, “Petróleo, Gás e Biocombustíveis”; o Apêndice A usa “Serviços Públicos”, “Consumo Defensivo”, “I</w:t>
      </w:r>
      <w:r>
        <w:t>ndústrias”, “Energia”. Padronize uma única taxonomia (preferencialmente a classificação oficial setorial da B3).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Apêndice A incompleto: </w:t>
      </w:r>
      <w:r>
        <w:t>os setores estão preenchidos apenas para o primeiro item de cada bloco; o restante está vazio. E faltam linhas para cheg</w:t>
      </w:r>
      <w:r>
        <w:t>ar ao N declarado.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Fonte de dados mista: </w:t>
      </w:r>
      <w:r>
        <w:t>preços via Economática, mas capitalizações de mercado “via API do Yahoo Finance” obtidas em mai/2026. Documente claramente as duas fontes e a data de extração de cada uma; a mistura é aceitável, mas precisa ser tran</w:t>
      </w:r>
      <w:r>
        <w:t>sparente e o look-ahead das caps (item 3.3 e 5.4) corrigido.</w:t>
      </w:r>
    </w:p>
    <w:p w:rsidR="00982B5D" w:rsidRDefault="00CE17BC">
      <w:pPr>
        <w:pStyle w:val="Ttulo1"/>
      </w:pPr>
      <w:r>
        <w:t>5. Descasamento entre teoria, método e resultado</w:t>
      </w:r>
    </w:p>
    <w:p w:rsidR="00982B5D" w:rsidRDefault="00CE17BC">
      <w:pPr>
        <w:spacing w:after="120" w:line="276" w:lineRule="auto"/>
        <w:jc w:val="both"/>
      </w:pPr>
      <w:r>
        <w:t>Este é o problema conceitual mais sério depois dos bloqueadores. Há uma promessa de escopo que o experimento não cumpre.</w:t>
      </w:r>
    </w:p>
    <w:p w:rsidR="00982B5D" w:rsidRDefault="00CE17BC">
      <w:pPr>
        <w:pStyle w:val="Ttulo2"/>
      </w:pPr>
      <w:r>
        <w:t>5.1. CVaR e Sortino: teor</w:t>
      </w:r>
      <w:r>
        <w:t>izados, nunca otimizados</w:t>
      </w:r>
    </w:p>
    <w:p w:rsidR="00982B5D" w:rsidRDefault="00CE17BC">
      <w:pPr>
        <w:spacing w:after="120" w:line="276" w:lineRule="auto"/>
        <w:jc w:val="both"/>
      </w:pPr>
      <w:r>
        <w:t>O Capítulo 2 dedica seções inteiras (2.11 a 2.13) à superioridade do CVaR como medida coerente, ao Índice de Sortino, Omega e Kappa, e à “geometria da assimetria”. O resumo lista explicitamente “Maximização do Índice de Sortino e M</w:t>
      </w:r>
      <w:r>
        <w:t>inimização do CVaR” entre os otimizadores. Porém, na metodologia (3.5) só existem três modelos: GMV-L1, “Máximo Sharpe”-L1 e BL+LSTM. Não há otimizador de Min-CVaR nem de Max-Sortino. O CVaR é usado apenas como métrica de avaliação — e nem isso aparece nas</w:t>
      </w:r>
      <w:r>
        <w:t xml:space="preserve"> tabelas. A banca perguntará, com razão: “para que serviram as 15 páginas de PMPT?”</w:t>
      </w:r>
    </w:p>
    <w:p w:rsidR="00982B5D" w:rsidRDefault="00CE17BC">
      <w:pPr>
        <w:spacing w:after="60" w:line="276" w:lineRule="auto"/>
        <w:jc w:val="both"/>
      </w:pPr>
      <w:r>
        <w:rPr>
          <w:b/>
          <w:bCs/>
        </w:rPr>
        <w:t>Decisão de escopo necessária (escolha uma):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Implementar de fato Min-CVaR (Rockafellar-Uryasev, via programação linear no CVXPY) e Max-Sortino, integrando-os ao backtest — a</w:t>
      </w:r>
      <w:r>
        <w:t>linha o trabalho ao título e ao referencial e o torna genuinamente A1; ou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Reduzir o referencial de PMPT a uma fração e reescrever resumo/introdução/título para refletir apenas o que foi implementado (Markowitz/GMV + BL). Menos ambicioso, porém honesto e coerente.</w:t>
      </w:r>
    </w:p>
    <w:p w:rsidR="00982B5D" w:rsidRDefault="00CE17BC">
      <w:pPr>
        <w:spacing w:after="120" w:line="276" w:lineRule="auto"/>
        <w:jc w:val="both"/>
      </w:pPr>
      <w:r>
        <w:t>Recomendo a primeira opção: o CVaR via Rockafellar-Uryasev é conve</w:t>
      </w:r>
      <w:r>
        <w:t>xo e direto no CVXPY, e você já domina o arcabouço. É o caminho que transforma o trabalho de “bom TCC” em “trabalho publicável”.</w:t>
      </w:r>
    </w:p>
    <w:p w:rsidR="00982B5D" w:rsidRDefault="00CE17BC">
      <w:pPr>
        <w:pStyle w:val="Ttulo2"/>
      </w:pPr>
      <w:r>
        <w:t>5.2. ARIMA fantasma</w:t>
      </w:r>
    </w:p>
    <w:p w:rsidR="00982B5D" w:rsidRDefault="00CE17BC">
      <w:pPr>
        <w:spacing w:after="120" w:line="276" w:lineRule="auto"/>
        <w:jc w:val="both"/>
      </w:pPr>
      <w:r>
        <w:t>A introdução afirma que os retornos esperados serão estimados “entre Média Histórica, modelos ARIMA e Redes</w:t>
      </w:r>
      <w:r>
        <w:t xml:space="preserve"> Neurais Artificiais (LSTM)”. ARIMA não reaparece em lugar nenhum da metodologia nem dos resultados. Ou implemente, ou remova a menção do resumo e da introdução. Promessas não cumpridas no resumo são das primeiras coisas que uma banca confere.</w:t>
      </w:r>
    </w:p>
    <w:p w:rsidR="00982B5D" w:rsidRDefault="00CE17BC">
      <w:pPr>
        <w:pStyle w:val="Ttulo2"/>
      </w:pPr>
      <w:r>
        <w:t>5.3. Desenho</w:t>
      </w:r>
      <w:r>
        <w:t xml:space="preserve"> fatorial confundido</w:t>
      </w:r>
    </w:p>
    <w:p w:rsidR="00982B5D" w:rsidRDefault="00CE17BC">
      <w:pPr>
        <w:spacing w:after="120" w:line="276" w:lineRule="auto"/>
        <w:jc w:val="both"/>
      </w:pPr>
      <w:r>
        <w:t xml:space="preserve">O título promete “comparação entre otimizadores E inputs”, sugerindo um desenho de duas dimensões. Mas as dimensões estão confundidas: a Mínima Variância não usa input de retorno </w:t>
      </w:r>
      <w:r>
        <w:lastRenderedPageBreak/>
        <w:t>algum; o “Máximo Sharpe” usa média histórica; o BL usa L</w:t>
      </w:r>
      <w:r>
        <w:t>STM. Não é possível isolar o efeito do otimizador do efeito do input, porque cada otimizador vem amarrado a um input diferente. Para sustentar o título, o ideal seria cruzar {GMV, Média-Variância, Min-CVaR, Max-Sortino} × {Média histórica, BL-LSTM} de form</w:t>
      </w:r>
      <w:r>
        <w:t>a sistemática. No mínimo, reconheça explicitamente a limitação do desenho e ajuste as afirmações.</w:t>
      </w:r>
    </w:p>
    <w:p w:rsidR="00982B5D" w:rsidRDefault="00CE17BC">
      <w:pPr>
        <w:pStyle w:val="Ttulo2"/>
      </w:pPr>
      <w:r>
        <w:t>5.4. Rótulo “Máximo Sharpe”</w:t>
      </w:r>
    </w:p>
    <w:p w:rsidR="00982B5D" w:rsidRDefault="00CE17BC">
      <w:pPr>
        <w:spacing w:after="120" w:line="276" w:lineRule="auto"/>
        <w:jc w:val="both"/>
      </w:pPr>
      <w:r>
        <w:t>Você admite (Seção 4.2.2) que o otimizador “Máximo Sharpe” é, na prática, uma maximização de utilidade média-variância com λ=2,5 —</w:t>
      </w:r>
      <w:r>
        <w:t xml:space="preserve"> não a maximização do Sharpe (que seria não-convexa). Então o rótulo está errado em todo o documento (tabelas, gráficos, texto). Renomeie para “Média-Variância (λ=2,5)” ou “Máxima Utilidade MV”. Manter “Máximo Sharpe” é induzir o leitor a erro sobre a funç</w:t>
      </w:r>
      <w:r>
        <w:t>ão objetivo.</w:t>
      </w:r>
    </w:p>
    <w:p w:rsidR="00982B5D" w:rsidRDefault="00CE17BC">
      <w:pPr>
        <w:pStyle w:val="Ttulo2"/>
      </w:pPr>
      <w:r>
        <w:t>5.5. Sobre-generalização nas conclusões</w:t>
      </w:r>
    </w:p>
    <w:p w:rsidR="00982B5D" w:rsidRDefault="00CE17BC">
      <w:pPr>
        <w:spacing w:after="120" w:line="276" w:lineRule="auto"/>
        <w:jc w:val="both"/>
      </w:pPr>
      <w:r>
        <w:t>Afirmações como “a complexidade não foi aliada do desempenho” generalizam, a partir de um experimento confundido, com períodos não padronizados e com bug confesso no modelo mais complexo. A conclusão def</w:t>
      </w:r>
      <w:r>
        <w:t>ensável é muito mais estreita: “nesta amostra, neste período, e com ESTAS implementações específicas, a Mínima Variância superou as alternativas testadas”. O “paradoxo da complexidade” só se sustenta cientificamente depois de (i) padronizar os períodos e (</w:t>
      </w:r>
      <w:r>
        <w:t>ii) corrigir o BL. Antes disso, é uma narrativa sobre artefatos.</w:t>
      </w:r>
    </w:p>
    <w:p w:rsidR="00982B5D" w:rsidRDefault="00CE17BC">
      <w:pPr>
        <w:pStyle w:val="Ttulo1"/>
      </w:pPr>
      <w:r>
        <w:t>6. Referencial teórico e sistema de citações</w:t>
      </w:r>
    </w:p>
    <w:p w:rsidR="00982B5D" w:rsidRDefault="00CE17BC">
      <w:pPr>
        <w:spacing w:after="120" w:line="276" w:lineRule="auto"/>
        <w:jc w:val="both"/>
      </w:pPr>
      <w:r>
        <w:t xml:space="preserve">O conteúdo teórico é, no geral, correto e bem articulado — a derivação bayesiana do BL, a discussão de coerência de Artzner, a hierarquia dos LPM </w:t>
      </w:r>
      <w:r>
        <w:t>e o tratamento da fronteira eficiente estão acima do esperado para graduação. Os problemas são de forma e de integridade referencial, e são sérios para o padrão ABNT/A1.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Citações no texto ausentes das Referências: </w:t>
      </w:r>
      <w:r>
        <w:t>dezenas de obras citadas no corpo não cons</w:t>
      </w:r>
      <w:r>
        <w:t>tam da lista final — por exemplo Michaud (1989), Best &amp; Grauer (1991), Estrada (2007), Gundersen (2022), Kim &amp; Boyd (2007), Rubinstein (2002), Guerard (2010), Tobin (1958), Mossin (1966), von Neumann &amp; Morgenstern (1944), Mandelbrot (1963), Bawa (1975), Fi</w:t>
      </w:r>
      <w:r>
        <w:t>shburn (1977), Nawrocki (1999), Artzner et al. (1999), Keating &amp; Shadwick (2002), Kaplan &amp; Knowles (2004), Meucci (2008/2010), Idzorek (2005), Walters (2014), Satchell &amp; Scowcroft (2000), Williams (1938), entre outros. Toda obra citada DEVE estar na lista.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Referências listadas e nunca citadas: </w:t>
      </w:r>
      <w:r>
        <w:t>o inverso também ocorre — Black (1972), Boyd &amp; Vandenberghe (2004), Campbell-Lo-MacKinlay (1997), Fama (1970), Fama-French (1993, 2015), Merton (1972), Roll (1977), Ross (1976), KPSS (1992), Lo-MacKinlay (1988), Ledoi</w:t>
      </w:r>
      <w:r>
        <w:t>t-Wolf (2004), Lintner (1965), Sharpe (1964) aparecem na lista mas não no texto. Em ABNT, a lista de referências contém apenas o que foi citado; o que não foi citado vai para “bibliografia consultada” ou sai.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Marcadores numéricos espúrios: </w:t>
      </w:r>
      <w:r>
        <w:t>há números solto</w:t>
      </w:r>
      <w:r>
        <w:t>s colados ao texto (“...secundária da acumulação” seguido de citações; “(Markowitz, 1958)” seguido de “5”; e “13”, “17”, “24”, “37”, “63”, “76”, “78”, “80” etc.). São resíduos de notas/citações numéricas de alguma fonte — possivelmente de material gerado o</w:t>
      </w:r>
      <w:r>
        <w:t xml:space="preserve">u copiado com outro estilo de citação. Precisam ser eliminados ou convertidos em citações ABNT autor-data legítimas. </w:t>
      </w:r>
    </w:p>
    <w:p w:rsidR="00982B5D" w:rsidRDefault="00CE17BC">
      <w:pPr>
        <w:spacing w:after="120" w:line="276" w:lineRule="auto"/>
        <w:jc w:val="both"/>
      </w:pPr>
      <w:r>
        <w:rPr>
          <w:b/>
          <w:bCs/>
          <w:color w:val="C55A11"/>
        </w:rPr>
        <w:t xml:space="preserve">Alerta franco: </w:t>
      </w:r>
      <w:r>
        <w:t xml:space="preserve">esses marcadores numéricos, combinados com a quase identidade entre certos trechos e o registro de “Elaboração própria” em </w:t>
      </w:r>
      <w:r>
        <w:t xml:space="preserve">tabelas conceituais genéricas, são exatamente o padrão que leva bancas a suspeitar de geração automática de texto sem revisão. </w:t>
      </w:r>
      <w:r>
        <w:lastRenderedPageBreak/>
        <w:t>Independentemente de como o texto foi produzido, você precisa reescrever as passagens afetadas com voz própria, verificar cada ci</w:t>
      </w:r>
      <w:r>
        <w:t>tação na fonte primária e garantir rastreabilidade total. Não deixe esse flanco aberto.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Inconsistências de grafia de autores: </w:t>
      </w:r>
      <w:r>
        <w:t>“markowitz”, “garvin”, “ESTRADA” em caixa baixa/alta misturada; Damodaran citado como (2007) no texto mas listado como 2012 na referência. Uniformize (ABNT: SOBRENOME em versalete ou caixa alta nas referências; no texto, autor-data com inicial maiúscula).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Datas de obras clássicas: </w:t>
      </w:r>
      <w:r>
        <w:t>Williams “magnum opus de 1938” citada como (Williams, 2014); indique a obra original e a edição consultada, e.g., Williams (1938 [2014]).</w:t>
      </w:r>
    </w:p>
    <w:p w:rsidR="00982B5D" w:rsidRDefault="00CE17BC">
      <w:pPr>
        <w:pStyle w:val="Ttulo1"/>
      </w:pPr>
      <w:r>
        <w:t>7. Matemática, estrutura e redação</w:t>
      </w:r>
    </w:p>
    <w:p w:rsidR="00982B5D" w:rsidRDefault="00CE17BC">
      <w:pPr>
        <w:pStyle w:val="Ttulo2"/>
      </w:pPr>
      <w:r>
        <w:t>7.1. Equações quebradas — risco alto em trabalho quantita</w:t>
      </w:r>
      <w:r>
        <w:t>tivo</w:t>
      </w:r>
    </w:p>
    <w:p w:rsidR="00982B5D" w:rsidRDefault="00CE17BC">
      <w:pPr>
        <w:spacing w:after="120" w:line="276" w:lineRule="auto"/>
        <w:jc w:val="both"/>
      </w:pPr>
      <w:r>
        <w:t>As fórmulas estão majoritariamente digitadas como texto corrido, com perda de frações, índices, limites de somatório e símbolos. Exemplos: a variância do portfólio aparece como “σp2 = i=1nωi2σi2 + ...”; a fórmula mestra do BL está truncada (“ER= (τΣ)-</w:t>
      </w:r>
      <w:r>
        <w:t>1+ PTΩ-1P-1(τΣ)-1Π+ PT”, corta no meio); a definição do CVaR aparece como “CVaRα(X) = E” (incompleta); a covariância posterior como “ΣBL = Σ +” (incompleta). Em um TCC de finanças quantitativas, a matemática mal renderizada é inaceitável e sugere descuido.</w:t>
      </w:r>
      <w:r>
        <w:t xml:space="preserve"> Use o editor de equações do Word (ou LaTeX/MathType) e confira CADA equação contra a fonte.</w:t>
      </w:r>
    </w:p>
    <w:p w:rsidR="00982B5D" w:rsidRDefault="00CE17BC">
      <w:pPr>
        <w:spacing w:after="120" w:line="276" w:lineRule="auto"/>
        <w:jc w:val="both"/>
      </w:pPr>
      <w:r>
        <w:t>Além disso, várias equações da metodologia estão simplesmente vazias: a Seção 3.5.1 e 3.5.2 dizem “O problema é formulado como: sujeito a:” sem mostrar a formulaçã</w:t>
      </w:r>
      <w:r>
        <w:t>o; a Seção 3.7 introduz CAGR, Sharpe, Sortino e MDD com “:” e nada depois. Toda métrica e todo problema de otimização precisam exibir a expressão formal completa.</w:t>
      </w:r>
    </w:p>
    <w:p w:rsidR="00982B5D" w:rsidRDefault="00CE17BC">
      <w:pPr>
        <w:pStyle w:val="Ttulo2"/>
      </w:pPr>
      <w:r>
        <w:t>7.2. Estrutura de capítulos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O Capítulo 2 tem DUAS conclusões internas (2.15 “Conclusão” da pa</w:t>
      </w:r>
      <w:r>
        <w:t>rte de PMPT e 2.22 “Conclusão do Capítulo” do BL). Reorganize o capítulo em três blocos nítidos (MPT → PMPT → Black-Litterman), cada um fechando em uma síntese, e uma conclusão única do capítulo ao final.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 xml:space="preserve">Rotulagem de capítulos inconsistente: “3. CAPÍTULO </w:t>
      </w:r>
      <w:r>
        <w:t>3 — METODOLOGIA” e “5. CAPÍTULO 5 — CONCLUSÃO” usam o prefixo “CAPÍTULO”, mas o 2 e o 4 não. Padronize.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 xml:space="preserve">Seção 4.4 está intitulada apenas “l” — claramente um placeholder. É a discussão do benchmark 1/N; dê um título adequado (“4.4 Benchmark Ingênuo (1/N) e </w:t>
      </w:r>
      <w:r>
        <w:t>o Ganho Genuíno do Otimizador”).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Tabelas 9 e 10 estão sob o MESMO título de seção (“Estratégia 2 — Máximo Índice de Sharpe com L1”), mas a 10 é o BL+LSTM. A 4.2.3 deveria ser “Estratégia 3 — Black-Litterman + LSTM”.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Tabela 6 tem o número da tabela duplicado no caption (“Tabela 6 - Tabela 4.3 —...”). Escolha uma única convenção de numeração de tabelas (sequencial OU por capítulo, não as duas).</w:t>
      </w:r>
    </w:p>
    <w:p w:rsidR="00982B5D" w:rsidRDefault="00CE17BC">
      <w:pPr>
        <w:pStyle w:val="Ttulo2"/>
      </w:pPr>
      <w:r>
        <w:t>7.3. Cronograma e front matter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O Cronograma (Tabela 13) é o do PROJETO de pe</w:t>
      </w:r>
      <w:r>
        <w:t>squisa: vai de março a julho e inclui “definição do tema”, “realização da matrícula” e “formatação ABNT” em junho. Isso é incompatível com um TCC concluído com resultados de backtest. Remova-o ou substitua por um cronograma efetivamente executado.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lastRenderedPageBreak/>
        <w:t>Itens de</w:t>
      </w:r>
      <w:r>
        <w:t xml:space="preserve"> front matter ainda em modo “gabarito”: “Ficha Catalográfica (link)”, “Ata de aprovação”, “AGRADECIMENTOS (Opcional)” sem conteúdo. Preencher ou remover marcações de instrução antes da versão final.</w:t>
      </w:r>
    </w:p>
    <w:p w:rsidR="00982B5D" w:rsidRDefault="00CE17BC">
      <w:pPr>
        <w:pStyle w:val="Ttulo2"/>
      </w:pPr>
      <w:r>
        <w:t>7.4. Epígrafe e atribuições</w:t>
      </w:r>
    </w:p>
    <w:p w:rsidR="00982B5D" w:rsidRDefault="00CE17BC">
      <w:pPr>
        <w:spacing w:after="120" w:line="276" w:lineRule="auto"/>
        <w:jc w:val="both"/>
      </w:pPr>
      <w:r>
        <w:t>A epígrafe atribui a Jim Simo</w:t>
      </w:r>
      <w:r>
        <w:t>ns o título de “Criador da Análise Quantitativa”. Simons foi um pioneiro do investimento sistemático/quantitativo (Renaissance Technologies), mas não “criou a análise quantitativa” — isso é impreciso e soa amador. Cite a fonte verificável da frase e ajuste</w:t>
      </w:r>
      <w:r>
        <w:t xml:space="preserve"> a atribuição (e.g., “matemático e fundador da Renaissance Technologies”). Se não conseguir uma fonte primária confiável para a citação, troque por uma epígrafe verificável.</w:t>
      </w:r>
    </w:p>
    <w:p w:rsidR="00982B5D" w:rsidRDefault="00CE17BC">
      <w:pPr>
        <w:pStyle w:val="Ttulo2"/>
      </w:pPr>
      <w:r>
        <w:t>7.5. Redação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Redundância: a Introdução e a Seção 2.1.1 abrem com a mesma frase (“A</w:t>
      </w:r>
      <w:r>
        <w:t xml:space="preserve"> gestão de investimentos, historicamente... revolução paradigmática em meados do século XX”). Reescreva uma delas.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Mistura PT-BR / PT-PT: “respetivamente”, “macroeconómicas”, “prémio” aparecem ao lado da grafia brasileira. Uniformize para PT-BR.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Erros de d</w:t>
      </w:r>
      <w:r>
        <w:t>igitação/acentuação: “Convenência” (Conveniência), “ancoras” (âncora), “propria/Propria” (própria), “mkt” inconsistente. Faça uma revisão ortográfica final.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Tom: em alguns pontos do referencial o texto é ensaístico/grandiloquente (“a tirania da curva de si</w:t>
      </w:r>
      <w:r>
        <w:t>no”, “a linguagem matemática dessa distinção”). É aceitável com moderação, mas num A1 prefira precisão a retórica.</w:t>
      </w:r>
    </w:p>
    <w:p w:rsidR="00982B5D" w:rsidRDefault="00CE17BC">
      <w:r>
        <w:br w:type="page"/>
      </w:r>
    </w:p>
    <w:p w:rsidR="00982B5D" w:rsidRDefault="00CE17BC">
      <w:pPr>
        <w:pStyle w:val="Ttulo1"/>
      </w:pPr>
      <w:r>
        <w:lastRenderedPageBreak/>
        <w:t>8. Roteiro priorizado de revisão</w:t>
      </w:r>
    </w:p>
    <w:p w:rsidR="00982B5D" w:rsidRDefault="00CE17BC">
      <w:pPr>
        <w:spacing w:after="120" w:line="276" w:lineRule="auto"/>
        <w:jc w:val="both"/>
      </w:pPr>
      <w:r>
        <w:t>Sugiro atacar em ondas, na ordem abaixo. Não avance para a onda seguinte sem fechar a anterior.</w:t>
      </w:r>
    </w:p>
    <w:p w:rsidR="00982B5D" w:rsidRDefault="00CE17BC">
      <w:pPr>
        <w:pStyle w:val="Ttulo2"/>
      </w:pPr>
      <w:r>
        <w:t>Onda 1 — D</w:t>
      </w:r>
      <w:r>
        <w:t>estravar o núcleo empírico (semana 1–2)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Padronizar a janela out-of-sample e re-rodar TODAS as estratégias no mesmo período e benchmark (resolve item 2).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Corrigir a escala da covariância no BL (×252) e re-rodar (resolve item 3).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Preencher integralmente as T</w:t>
      </w:r>
      <w:r>
        <w:t>abelas 8–12 com Vol, Sharpe, Sortino e MDD a partir dos notebooks (resolve item 1).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Fixar o N da amostra de forma reprodutível e propagar para todo o texto + completar o Apêndice A (resolve itens 4, 13, 17).</w:t>
      </w:r>
    </w:p>
    <w:p w:rsidR="00982B5D" w:rsidRDefault="00CE17BC">
      <w:pPr>
        <w:pStyle w:val="Ttulo2"/>
      </w:pPr>
      <w:r>
        <w:t>Onda 2 — Alinhar escopo (semana 2–3)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Decidir: im</w:t>
      </w:r>
      <w:r>
        <w:t>plementar Min-CVaR e Max-Sortino (recomendado) OU reescrever resumo/título/intro para o que foi feito (resolve item 5).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Resolver o ARIMA: implementar ou remover (resolve item 6).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Renomear “Máximo Sharpe” → “Média-Variância (λ=2,5)” em todo o documento (res</w:t>
      </w:r>
      <w:r>
        <w:t>olve item 8).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Reescrever a Seção 5 com conclusões calibradas ao que os dados realmente sustentam (resolve itens 7 e da sobre-generalização).</w:t>
      </w:r>
    </w:p>
    <w:p w:rsidR="00982B5D" w:rsidRDefault="00CE17BC">
      <w:pPr>
        <w:pStyle w:val="Ttulo2"/>
      </w:pPr>
      <w:r>
        <w:t>Onda 3 — Rigor estatístico (semana 3)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Adicionar ao menos um teste formal: Jobson-Korkie (1981) ou Ledoit-Wolf (2008) para diferenças de Sharpe, ou intervalos de confiança via bootstrap em blocos. Sem isso, as afirmações de “superioridade” são apenas descritivas.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Incluir análise por subperíodos</w:t>
      </w:r>
      <w:r>
        <w:t xml:space="preserve"> (crise vs normalidade) — você já a sugere como trabalho futuro, mas ela fortalece muito a discussão atual.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Corrigir o look-ahead das capitalizações de mercado no prior do BL (séries históricas de market cap).</w:t>
      </w:r>
    </w:p>
    <w:p w:rsidR="00982B5D" w:rsidRDefault="00CE17BC">
      <w:pPr>
        <w:pStyle w:val="Ttulo2"/>
      </w:pPr>
      <w:r>
        <w:t>Onda 4 — Forma, matemática e referências (sema</w:t>
      </w:r>
      <w:r>
        <w:t>na 4–5)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Tipografar TODAS as equações no editor de equações; preencher as fórmulas vazias da metodologia (resolve item 12).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Reconciliar citações ↔ referências (bidirecional) e remover marcadores numéricos espúrios; revisar cada citação na fonte (resolve ite</w:t>
      </w:r>
      <w:r>
        <w:t>ns 10 e 11).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Corrigir estrutura de capítulos, títulos placeholder, numeração de tabelas, cronograma e front matter (resolve itens 14, 15, 16).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Revisão final de redação, ortografia e padronização PT-BR; ajustar epígrafe (resolve itens 18, 19, 20).</w:t>
      </w:r>
    </w:p>
    <w:p w:rsidR="00982B5D" w:rsidRDefault="00CE17BC">
      <w:pPr>
        <w:pStyle w:val="Ttulo1"/>
      </w:pPr>
      <w:r>
        <w:t>9. Pontos</w:t>
      </w:r>
      <w:r>
        <w:t xml:space="preserve"> fortes (para preservar)</w:t>
      </w:r>
    </w:p>
    <w:p w:rsidR="00982B5D" w:rsidRDefault="00CE17BC">
      <w:pPr>
        <w:spacing w:after="120" w:line="276" w:lineRule="auto"/>
        <w:jc w:val="both"/>
      </w:pPr>
      <w:r>
        <w:t>Para que o parecer seja justo: há um trabalho de qualidade por baixo dos problemas, e ele merece ser salvo, não refeito do zero.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lastRenderedPageBreak/>
        <w:t>Ambição teórica e cobertura: a trajetória MPT → CAPM → PMPT → Black-Litterman é abrangente e, na maior</w:t>
      </w:r>
      <w:r>
        <w:t xml:space="preserve"> parte, tecnicamente correta — incluindo pontos sutis (coerência de Artzner, LPM, controvérsia do τ, método de Idzorek, Entropy Pooling de Meucci).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Diagnóstico econométrico sério: a bateria ADF/Ljung-Box/Jarque-Bera/ARCH-LM/Chow-CUSUM é apropriada e bem mo</w:t>
      </w:r>
      <w:r>
        <w:t>tivada; a leitura de que “a quebra está na variância, não na média” é correta e bem usada.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Transparência sobre limitações: registrar abertamente o bug de escala, o delta negativo e o look-ahead é cientificamente honesto. O problema não é admitir — é deixar os resultados contaminados no corpo principal sem corrigir.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 xml:space="preserve">Aderência à literatura certa: </w:t>
      </w:r>
      <w:r>
        <w:t>DeMiguel-Garlappi-Uppal (2009), Welch-Goyal (2008) e Santos-Tessari (2012) são exatamente as âncoras corretas para a narrativa de “simples vence complexo”.</w:t>
      </w:r>
    </w:p>
    <w:p w:rsidR="00982B5D" w:rsidRDefault="00CE17BC">
      <w:pPr>
        <w:pStyle w:val="PargrafodaLista"/>
        <w:numPr>
          <w:ilvl w:val="0"/>
          <w:numId w:val="2"/>
        </w:numPr>
        <w:spacing w:after="80" w:line="276" w:lineRule="auto"/>
        <w:jc w:val="both"/>
      </w:pPr>
      <w:r>
        <w:t>Engenharia de dados: o tratamento de liquidez, IQR, imputação e a lógica de janela expansiva estão m</w:t>
      </w:r>
      <w:r>
        <w:t>etodologicamente bem pensados (descritos nos Apêndices B–J).</w:t>
      </w:r>
    </w:p>
    <w:p w:rsidR="00982B5D" w:rsidRDefault="00CE17BC">
      <w:pPr>
        <w:spacing w:after="120" w:line="276" w:lineRule="auto"/>
        <w:jc w:val="both"/>
      </w:pPr>
      <w:r>
        <w:rPr>
          <w:i/>
          <w:iCs/>
          <w:color w:val="1F3864"/>
        </w:rPr>
        <w:t>Resumo do orientador: o esqueleto de um trabalho A1 está aqui. O que falta é fechar o experimento de forma íntegra, alinhar o que foi prometido ao que foi feito, e dar ao texto o acabamento forma</w:t>
      </w:r>
      <w:r>
        <w:rPr>
          <w:i/>
          <w:iCs/>
          <w:color w:val="1F3864"/>
        </w:rPr>
        <w:t>l que um trabalho quantitativo exige. Faça as quatro ondas na ordem e você terá não só a aprovação, mas um trabalho com potencial de publicação na Revista Brasileira de Finanças ou equivalente.</w:t>
      </w:r>
    </w:p>
    <w:sectPr w:rsidR="00982B5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17BC" w:rsidRDefault="00CE17BC">
      <w:r>
        <w:separator/>
      </w:r>
    </w:p>
  </w:endnote>
  <w:endnote w:type="continuationSeparator" w:id="0">
    <w:p w:rsidR="00CE17BC" w:rsidRDefault="00CE1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2B5D" w:rsidRDefault="00CE17BC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151D94">
      <w:rPr>
        <w:color w:val="808080"/>
        <w:sz w:val="16"/>
        <w:szCs w:val="16"/>
      </w:rPr>
      <w:fldChar w:fldCharType="separate"/>
    </w:r>
    <w:r w:rsidR="006F0EE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 w:rsidR="00151D94">
      <w:rPr>
        <w:color w:val="808080"/>
        <w:sz w:val="16"/>
        <w:szCs w:val="16"/>
      </w:rPr>
      <w:fldChar w:fldCharType="separate"/>
    </w:r>
    <w:r w:rsidR="006F0EE8">
      <w:rPr>
        <w:noProof/>
        <w:color w:val="808080"/>
        <w:sz w:val="16"/>
        <w:szCs w:val="16"/>
      </w:rPr>
      <w:t>9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17BC" w:rsidRDefault="00CE17BC">
      <w:r>
        <w:separator/>
      </w:r>
    </w:p>
  </w:footnote>
  <w:footnote w:type="continuationSeparator" w:id="0">
    <w:p w:rsidR="00CE17BC" w:rsidRDefault="00CE17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2B5D" w:rsidRDefault="00CE17BC">
    <w:pPr>
      <w:pBdr>
        <w:bottom w:val="single" w:sz="4" w:space="4" w:color="2E5496"/>
      </w:pBdr>
      <w:jc w:val="right"/>
    </w:pPr>
    <w:r>
      <w:rPr>
        <w:i/>
        <w:iCs/>
        <w:color w:val="808080"/>
        <w:sz w:val="16"/>
        <w:szCs w:val="16"/>
      </w:rPr>
      <w:t>Parecer de Orientação — TCC Pedro Augusto Pinheiro Reis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C3A20"/>
    <w:multiLevelType w:val="hybridMultilevel"/>
    <w:tmpl w:val="375C10C0"/>
    <w:lvl w:ilvl="0" w:tplc="004CDB04">
      <w:start w:val="1"/>
      <w:numFmt w:val="bullet"/>
      <w:lvlText w:val="●"/>
      <w:lvlJc w:val="left"/>
      <w:pPr>
        <w:ind w:left="720" w:hanging="360"/>
      </w:pPr>
    </w:lvl>
    <w:lvl w:ilvl="1" w:tplc="D47ACE62">
      <w:start w:val="1"/>
      <w:numFmt w:val="bullet"/>
      <w:lvlText w:val="○"/>
      <w:lvlJc w:val="left"/>
      <w:pPr>
        <w:ind w:left="1440" w:hanging="360"/>
      </w:pPr>
    </w:lvl>
    <w:lvl w:ilvl="2" w:tplc="31A26560">
      <w:start w:val="1"/>
      <w:numFmt w:val="bullet"/>
      <w:lvlText w:val="■"/>
      <w:lvlJc w:val="left"/>
      <w:pPr>
        <w:ind w:left="2160" w:hanging="360"/>
      </w:pPr>
    </w:lvl>
    <w:lvl w:ilvl="3" w:tplc="9484F72C">
      <w:start w:val="1"/>
      <w:numFmt w:val="bullet"/>
      <w:lvlText w:val="●"/>
      <w:lvlJc w:val="left"/>
      <w:pPr>
        <w:ind w:left="2880" w:hanging="360"/>
      </w:pPr>
    </w:lvl>
    <w:lvl w:ilvl="4" w:tplc="EE78F778">
      <w:start w:val="1"/>
      <w:numFmt w:val="bullet"/>
      <w:lvlText w:val="○"/>
      <w:lvlJc w:val="left"/>
      <w:pPr>
        <w:ind w:left="3600" w:hanging="360"/>
      </w:pPr>
    </w:lvl>
    <w:lvl w:ilvl="5" w:tplc="8272B404">
      <w:start w:val="1"/>
      <w:numFmt w:val="bullet"/>
      <w:lvlText w:val="■"/>
      <w:lvlJc w:val="left"/>
      <w:pPr>
        <w:ind w:left="4320" w:hanging="360"/>
      </w:pPr>
    </w:lvl>
    <w:lvl w:ilvl="6" w:tplc="B51C7BB0">
      <w:start w:val="1"/>
      <w:numFmt w:val="bullet"/>
      <w:lvlText w:val="●"/>
      <w:lvlJc w:val="left"/>
      <w:pPr>
        <w:ind w:left="5040" w:hanging="360"/>
      </w:pPr>
    </w:lvl>
    <w:lvl w:ilvl="7" w:tplc="7B028810">
      <w:start w:val="1"/>
      <w:numFmt w:val="bullet"/>
      <w:lvlText w:val="●"/>
      <w:lvlJc w:val="left"/>
      <w:pPr>
        <w:ind w:left="5760" w:hanging="360"/>
      </w:pPr>
    </w:lvl>
    <w:lvl w:ilvl="8" w:tplc="6D3036E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1DD1A97"/>
    <w:multiLevelType w:val="hybridMultilevel"/>
    <w:tmpl w:val="A4A0383E"/>
    <w:lvl w:ilvl="0" w:tplc="19F6444A">
      <w:start w:val="1"/>
      <w:numFmt w:val="bullet"/>
      <w:lvlText w:val="•"/>
      <w:lvlJc w:val="left"/>
      <w:pPr>
        <w:ind w:left="540" w:hanging="260"/>
      </w:pPr>
    </w:lvl>
    <w:lvl w:ilvl="1" w:tplc="1CD8F78E">
      <w:start w:val="1"/>
      <w:numFmt w:val="bullet"/>
      <w:lvlText w:val="–"/>
      <w:lvlJc w:val="left"/>
      <w:pPr>
        <w:ind w:left="1040" w:hanging="260"/>
      </w:pPr>
    </w:lvl>
    <w:lvl w:ilvl="2" w:tplc="8D3232D4">
      <w:numFmt w:val="decimal"/>
      <w:lvlText w:val=""/>
      <w:lvlJc w:val="left"/>
    </w:lvl>
    <w:lvl w:ilvl="3" w:tplc="3E9065C0">
      <w:numFmt w:val="decimal"/>
      <w:lvlText w:val=""/>
      <w:lvlJc w:val="left"/>
    </w:lvl>
    <w:lvl w:ilvl="4" w:tplc="E1DE82B2">
      <w:numFmt w:val="decimal"/>
      <w:lvlText w:val=""/>
      <w:lvlJc w:val="left"/>
    </w:lvl>
    <w:lvl w:ilvl="5" w:tplc="78A4B402">
      <w:numFmt w:val="decimal"/>
      <w:lvlText w:val=""/>
      <w:lvlJc w:val="left"/>
    </w:lvl>
    <w:lvl w:ilvl="6" w:tplc="5E30B4FA">
      <w:numFmt w:val="decimal"/>
      <w:lvlText w:val=""/>
      <w:lvlJc w:val="left"/>
    </w:lvl>
    <w:lvl w:ilvl="7" w:tplc="6E74B928">
      <w:numFmt w:val="decimal"/>
      <w:lvlText w:val=""/>
      <w:lvlJc w:val="left"/>
    </w:lvl>
    <w:lvl w:ilvl="8" w:tplc="B8C298A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B5D"/>
    <w:rsid w:val="00151D94"/>
    <w:rsid w:val="006F0EE8"/>
    <w:rsid w:val="00982B5D"/>
    <w:rsid w:val="00CE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F5C854-D715-4D7B-8E6E-8143E562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qFormat/>
    <w:pPr>
      <w:spacing w:before="220" w:after="100"/>
      <w:outlineLvl w:val="1"/>
    </w:pPr>
    <w:rPr>
      <w:b/>
      <w:bCs/>
      <w:color w:val="2E5496"/>
      <w:sz w:val="23"/>
      <w:szCs w:val="23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3419</Words>
  <Characters>18464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Conta da Microsoft</cp:lastModifiedBy>
  <cp:revision>2</cp:revision>
  <dcterms:created xsi:type="dcterms:W3CDTF">2026-05-28T17:54:00Z</dcterms:created>
  <dcterms:modified xsi:type="dcterms:W3CDTF">2026-05-28T17:54:00Z</dcterms:modified>
</cp:coreProperties>
</file>