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3: O Modelo de Black-Litterman: Uma Reconstrução Bayesiana da Alocação de Ativos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Introdução: A Gênese Histórica e a Motivação Teórica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w:t>
      </w:r>
      <w:r w:rsidDel="00000000" w:rsidR="00000000" w:rsidRPr="00000000">
        <w:rPr>
          <w:rFonts w:ascii="Google Sans Text" w:cs="Google Sans Text" w:eastAsia="Google Sans Text" w:hAnsi="Google Sans Text"/>
          <w:i w:val="1"/>
          <w:iCs w:val="1"/>
          <w:color w:val="1f1f1f"/>
          <w:rtl w:val="0"/>
        </w:rPr>
        <w:t xml:space="preserve">framework</w:t>
      </w:r>
      <w:r w:rsidDel="00000000" w:rsidR="00000000" w:rsidRPr="00000000">
        <w:rPr>
          <w:rFonts w:ascii="Google Sans Text" w:cs="Google Sans Text" w:eastAsia="Google Sans Text" w:hAnsi="Google Sans Text"/>
          <w:color w:val="1f1f1f"/>
          <w:rtl w:val="0"/>
        </w:rPr>
        <w:t xml:space="preserve">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O Contexto da Goldman Sachs e a Colaboração Black-Litterman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w:t>
      </w:r>
      <w:r w:rsidDel="00000000" w:rsidR="00000000" w:rsidRPr="00000000">
        <w:rPr>
          <w:rFonts w:ascii="Google Sans Text" w:cs="Google Sans Text" w:eastAsia="Google Sans Text" w:hAnsi="Google Sans Text"/>
          <w:i w:val="1"/>
          <w:iCs w:val="1"/>
          <w:color w:val="1f1f1f"/>
          <w:rtl w:val="0"/>
        </w:rPr>
        <w:t xml:space="preserve">global bonds</w:t>
      </w:r>
      <w:r w:rsidDel="00000000" w:rsidR="00000000" w:rsidRPr="00000000">
        <w:rPr>
          <w:rFonts w:ascii="Google Sans Text" w:cs="Google Sans Text" w:eastAsia="Google Sans Text" w:hAnsi="Google Sans Text"/>
          <w:color w:val="1f1f1f"/>
          <w:rtl w:val="0"/>
        </w:rPr>
        <w:t xml:space="preserve">)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w:t>
      </w:r>
      <w:r w:rsidDel="00000000" w:rsidR="00000000" w:rsidRPr="00000000">
        <w:rPr>
          <w:rFonts w:ascii="Google Sans Text" w:cs="Google Sans Text" w:eastAsia="Google Sans Text" w:hAnsi="Google Sans Text"/>
          <w:i w:val="1"/>
          <w:iCs w:val="1"/>
          <w:color w:val="1f1f1f"/>
          <w:rtl w:val="0"/>
        </w:rPr>
        <w:t xml:space="preserve">The Journal of Fixed Income</w:t>
      </w:r>
      <w:r w:rsidDel="00000000" w:rsidR="00000000" w:rsidRPr="00000000">
        <w:rPr>
          <w:rFonts w:ascii="Google Sans Text" w:cs="Google Sans Text" w:eastAsia="Google Sans Text" w:hAnsi="Google Sans Text"/>
          <w:color w:val="1f1f1f"/>
          <w:rtl w:val="0"/>
        </w:rPr>
        <w:t xml:space="preserve"> (1991) e "Global Portfolio Optimization" no </w:t>
      </w:r>
      <w:r w:rsidDel="00000000" w:rsidR="00000000" w:rsidRPr="00000000">
        <w:rPr>
          <w:rFonts w:ascii="Google Sans Text" w:cs="Google Sans Text" w:eastAsia="Google Sans Text" w:hAnsi="Google Sans Text"/>
          <w:i w:val="1"/>
          <w:iCs w:val="1"/>
          <w:color w:val="1f1f1f"/>
          <w:rtl w:val="0"/>
        </w:rPr>
        <w:t xml:space="preserve">Financial Analysts Journal</w:t>
      </w:r>
      <w:r w:rsidDel="00000000" w:rsidR="00000000" w:rsidRPr="00000000">
        <w:rPr>
          <w:rFonts w:ascii="Google Sans Text" w:cs="Google Sans Text" w:eastAsia="Google Sans Text" w:hAnsi="Google Sans Text"/>
          <w:color w:val="1f1f1f"/>
          <w:rtl w:val="0"/>
        </w:rPr>
        <w:t xml:space="preserve"> (1992).</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Estes trabalhos estabeleceram o BL não apenas como uma ferramenta proprietária da GSAM, mas como o novo padrão da indústria para a alocação de ativos, resolvendo o dilema da sensibilidade aos </w:t>
      </w:r>
      <w:r w:rsidDel="00000000" w:rsidR="00000000" w:rsidRPr="00000000">
        <w:rPr>
          <w:rFonts w:ascii="Google Sans Text" w:cs="Google Sans Text" w:eastAsia="Google Sans Text" w:hAnsi="Google Sans Text"/>
          <w:i w:val="1"/>
          <w:iCs w:val="1"/>
          <w:color w:val="1f1f1f"/>
          <w:rtl w:val="0"/>
        </w:rPr>
        <w:t xml:space="preserve">inputs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A Crítica à MPT: O Dilema da "Maximização de Erros" e as Soluções de Canto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sidDel="00000000" w:rsidR="00000000" w:rsidRPr="00000000">
        <w:rPr>
          <w:rFonts w:ascii="Google Sans Text" w:cs="Google Sans Text" w:eastAsia="Google Sans Text" w:hAnsi="Google Sans Text"/>
          <w:i w:val="1"/>
          <w:iCs w:val="1"/>
          <w:color w:val="1f1f1f"/>
          <w:rtl w:val="0"/>
        </w:rPr>
        <w:t xml:space="preserve">error maximizer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mecanismo da "Maximização de Erros" opera da seguinte forma: os algoritmos de otimização quadrática são matematicamente desenhados para explorar as características extremas dos dados. Eles buscam ativos com a maior razão retorno/risco marginal. No entanto, em finanças, as estimativas de retorno esperado ($\mu$) são notoriamente imprecisas e ruidosas. Quando um ativo apresenta uma estimativa de retorno excepcionalmente alta, é estatisticamente provável que essa estimativa contenha um erro positivo significativo (viés de otimismo ou ruído de amostra). O otimizador, incapaz de distinguir entre um "alpha" verdadeiro e um erro de estimação, aloca agressivamente capital neste ativo. Inversamente, ativos com erros de estimação negativos são penalizados e removidos do portfólio. Consequentemente, o portfólio "ótimo" resultante é, na verdade, uma coleção concentrada dos ativos com os maiores erros de estimação positiva, desempenhando frequentemente pior fora da amostra do que um portfólio ingênuo de pesos iguais ($1/N$).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fenômeno manifesta-se em duas patologias observáveis que inviabilizam o uso institucional da MPT pura: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Instabilidade Crônica dos Pesos:</w:t>
      </w:r>
      <w:r w:rsidDel="00000000" w:rsidR="00000000" w:rsidRPr="00000000">
        <w:rPr>
          <w:rFonts w:ascii="Google Sans Text" w:cs="Google Sans Text" w:eastAsia="Google Sans Text" w:hAnsi="Google Sans Text"/>
          <w:color w:val="1f1f1f"/>
          <w:rtl w:val="0"/>
        </w:rPr>
        <w:t xml:space="preserve"> A topologia da fronteira eficiente em torno do ótimo é frequentemente "plana" ou instável. Pequenas alterações nos </w:t>
      </w:r>
      <w:r w:rsidDel="00000000" w:rsidR="00000000" w:rsidRPr="00000000">
        <w:rPr>
          <w:rFonts w:ascii="Google Sans Text" w:cs="Google Sans Text" w:eastAsia="Google Sans Text" w:hAnsi="Google Sans Text"/>
          <w:i w:val="1"/>
          <w:iCs w:val="1"/>
          <w:color w:val="1f1f1f"/>
          <w:rtl w:val="0"/>
        </w:rPr>
        <w:t xml:space="preserve">inputs</w:t>
      </w:r>
      <w:r w:rsidDel="00000000" w:rsidR="00000000" w:rsidRPr="00000000">
        <w:rPr>
          <w:rFonts w:ascii="Google Sans Text" w:cs="Google Sans Text" w:eastAsia="Google Sans Text" w:hAnsi="Google Sans Text"/>
          <w:color w:val="1f1f1f"/>
          <w:rtl w:val="0"/>
        </w:rPr>
        <w:t xml:space="preserve"> (ex: alterar a expectativa de retorno de um ativo em 0,5%) podem causar mudanças drásticas nas alocações sugeridas (ex: o peso do ativo salta de 0% para 40%). Isso gera custos de transação proibitivos e mina a confiança do comitê de investimento na robustez do modelo.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Soluções de Canto (</w:t>
      </w:r>
      <w:r w:rsidDel="00000000" w:rsidR="00000000" w:rsidRPr="00000000">
        <w:rPr>
          <w:rFonts w:ascii="Google Sans Text" w:cs="Google Sans Text" w:eastAsia="Google Sans Text" w:hAnsi="Google Sans Text"/>
          <w:b w:val="1"/>
          <w:bCs w:val="1"/>
          <w:i w:val="1"/>
          <w:iCs w:val="1"/>
          <w:color w:val="1f1f1f"/>
          <w:rtl w:val="0"/>
        </w:rPr>
        <w:t xml:space="preserve">Corner Solutions</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Quando restrições de não-negatividade (proibição de </w:t>
      </w:r>
      <w:r w:rsidDel="00000000" w:rsidR="00000000" w:rsidRPr="00000000">
        <w:rPr>
          <w:rFonts w:ascii="Google Sans Text" w:cs="Google Sans Text" w:eastAsia="Google Sans Text" w:hAnsi="Google Sans Text"/>
          <w:i w:val="1"/>
          <w:iCs w:val="1"/>
          <w:color w:val="1f1f1f"/>
          <w:rtl w:val="0"/>
        </w:rPr>
        <w:t xml:space="preserve">short selling</w:t>
      </w:r>
      <w:r w:rsidDel="00000000" w:rsidR="00000000" w:rsidRPr="00000000">
        <w:rPr>
          <w:rFonts w:ascii="Google Sans Text" w:cs="Google Sans Text" w:eastAsia="Google Sans Text" w:hAnsi="Google Sans Text"/>
          <w:color w:val="1f1f1f"/>
          <w:rtl w:val="0"/>
        </w:rPr>
        <w:t xml:space="preserve">) são aplicadas, o otimizador tende a colapsar a diversificação. A solução matemática frequentemente reside nos vértices do conjunto viável, resultando em portfólios binários onde a vasta maioria dos ativos tem peso zero e o capital é concentrado em poucos "vencedores" estatísticos. Tais portfólios são intuitivamente rejeitados por gestores prudentes, pois contradizem o princípio fundamental da diversificação.</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Black e Litterman identificaram que a raiz desse problema não estava na otimização em si, mas na impossibilidade de estimar o vetor de retornos esperados ($\mu$) com precisão suficiente usando apenas dados históricos. A solução proposta foi, portanto, metodológica: substituir a estimativa histórica puramente estatística por uma estimativa Bayesiana ancorada na teoria econômica.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3.2 A Abordagem Bayesiana: O Coração Conceitual do Modelo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rigor matemático e a elegância prática do Modelo Black-Litterman residem na sua formulação como um problema de </w:t>
      </w:r>
      <w:r w:rsidDel="00000000" w:rsidR="00000000" w:rsidRPr="00000000">
        <w:rPr>
          <w:rFonts w:ascii="Google Sans Text" w:cs="Google Sans Text" w:eastAsia="Google Sans Text" w:hAnsi="Google Sans Text"/>
          <w:b w:val="1"/>
          <w:bCs w:val="1"/>
          <w:color w:val="1f1f1f"/>
          <w:rtl w:val="0"/>
        </w:rPr>
        <w:t xml:space="preserve">inferência Bayesiana</w:t>
      </w:r>
      <w:r w:rsidDel="00000000" w:rsidR="00000000" w:rsidRPr="00000000">
        <w:rPr>
          <w:rFonts w:ascii="Google Sans Text" w:cs="Google Sans Text" w:eastAsia="Google Sans Text" w:hAnsi="Google Sans Text"/>
          <w:color w:val="1f1f1f"/>
          <w:rtl w:val="0"/>
        </w:rPr>
        <w:t xml:space="preserve">.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estrutura conceitual do BL segue o silogismo Bayesiano clássico:</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Prior: O Equilíbrio de Mercado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ponto de partida do modelo, ou distribuição </w:t>
      </w:r>
      <w:r w:rsidDel="00000000" w:rsidR="00000000" w:rsidRPr="00000000">
        <w:rPr>
          <w:rFonts w:ascii="Google Sans Text" w:cs="Google Sans Text" w:eastAsia="Google Sans Text" w:hAnsi="Google Sans Text"/>
          <w:i w:val="1"/>
          <w:iCs w:val="1"/>
          <w:color w:val="1f1f1f"/>
          <w:rtl w:val="0"/>
        </w:rPr>
        <w:t xml:space="preserve">a priori</w:t>
      </w:r>
      <w:r w:rsidDel="00000000" w:rsidR="00000000" w:rsidRPr="00000000">
        <w:rPr>
          <w:rFonts w:ascii="Google Sans Text" w:cs="Google Sans Text" w:eastAsia="Google Sans Text" w:hAnsi="Google Sans Text"/>
          <w:color w:val="1f1f1f"/>
          <w:rtl w:val="0"/>
        </w:rPr>
        <w:t xml:space="preserve">,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sidDel="00000000" w:rsidR="00000000" w:rsidRPr="00000000">
        <w:rPr>
          <w:rFonts w:ascii="Google Sans Text" w:cs="Google Sans Text" w:eastAsia="Google Sans Text" w:hAnsi="Google Sans Text"/>
          <w:i w:val="1"/>
          <w:iCs w:val="1"/>
          <w:color w:val="1f1f1f"/>
          <w:rtl w:val="0"/>
        </w:rPr>
        <w:t xml:space="preserve">Capital Asset Pricing Model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sidDel="00000000" w:rsidR="00000000" w:rsidRPr="00000000">
        <w:rPr>
          <w:rFonts w:ascii="Google Sans Text" w:cs="Google Sans Text" w:eastAsia="Google Sans Text" w:hAnsi="Google Sans Text"/>
          <w:b w:val="1"/>
          <w:bCs w:val="1"/>
          <w:color w:val="1f1f1f"/>
          <w:rtl w:val="0"/>
        </w:rPr>
        <w:t xml:space="preserve">Retornos de Equilíbrio Implícitos</w:t>
      </w:r>
      <w:r w:rsidDel="00000000" w:rsidR="00000000" w:rsidRPr="00000000">
        <w:rPr>
          <w:rFonts w:ascii="Google Sans Text" w:cs="Google Sans Text" w:eastAsia="Google Sans Text" w:hAnsi="Google Sans Text"/>
          <w:color w:val="1f1f1f"/>
          <w:rtl w:val="0"/>
        </w:rPr>
        <w:t xml:space="preserve"> ($\Pi$), serve como a âncora gravitacional do modelo. Ele garante que, se o gestor não tiver visões ("eu não sei nada"), o modelo recomendará manter o portfólio de mercado passivo, evitando as alocações extremas da MPT.</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Likelihood: As Visões do Investidor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Views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Posterior: A Nova Estimativa Combinada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resultado final é a distribuição </w:t>
      </w:r>
      <w:r w:rsidDel="00000000" w:rsidR="00000000" w:rsidRPr="00000000">
        <w:rPr>
          <w:rFonts w:ascii="Google Sans Text" w:cs="Google Sans Text" w:eastAsia="Google Sans Text" w:hAnsi="Google Sans Text"/>
          <w:i w:val="1"/>
          <w:iCs w:val="1"/>
          <w:color w:val="1f1f1f"/>
          <w:rtl w:val="0"/>
        </w:rPr>
        <w:t xml:space="preserve">a posteriori</w:t>
      </w:r>
      <w:r w:rsidDel="00000000" w:rsidR="00000000" w:rsidRPr="00000000">
        <w:rPr>
          <w:rFonts w:ascii="Google Sans Text" w:cs="Google Sans Text" w:eastAsia="Google Sans Text" w:hAnsi="Google Sans Text"/>
          <w:color w:val="1f1f1f"/>
          <w:rtl w:val="0"/>
        </w:rPr>
        <w:t xml:space="preserve">, calculada aplicando a Regra de Bayes. O vetor de retornos esperados BL ($E_{BL}$) é uma média ponderada complexa entre o Prior (Equilíbrio) e a Likelihood (Visões).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 o gestor tem baixa confiança nas suas visões, o Posterior converge para o Prior (o portfólio tende ao índice de mercado).</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Se o gestor tem alta confiança, o Posterior afasta-se do equilíbrio na direção das visões, alterando os pesos do portfólio.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Essa mecânica atua como um filtro de estabilidade (shrinkage estimator), mitigando a "maximização de erros" ao ancorar as estimativas em valores economicamente plausíveis.19</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3.3 Derivação Matemática Detalhada: A "Fórmula Mestra"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implementação do modelo exige a manipulação precisa de álgebra matricial para combinar as distribuições normais assumidas para o Prior e as Visões. A seguir, detalha-se a derivação dos componentes críticos e a estrutura das matrizes envolvidas.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O Vetor de Retornos Implícitos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$\Pi$</w:t>
      </w:r>
      <w:r w:rsidDel="00000000" w:rsidR="00000000" w:rsidRPr="00000000">
        <w:rPr>
          <w:rFonts w:ascii="Google Sans" w:cs="Google Sans" w:eastAsia="Google Sans" w:hAnsi="Google Sans"/>
          <w:color w:val="1f1f1f"/>
          <w:rtl w:val="0"/>
        </w:rPr>
        <w:t xml:space="preserve">) e a Otimização Reversa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cálculo do Prior baseia-se na inversão da equação de otimização de Markowitz. O problema de maximização da utilidade quadrática do investidor representativo é dado por: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$$\max_w U = w^T \Pi - \frac{\lambda}{2} w^T \Sigma 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Onde: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 ($N \times 1$): Vetor de pesos dos ativos no portfólio de mercado.</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$\Pi$ ($N \times 1$): Vetor desconhecido de retornos em excesso de equilíbrio.</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$\Sigma$ ($N \times N$): Matriz de covariância dos retornos dos ativos (estimada historicamente ou via modelos GARCH).</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$\lambda$ (escalar): Coeficiente de aversão ao risco do mercado.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condição de primeira ordem para a otimização (derivada igual a zero) é $\Pi - \lambda \Sigma w = 0$. Reorganizando para isolar $\Pi$, obtemos a fórmula da </w:t>
      </w:r>
      <w:r w:rsidDel="00000000" w:rsidR="00000000" w:rsidRPr="00000000">
        <w:rPr>
          <w:rFonts w:ascii="Google Sans Text" w:cs="Google Sans Text" w:eastAsia="Google Sans Text" w:hAnsi="Google Sans Text"/>
          <w:b w:val="1"/>
          <w:bCs w:val="1"/>
          <w:color w:val="1f1f1f"/>
          <w:rtl w:val="0"/>
        </w:rPr>
        <w:t xml:space="preserve">Otimização Reversa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$$\Pi = \lambda \Sigma w_{mkt}$$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Este vetor $\Pi$ representa os retornos que o mercado </w:t>
      </w:r>
      <w:r w:rsidDel="00000000" w:rsidR="00000000" w:rsidRPr="00000000">
        <w:rPr>
          <w:rFonts w:ascii="Google Sans Text" w:cs="Google Sans Text" w:eastAsia="Google Sans Text" w:hAnsi="Google Sans Text"/>
          <w:i w:val="1"/>
          <w:iCs w:val="1"/>
          <w:color w:val="1f1f1f"/>
          <w:rtl w:val="0"/>
        </w:rPr>
        <w:t xml:space="preserve">precisa</w:t>
      </w:r>
      <w:r w:rsidDel="00000000" w:rsidR="00000000" w:rsidRPr="00000000">
        <w:rPr>
          <w:rFonts w:ascii="Google Sans Text" w:cs="Google Sans Text" w:eastAsia="Google Sans Text" w:hAnsi="Google Sans Text"/>
          <w:color w:val="1f1f1f"/>
          <w:rtl w:val="0"/>
        </w:rPr>
        <w:t xml:space="preserve"> esperar para que os atuais pesos de capitalização ($w_{mkt}$) sejam ótimos. O parâmetro de aversão ao risco global $\lambda$ é frequentemente calibrado como $\lambda = \frac{E - R_f}{\sigma^2_m}$, situando-se tipicamente entre 2 e 4 em estudos empíricos.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incerteza associada a esta estimativa do Prior é modelada como $\tau\Sigma$, onde $\tau$ é um escalar de proporcionalidade. Portanto, a distribuição do Prior é:</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 \sim N(\Pi, \tau\Sigma)$$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3.3.2 A Estrutura das Visões: Matrizes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$Q$</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$\Omega$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visões subjetivas são modeladas como um sistema linear estocástico: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 \cdot \mu = Q + \varepsilon$$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 termo de erro $\varepsilon \sim N(0, \Omega)$.</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de Projeção / Identificação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É uma matriz de dimensão $K \times N$, onde $K$ é o número de visões e $N$ o número de ativos. Cada linha $k$ mapeia uma visão sobre os ativos.</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Visão Absoluta:</w:t>
      </w:r>
      <w:r w:rsidDel="00000000" w:rsidR="00000000" w:rsidRPr="00000000">
        <w:rPr>
          <w:rFonts w:ascii="Google Sans Text" w:cs="Google Sans Text" w:eastAsia="Google Sans Text" w:hAnsi="Google Sans Text"/>
          <w:color w:val="1f1f1f"/>
          <w:rtl w:val="0"/>
        </w:rPr>
        <w:t xml:space="preserve"> Para uma visão sobre o Ativo A (índice $i$), o elemento $P_{k,i} = 1$ e os demais são 0.</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Visão Relativa:</w:t>
      </w:r>
      <w:r w:rsidDel="00000000" w:rsidR="00000000" w:rsidRPr="00000000">
        <w:rPr>
          <w:rFonts w:ascii="Google Sans Text" w:cs="Google Sans Text" w:eastAsia="Google Sans Text" w:hAnsi="Google Sans Text"/>
          <w:color w:val="1f1f1f"/>
          <w:rtl w:val="0"/>
        </w:rPr>
        <w:t xml:space="preserve"> Para uma visão "Ativo A supera Ativo B", a linha contém valores positivos para A e negativos para B. A soma da linha é tipicamente zero. A ponderação pode ser igualitária ($+1, -1$ ou $+0.5, -0.5$) ou ponderada por capitalização (</w:t>
      </w:r>
      <w:r w:rsidDel="00000000" w:rsidR="00000000" w:rsidRPr="00000000">
        <w:rPr>
          <w:rFonts w:ascii="Google Sans Text" w:cs="Google Sans Text" w:eastAsia="Google Sans Text" w:hAnsi="Google Sans Text"/>
          <w:i w:val="1"/>
          <w:iCs w:val="1"/>
          <w:color w:val="1f1f1f"/>
          <w:rtl w:val="0"/>
        </w:rPr>
        <w:t xml:space="preserve">value-weighted</w:t>
      </w:r>
      <w:r w:rsidDel="00000000" w:rsidR="00000000" w:rsidRPr="00000000">
        <w:rPr>
          <w:rFonts w:ascii="Google Sans Text" w:cs="Google Sans Text" w:eastAsia="Google Sans Text" w:hAnsi="Google Sans Text"/>
          <w:color w:val="1f1f1f"/>
          <w:rtl w:val="0"/>
        </w:rPr>
        <w:t xml:space="preserve">), o que reduz o ruído em visões sobre setores inteiros.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Vetor de Expectativas das Visões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$Q$</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É um vetor coluna $K \times 1$. Cada elemento $Q_k$ representa o retorno esperado da visão $k$. Para visões relativas, $Q_k$ é o </w:t>
      </w:r>
      <w:r w:rsidDel="00000000" w:rsidR="00000000" w:rsidRPr="00000000">
        <w:rPr>
          <w:rFonts w:ascii="Google Sans Text" w:cs="Google Sans Text" w:eastAsia="Google Sans Text" w:hAnsi="Google Sans Text"/>
          <w:i w:val="1"/>
          <w:iCs w:val="1"/>
          <w:color w:val="1f1f1f"/>
          <w:rtl w:val="0"/>
        </w:rPr>
        <w:t xml:space="preserve">spread</w:t>
      </w:r>
      <w:r w:rsidDel="00000000" w:rsidR="00000000" w:rsidRPr="00000000">
        <w:rPr>
          <w:rFonts w:ascii="Google Sans Text" w:cs="Google Sans Text" w:eastAsia="Google Sans Text" w:hAnsi="Google Sans Text"/>
          <w:color w:val="1f1f1f"/>
          <w:rtl w:val="0"/>
        </w:rPr>
        <w:t xml:space="preserve"> ou diferencial de retorno esperado, não o retorno total absoluto.</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de Incerteza das Visões (</w:t>
      </w:r>
      <w:r w:rsidDel="00000000" w:rsidR="00000000" w:rsidRPr="00000000">
        <w:rPr>
          <w:rFonts w:ascii="Google Sans Text" w:cs="Google Sans Text" w:eastAsia="Google Sans Text" w:hAnsi="Google Sans Text"/>
          <w:b w:val="1"/>
          <w:bCs w:val="1"/>
          <w:i w:val="0"/>
          <w:iCs w:val="0"/>
          <w:color w:val="1f1f1f"/>
          <w:sz w:val="24"/>
          <w:szCs w:val="24"/>
          <w:rtl w:val="0"/>
        </w:rPr>
        <w:t xml:space="preserve">$Ω$</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É uma matriz de covariância $K \times K$ dos termos de erro $\varepsilon$. Assume-se geralmente que as visões são independentes, tornando $\Omega$ uma matriz diagonal: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$$\Omega = \text{diag}(\omega_1, \omega_2,..., \omega_k)$$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magnitude de $\omega_k$ representa a incerteza da visão $k$. Se $\omega_k \to 0$, o investidor tem certeza absoluta (confiança infinita), e o modelo forçará o portfólio a satisfazer a visão exatamente. Se $\omega_k \to \infty$, a visão é ignorada.17</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 A Fórmula Mestra de Black-Litterman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Combinando o Prior ($N(\Pi, \tau\Sigma)$) e a Likelihood ($N(Q, \Omega)$) via Teorema de Bayes, obtemos a distribuição Posterior $\mu_{BL} \sim N(E_{BL}, \Sigma_{BL})$. O vetor de retornos esperados combinados é dado pela "Fórmula Mestra":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$$E_{BL} =^{-1}$$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 equação, embora intimidante, é intuitivamente uma </w:t>
      </w:r>
      <w:r w:rsidDel="00000000" w:rsidR="00000000" w:rsidRPr="00000000">
        <w:rPr>
          <w:rFonts w:ascii="Google Sans Text" w:cs="Google Sans Text" w:eastAsia="Google Sans Text" w:hAnsi="Google Sans Text"/>
          <w:b w:val="1"/>
          <w:bCs w:val="1"/>
          <w:color w:val="1f1f1f"/>
          <w:rtl w:val="0"/>
        </w:rPr>
        <w:t xml:space="preserve">média ponderada pela precisão</w:t>
      </w:r>
      <w:r w:rsidDel="00000000" w:rsidR="00000000" w:rsidRPr="00000000">
        <w:rPr>
          <w:rFonts w:ascii="Google Sans Text" w:cs="Google Sans Text" w:eastAsia="Google Sans Text" w:hAnsi="Google Sans Text"/>
          <w:color w:val="1f1f1f"/>
          <w:rtl w:val="0"/>
        </w:rPr>
        <w:t xml:space="preserve"> (inverso da variância).</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 termo $(\tau\Sigma)^{-1}$ é a precisão do Prior (Equilíbrio).</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 termo $P^T \Omega^{-1} P$ é a precisão das Visões projetada no espaço dos ativos.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 modelo pondera $\Pi$ e $Q$ com base nessas precisões relativas.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fins computacionais, utiliza-se frequentemente a </w:t>
      </w:r>
      <w:r w:rsidDel="00000000" w:rsidR="00000000" w:rsidRPr="00000000">
        <w:rPr>
          <w:rFonts w:ascii="Google Sans Text" w:cs="Google Sans Text" w:eastAsia="Google Sans Text" w:hAnsi="Google Sans Text"/>
          <w:b w:val="1"/>
          <w:bCs w:val="1"/>
          <w:color w:val="1f1f1f"/>
          <w:rtl w:val="0"/>
        </w:rPr>
        <w:t xml:space="preserve">Identidade de Matrizes de Woodbury</w:t>
      </w:r>
      <w:r w:rsidDel="00000000" w:rsidR="00000000" w:rsidRPr="00000000">
        <w:rPr>
          <w:rFonts w:ascii="Google Sans Text" w:cs="Google Sans Text" w:eastAsia="Google Sans Text" w:hAnsi="Google Sans Text"/>
          <w:color w:val="1f1f1f"/>
          <w:rtl w:val="0"/>
        </w:rPr>
        <w:t xml:space="preserve"> para reescrever a fórmula de modo a evitar a inversão da matriz $\Sigma$ (que pode ser singular ou mal condicionada em grandes dimensões), resultando na forma alternativa mais estável numericamente: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$$E_{BL} = \Pi + \tau\Sigma P^T^{-1} [Q - P\Pi]$$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Nesta forma, o retorno BL é explicitamente o Retorno de Equilíbrio ($\Pi$) mais um termo de ajuste (</w:t>
      </w:r>
      <w:r w:rsidDel="00000000" w:rsidR="00000000" w:rsidRPr="00000000">
        <w:rPr>
          <w:rFonts w:ascii="Google Sans Text" w:cs="Google Sans Text" w:eastAsia="Google Sans Text" w:hAnsi="Google Sans Text"/>
          <w:i w:val="1"/>
          <w:iCs w:val="1"/>
          <w:color w:val="1f1f1f"/>
          <w:rtl w:val="0"/>
        </w:rPr>
        <w:t xml:space="preserve">tilt</w:t>
      </w:r>
      <w:r w:rsidDel="00000000" w:rsidR="00000000" w:rsidRPr="00000000">
        <w:rPr>
          <w:rFonts w:ascii="Google Sans Text" w:cs="Google Sans Text" w:eastAsia="Google Sans Text" w:hAnsi="Google Sans Text"/>
          <w:color w:val="1f1f1f"/>
          <w:rtl w:val="0"/>
        </w:rPr>
        <w:t xml:space="preserve">). O ajuste depende da discrepância entre a visão e o equilíbrio ($Q - P\Pi$), escalado pela razão entre incerteza do Prior e incerteza da Visão.</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nova matriz de covariância a posteriori, que deve alimentar o otimizador, é:</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$$\Sigma_{BL} = \Sigma +^{-1}$$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que $\Sigma_{BL}$ é maior que a covariância histórica $\Sigma$. O modelo adiciona uma camada extra de risco, refletindo a incerteza epistêmica sobre a verdadeira média dos retornos.22</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3.4 A Controvérsia Teórica sobre o Escalar Tau (</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$\tau$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parâmetro $\tau$ permanece como um dos componentes mais esotéricos e debatidos na literatura do BL, gerando interpretações conflitantes sobre sua calibração e impacto.</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 Visão Original (Black &amp; Litterman, 1992):</w:t>
      </w:r>
      <w:r w:rsidDel="00000000" w:rsidR="00000000" w:rsidRPr="00000000">
        <w:rPr>
          <w:rFonts w:ascii="Google Sans Text" w:cs="Google Sans Text" w:eastAsia="Google Sans Text" w:hAnsi="Google Sans Text"/>
          <w:color w:val="1f1f1f"/>
          <w:rtl w:val="0"/>
        </w:rPr>
        <w:t xml:space="preserve"> Os autores sugeriram que $\tau$ deveria ser um valor pequeno (próximo de zero), argumentando que a incerteza sobre a média de longo prazo é muito menor que a volatilidade dos retornos. Valores entre 0,025 e 0,05 são comuns nesta abordagem.</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 Abordagem Estatística (Walters, 2014; Meucci, 2005):</w:t>
      </w:r>
      <w:r w:rsidDel="00000000" w:rsidR="00000000" w:rsidRPr="00000000">
        <w:rPr>
          <w:rFonts w:ascii="Google Sans Text" w:cs="Google Sans Text" w:eastAsia="Google Sans Text" w:hAnsi="Google Sans Text"/>
          <w:color w:val="1f1f1f"/>
          <w:rtl w:val="0"/>
        </w:rPr>
        <w:t xml:space="preserve"> Argumentam que, se o Prior é derivado de uma série histórica, $\tau$ deve ser calibrado como o erro padrão da média, ou seja, $\tau \approx 1/T$, onde $T$ é o número de observações da amostra. Para 5 anos de dados mensais, $\tau \approx 1/60$. Esta visão fornece uma base empírica objetiva para o parâmetro.</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 Abordagem de Satchell e Scowcroft (2000):</w:t>
      </w:r>
      <w:r w:rsidDel="00000000" w:rsidR="00000000" w:rsidRPr="00000000">
        <w:rPr>
          <w:rFonts w:ascii="Google Sans Text" w:cs="Google Sans Text" w:eastAsia="Google Sans Text" w:hAnsi="Google Sans Text"/>
          <w:color w:val="1f1f1f"/>
          <w:rtl w:val="0"/>
        </w:rPr>
        <w:t xml:space="preserve"> Propuseram fixar $\tau = 1$. Embora simplifique a álgebra, essa escolha altera drasticamente o peso relativo do Prior, exigindo que a matriz $\Omega$ seja recalibrada proporcionalmente para evitar que as visões dominem completamente o portfólio. Eles tratam a incerteza do prior e das visões como magnitudes comparáveis </w:t>
      </w:r>
      <w:r w:rsidDel="00000000" w:rsidR="00000000" w:rsidRPr="00000000">
        <w:rPr>
          <w:rFonts w:ascii="Google Sans Text" w:cs="Google Sans Text" w:eastAsia="Google Sans Text" w:hAnsi="Google Sans Text"/>
          <w:i w:val="1"/>
          <w:iCs w:val="1"/>
          <w:color w:val="1f1f1f"/>
          <w:rtl w:val="0"/>
        </w:rPr>
        <w:t xml:space="preserve">a priori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 última análise, como demonstrado por </w:t>
      </w:r>
      <w:r w:rsidDel="00000000" w:rsidR="00000000" w:rsidRPr="00000000">
        <w:rPr>
          <w:rFonts w:ascii="Google Sans Text" w:cs="Google Sans Text" w:eastAsia="Google Sans Text" w:hAnsi="Google Sans Text"/>
          <w:b w:val="1"/>
          <w:bCs w:val="1"/>
          <w:color w:val="1f1f1f"/>
          <w:rtl w:val="0"/>
        </w:rPr>
        <w:t xml:space="preserve">Thomas Idzorek (2005)</w:t>
      </w:r>
      <w:r w:rsidDel="00000000" w:rsidR="00000000" w:rsidRPr="00000000">
        <w:rPr>
          <w:rFonts w:ascii="Google Sans Text" w:cs="Google Sans Text" w:eastAsia="Google Sans Text" w:hAnsi="Google Sans Text"/>
          <w:color w:val="1f1f1f"/>
          <w:rtl w:val="0"/>
        </w:rPr>
        <w:t xml:space="preserve">, a escolha do valor escalar de $\tau$ torna-se irrelevante para o cálculo do vetor de retornos ($E_{BL}$) se a matriz $\Omega$ for calibrada endogenamente proporcional a $\tau$. Contudo, $\tau$ continua a afetar a matriz de covariância posterior $\Sigma_{BL}$, influenciando a magnitude absoluta do risco estimado.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3.5 Inovações Práticas: O Método de Idzorek e a Matriz </w:t>
      </w:r>
      <w:r w:rsidDel="00000000" w:rsidR="00000000" w:rsidRPr="00000000">
        <w:rPr>
          <w:rFonts w:ascii="Google Sans Text" w:cs="Google Sans Text" w:eastAsia="Google Sans Text" w:hAnsi="Google Sans Text"/>
          <w:b w:val="1"/>
          <w:bCs w:val="1"/>
          <w:i w:val="0"/>
          <w:iCs w:val="0"/>
          <w:color w:val="1f1f1f"/>
          <w:sz w:val="36"/>
          <w:szCs w:val="36"/>
          <w:rtl w:val="0"/>
        </w:rPr>
        <w:t xml:space="preserve">$\Omega$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maior barreira para a adoção generalizada do BL não foi teórica, mas operacional: a especificação da matriz $\Omega$. Solicitar a um gestor que quantifique a "variância do erro da sua previsão" (ex: "Minha visão tem variância de 0.0045") é contra-intuitivo e propenso a erros de calibragem.</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3.5.1 O Algoritmo de Confiança Percentual (Idzorek, 2005)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Thomas Idzorek propôs uma solução pragmática que traduz a intuição humana para a álgebra matricial. Seu método permite que o usuário especifique apenas um </w:t>
      </w:r>
      <w:r w:rsidDel="00000000" w:rsidR="00000000" w:rsidRPr="00000000">
        <w:rPr>
          <w:rFonts w:ascii="Google Sans Text" w:cs="Google Sans Text" w:eastAsia="Google Sans Text" w:hAnsi="Google Sans Text"/>
          <w:b w:val="1"/>
          <w:bCs w:val="1"/>
          <w:color w:val="1f1f1f"/>
          <w:rtl w:val="0"/>
        </w:rPr>
        <w:t xml:space="preserve">nível de confiança percentual</w:t>
      </w:r>
      <w:r w:rsidDel="00000000" w:rsidR="00000000" w:rsidRPr="00000000">
        <w:rPr>
          <w:rFonts w:ascii="Google Sans Text" w:cs="Google Sans Text" w:eastAsia="Google Sans Text" w:hAnsi="Google Sans Text"/>
          <w:color w:val="1f1f1f"/>
          <w:rtl w:val="0"/>
        </w:rPr>
        <w:t xml:space="preserve"> (0% a 100%) para cada visão. O algoritmo então "implica" matematicamente o valor de $\Omega$ necessário.</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processo, detalhado no trabalho seminal "A Step-by-Step Guide to the Black-Litterman Model" (2005), segue os seguintes passos lógicos:</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Cálculo do Portfólio de Certeza Total:</w:t>
      </w:r>
      <w:r w:rsidDel="00000000" w:rsidR="00000000" w:rsidRPr="00000000">
        <w:rPr>
          <w:rFonts w:ascii="Google Sans Text" w:cs="Google Sans Text" w:eastAsia="Google Sans Text" w:hAnsi="Google Sans Text"/>
          <w:color w:val="1f1f1f"/>
          <w:rtl w:val="0"/>
        </w:rPr>
        <w:t xml:space="preserve"> O modelo calcula qual seria o vetor de retornos se o investidor tivesse 100% de confiança na visão (o que equivaleria a $\omega_k \approx 0$). Isso gera um vetor de pesos de alocação de "certeza total".</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Determinação do Desvio Máximo:</w:t>
      </w:r>
      <w:r w:rsidDel="00000000" w:rsidR="00000000" w:rsidRPr="00000000">
        <w:rPr>
          <w:rFonts w:ascii="Google Sans Text" w:cs="Google Sans Text" w:eastAsia="Google Sans Text" w:hAnsi="Google Sans Text"/>
          <w:color w:val="1f1f1f"/>
          <w:rtl w:val="0"/>
        </w:rPr>
        <w:t xml:space="preserve"> Calcula-se a diferença de alocação (vetor de </w:t>
      </w:r>
      <w:r w:rsidDel="00000000" w:rsidR="00000000" w:rsidRPr="00000000">
        <w:rPr>
          <w:rFonts w:ascii="Google Sans Text" w:cs="Google Sans Text" w:eastAsia="Google Sans Text" w:hAnsi="Google Sans Text"/>
          <w:i w:val="1"/>
          <w:iCs w:val="1"/>
          <w:color w:val="1f1f1f"/>
          <w:rtl w:val="0"/>
        </w:rPr>
        <w:t xml:space="preserve">tilts</w:t>
      </w:r>
      <w:r w:rsidDel="00000000" w:rsidR="00000000" w:rsidRPr="00000000">
        <w:rPr>
          <w:rFonts w:ascii="Google Sans Text" w:cs="Google Sans Text" w:eastAsia="Google Sans Text" w:hAnsi="Google Sans Text"/>
          <w:color w:val="1f1f1f"/>
          <w:rtl w:val="0"/>
        </w:rPr>
        <w:t xml:space="preserve">) entre o portfólio de equilíbrio (sem visões) e o portfólio de certeza total.</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Interpolação Linear pela Confiança:</w:t>
      </w:r>
      <w:r w:rsidDel="00000000" w:rsidR="00000000" w:rsidRPr="00000000">
        <w:rPr>
          <w:rFonts w:ascii="Google Sans Text" w:cs="Google Sans Text" w:eastAsia="Google Sans Text" w:hAnsi="Google Sans Text"/>
          <w:color w:val="1f1f1f"/>
          <w:rtl w:val="0"/>
        </w:rPr>
        <w:t xml:space="preserve"> Se o investidor declara 50% de confiança, o algoritmo define que o </w:t>
      </w:r>
      <w:r w:rsidDel="00000000" w:rsidR="00000000" w:rsidRPr="00000000">
        <w:rPr>
          <w:rFonts w:ascii="Google Sans Text" w:cs="Google Sans Text" w:eastAsia="Google Sans Text" w:hAnsi="Google Sans Text"/>
          <w:i w:val="1"/>
          <w:iCs w:val="1"/>
          <w:color w:val="1f1f1f"/>
          <w:rtl w:val="0"/>
        </w:rPr>
        <w:t xml:space="preserve">tilt</w:t>
      </w:r>
      <w:r w:rsidDel="00000000" w:rsidR="00000000" w:rsidRPr="00000000">
        <w:rPr>
          <w:rFonts w:ascii="Google Sans Text" w:cs="Google Sans Text" w:eastAsia="Google Sans Text" w:hAnsi="Google Sans Text"/>
          <w:color w:val="1f1f1f"/>
          <w:rtl w:val="0"/>
        </w:rPr>
        <w:t xml:space="preserve"> alvo deve ser 50% do desvio máximo calculado no passo anterior.</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Engenharia Reversa de $\Omega$:</w:t>
      </w:r>
      <w:r w:rsidDel="00000000" w:rsidR="00000000" w:rsidRPr="00000000">
        <w:rPr>
          <w:rFonts w:ascii="Google Sans Text" w:cs="Google Sans Text" w:eastAsia="Google Sans Text" w:hAnsi="Google Sans Text"/>
          <w:color w:val="1f1f1f"/>
          <w:rtl w:val="0"/>
        </w:rPr>
        <w:t xml:space="preserve"> O algoritmo resolve iterativamente ou analiticamente para encontrar os valores da diagonal de $\Omega$ que, quando inseridos na fórmula mestra do BL, resultam exatamente nesses pesos-alvo interpolados.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fórmula implícita derivada por Idzorek assume que a variância da visão é proporcional à variância do portfólio da visão ($p_k \Sigma p_k^T$) ajustada por um fator de escala $\alpha$ derivado da confiança ($C$):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$$\omega_k = \tau \cdot (p_k \Sigma p_k^T) \cdot \left(\frac{1-C}{C}\right)$$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Essa inovação democratizou o modelo, permitindo que gestores fundamentais utilizassem a ferramenta quantitativa sem necessidade de doutorado em estatística, expressando visões como "Tenho 80% de confiança que Tech superará Energy".21</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3.6 Comparação Crítica: BL, MPT e PMPT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análise da evolução dos modelos de alocação exige distinguir claramente o papel de cada teoria. Uma confusão comum é tratar BL e PMPT como concorrentes diretos, quando na verdade atuam em dimensões distintas do problema de portfólio.</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3.6.1 MPT vs. BL: A Correção da Estabilidade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MPT (Markowitz) falha primariamente na </w:t>
      </w:r>
      <w:r w:rsidDel="00000000" w:rsidR="00000000" w:rsidRPr="00000000">
        <w:rPr>
          <w:rFonts w:ascii="Google Sans Text" w:cs="Google Sans Text" w:eastAsia="Google Sans Text" w:hAnsi="Google Sans Text"/>
          <w:b w:val="1"/>
          <w:bCs w:val="1"/>
          <w:color w:val="1f1f1f"/>
          <w:rtl w:val="0"/>
        </w:rPr>
        <w:t xml:space="preserve">sensibilidade aos inputs</w:t>
      </w:r>
      <w:r w:rsidDel="00000000" w:rsidR="00000000" w:rsidRPr="00000000">
        <w:rPr>
          <w:rFonts w:ascii="Google Sans Text" w:cs="Google Sans Text" w:eastAsia="Google Sans Text" w:hAnsi="Google Sans Text"/>
          <w:color w:val="1f1f1f"/>
          <w:rtl w:val="0"/>
        </w:rPr>
        <w:t xml:space="preserve">. Como discutido (Seção 3.1.2), a MPT maximiza erros de estimação, levando a soluções de canto. O BL corrige isso não alterando o otimizador, mas "limpando" os inputs. Ao ancorar o retorno esperado ($\mu$) no equilíbrio, o BL atua como um filtro Bayesiano que remove o ruído estatístico. O resultado são portfólios que, mesmo sem restrições, tendem a ser diversificados e intuitivos, ao contrário das alocações binárias da MPT pura.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3.6.2 BL vs. PMPT: Complementaridade Estrutural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Teoria Pós-Moderna do Portfólio (PMPT) critica a MPT por um motivo diferente: a </w:t>
      </w:r>
      <w:r w:rsidDel="00000000" w:rsidR="00000000" w:rsidRPr="00000000">
        <w:rPr>
          <w:rFonts w:ascii="Google Sans Text" w:cs="Google Sans Text" w:eastAsia="Google Sans Text" w:hAnsi="Google Sans Text"/>
          <w:b w:val="1"/>
          <w:bCs w:val="1"/>
          <w:color w:val="1f1f1f"/>
          <w:rtl w:val="0"/>
        </w:rPr>
        <w:t xml:space="preserve">medida de risco</w:t>
      </w:r>
      <w:r w:rsidDel="00000000" w:rsidR="00000000" w:rsidRPr="00000000">
        <w:rPr>
          <w:rFonts w:ascii="Google Sans Text" w:cs="Google Sans Text" w:eastAsia="Google Sans Text" w:hAnsi="Google Sans Text"/>
          <w:color w:val="1f1f1f"/>
          <w:rtl w:val="0"/>
        </w:rPr>
        <w:t xml:space="preserve">. A PMPT argumenta que a variância (utilizada tanto na MPT quanto no BL clássico) é uma medida falha porque penaliza a volatilidade positiva (</w:t>
      </w:r>
      <w:r w:rsidDel="00000000" w:rsidR="00000000" w:rsidRPr="00000000">
        <w:rPr>
          <w:rFonts w:ascii="Google Sans Text" w:cs="Google Sans Text" w:eastAsia="Google Sans Text" w:hAnsi="Google Sans Text"/>
          <w:i w:val="1"/>
          <w:iCs w:val="1"/>
          <w:color w:val="1f1f1f"/>
          <w:rtl w:val="0"/>
        </w:rPr>
        <w:t xml:space="preserve">upside</w:t>
      </w:r>
      <w:r w:rsidDel="00000000" w:rsidR="00000000" w:rsidRPr="00000000">
        <w:rPr>
          <w:rFonts w:ascii="Google Sans Text" w:cs="Google Sans Text" w:eastAsia="Google Sans Text" w:hAnsi="Google Sans Text"/>
          <w:color w:val="1f1f1f"/>
          <w:rtl w:val="0"/>
        </w:rPr>
        <w:t xml:space="preserve">) tanto quanto a negativa. A PMPT propõe métricas assimétricas como Semivariância, </w:t>
      </w:r>
      <w:r w:rsidDel="00000000" w:rsidR="00000000" w:rsidRPr="00000000">
        <w:rPr>
          <w:rFonts w:ascii="Google Sans Text" w:cs="Google Sans Text" w:eastAsia="Google Sans Text" w:hAnsi="Google Sans Text"/>
          <w:i w:val="1"/>
          <w:iCs w:val="1"/>
          <w:color w:val="1f1f1f"/>
          <w:rtl w:val="0"/>
        </w:rPr>
        <w:t xml:space="preserve">Downside Deviation</w:t>
      </w:r>
      <w:r w:rsidDel="00000000" w:rsidR="00000000" w:rsidRPr="00000000">
        <w:rPr>
          <w:rFonts w:ascii="Google Sans Text" w:cs="Google Sans Text" w:eastAsia="Google Sans Text" w:hAnsi="Google Sans Text"/>
          <w:color w:val="1f1f1f"/>
          <w:rtl w:val="0"/>
        </w:rPr>
        <w:t xml:space="preserve"> e CVaR (</w:t>
      </w:r>
      <w:r w:rsidDel="00000000" w:rsidR="00000000" w:rsidRPr="00000000">
        <w:rPr>
          <w:rFonts w:ascii="Google Sans Text" w:cs="Google Sans Text" w:eastAsia="Google Sans Text" w:hAnsi="Google Sans Text"/>
          <w:i w:val="1"/>
          <w:iCs w:val="1"/>
          <w:color w:val="1f1f1f"/>
          <w:rtl w:val="0"/>
        </w:rPr>
        <w:t xml:space="preserve">Conditional Value at Risk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relação entre BL e PMPT é de </w:t>
      </w:r>
      <w:r w:rsidDel="00000000" w:rsidR="00000000" w:rsidRPr="00000000">
        <w:rPr>
          <w:rFonts w:ascii="Google Sans Text" w:cs="Google Sans Text" w:eastAsia="Google Sans Text" w:hAnsi="Google Sans Text"/>
          <w:b w:val="1"/>
          <w:bCs w:val="1"/>
          <w:color w:val="1f1f1f"/>
          <w:rtl w:val="0"/>
        </w:rPr>
        <w:t xml:space="preserve">complementaridade</w:t>
      </w:r>
      <w:r w:rsidDel="00000000" w:rsidR="00000000" w:rsidRPr="00000000">
        <w:rPr>
          <w:rFonts w:ascii="Google Sans Text" w:cs="Google Sans Text" w:eastAsia="Google Sans Text" w:hAnsi="Google Sans Text"/>
          <w:color w:val="1f1f1f"/>
          <w:rtl w:val="0"/>
        </w:rPr>
        <w:t xml:space="preserve">, não substituição:</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Black-Litterman</w:t>
      </w:r>
      <w:r w:rsidDel="00000000" w:rsidR="00000000" w:rsidRPr="00000000">
        <w:rPr>
          <w:rFonts w:ascii="Google Sans Text" w:cs="Google Sans Text" w:eastAsia="Google Sans Text" w:hAnsi="Google Sans Text"/>
          <w:color w:val="1f1f1f"/>
          <w:rtl w:val="0"/>
        </w:rPr>
        <w:t xml:space="preserve"> foca na melhoria da </w:t>
      </w:r>
      <w:r w:rsidDel="00000000" w:rsidR="00000000" w:rsidRPr="00000000">
        <w:rPr>
          <w:rFonts w:ascii="Google Sans Text" w:cs="Google Sans Text" w:eastAsia="Google Sans Text" w:hAnsi="Google Sans Text"/>
          <w:b w:val="1"/>
          <w:bCs w:val="1"/>
          <w:color w:val="1f1f1f"/>
          <w:rtl w:val="0"/>
        </w:rPr>
        <w:t xml:space="preserve">Estimativa de Retorno</w:t>
      </w:r>
      <w:r w:rsidDel="00000000" w:rsidR="00000000" w:rsidRPr="00000000">
        <w:rPr>
          <w:rFonts w:ascii="Google Sans Text" w:cs="Google Sans Text" w:eastAsia="Google Sans Text" w:hAnsi="Google Sans Text"/>
          <w:color w:val="1f1f1f"/>
          <w:rtl w:val="0"/>
        </w:rPr>
        <w:t xml:space="preserve"> (Primeiro Momento, $\mu$).</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PMPT</w:t>
      </w:r>
      <w:r w:rsidDel="00000000" w:rsidR="00000000" w:rsidRPr="00000000">
        <w:rPr>
          <w:rFonts w:ascii="Google Sans Text" w:cs="Google Sans Text" w:eastAsia="Google Sans Text" w:hAnsi="Google Sans Text"/>
          <w:color w:val="1f1f1f"/>
          <w:rtl w:val="0"/>
        </w:rPr>
        <w:t xml:space="preserve"> foca na melhoria da </w:t>
      </w:r>
      <w:r w:rsidDel="00000000" w:rsidR="00000000" w:rsidRPr="00000000">
        <w:rPr>
          <w:rFonts w:ascii="Google Sans Text" w:cs="Google Sans Text" w:eastAsia="Google Sans Text" w:hAnsi="Google Sans Text"/>
          <w:b w:val="1"/>
          <w:bCs w:val="1"/>
          <w:color w:val="1f1f1f"/>
          <w:rtl w:val="0"/>
        </w:rPr>
        <w:t xml:space="preserve">Medição de Risco</w:t>
      </w:r>
      <w:r w:rsidDel="00000000" w:rsidR="00000000" w:rsidRPr="00000000">
        <w:rPr>
          <w:rFonts w:ascii="Google Sans Text" w:cs="Google Sans Text" w:eastAsia="Google Sans Text" w:hAnsi="Google Sans Text"/>
          <w:color w:val="1f1f1f"/>
          <w:rtl w:val="0"/>
        </w:rPr>
        <w:t xml:space="preserve"> (Segundos Momentos e Caudas).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Consequentemente, a fronteira da pesquisa atual em finanças quantitativas propõe modelos híbridos </w:t>
      </w:r>
      <w:r w:rsidDel="00000000" w:rsidR="00000000" w:rsidRPr="00000000">
        <w:rPr>
          <w:rFonts w:ascii="Google Sans Text" w:cs="Google Sans Text" w:eastAsia="Google Sans Text" w:hAnsi="Google Sans Text"/>
          <w:b w:val="1"/>
          <w:bCs w:val="1"/>
          <w:color w:val="1f1f1f"/>
          <w:rtl w:val="0"/>
        </w:rPr>
        <w:t xml:space="preserve">"BL-Mean-CVaR"</w:t>
      </w:r>
      <w:r w:rsidDel="00000000" w:rsidR="00000000" w:rsidRPr="00000000">
        <w:rPr>
          <w:rFonts w:ascii="Google Sans Text" w:cs="Google Sans Text" w:eastAsia="Google Sans Text" w:hAnsi="Google Sans Text"/>
          <w:color w:val="1f1f1f"/>
          <w:rtl w:val="0"/>
        </w:rPr>
        <w:t xml:space="preserve">. Nesta abordagem, utiliza-se a estrutura Bayesiana do BL para derivar o vetor de retornos esperados robustos ($\mu_{BL}$) e, subsequentemente, alimenta-se este vetor em um otimizador que minimiza o CVaR ou maximiza o Índice de Sortino (PMPT), em vez de minimizar a variância. Estudos empíricos indicam que essa combinação "Inputs BL + Otimizador PMPT" gera os portfólios mais robustos </w:t>
      </w:r>
      <w:r w:rsidDel="00000000" w:rsidR="00000000" w:rsidRPr="00000000">
        <w:rPr>
          <w:rFonts w:ascii="Google Sans Text" w:cs="Google Sans Text" w:eastAsia="Google Sans Text" w:hAnsi="Google Sans Text"/>
          <w:i w:val="1"/>
          <w:iCs w:val="1"/>
          <w:color w:val="1f1f1f"/>
          <w:rtl w:val="0"/>
        </w:rPr>
        <w:t xml:space="preserve">out-of-sample</w:t>
      </w:r>
      <w:r w:rsidDel="00000000" w:rsidR="00000000" w:rsidRPr="00000000">
        <w:rPr>
          <w:rFonts w:ascii="Google Sans Text" w:cs="Google Sans Text" w:eastAsia="Google Sans Text" w:hAnsi="Google Sans Text"/>
          <w:color w:val="1f1f1f"/>
          <w:rtl w:val="0"/>
        </w:rPr>
        <w:t xml:space="preserve">, protegendo contra riscos de cauda enquanto evita a instabilidade de alocação.</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3.1: Síntese Comparativa dos Modelos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Dimensão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MPT (Markowitz)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Black-Litterman (BL)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PMPT (Pós-Moderna)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Foco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Diversificação Matemática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Estabilidade da Estimativa ($\mu$)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Assimetria do Risco (Downside)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Input de Retorno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Histórico (Instável)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Equilíbrio + Visões (Bayesiano)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Histórico ou Subjetivo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Tratamento de Erros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Maximiza Erros (Michaud)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Mitiga via </w:t>
            </w:r>
            <w:r w:rsidDel="00000000" w:rsidR="00000000" w:rsidRPr="00000000">
              <w:rPr>
                <w:rFonts w:ascii="Google Sans Text" w:cs="Google Sans Text" w:eastAsia="Google Sans Text" w:hAnsi="Google Sans Text"/>
                <w:i w:val="1"/>
                <w:iCs w:val="1"/>
                <w:color w:val="1f1f1f"/>
                <w:shd w:fill="auto" w:val="clear"/>
                <w:rtl w:val="0"/>
              </w:rPr>
              <w:t xml:space="preserve">Shrinkage</w:t>
            </w:r>
            <w:r w:rsidDel="00000000" w:rsidR="00000000" w:rsidRPr="00000000">
              <w:rPr>
                <w:rFonts w:ascii="Google Sans Text" w:cs="Google Sans Text" w:eastAsia="Google Sans Text" w:hAnsi="Google Sans Text"/>
                <w:color w:val="1f1f1f"/>
                <w:shd w:fill="auto" w:val="clear"/>
                <w:rtl w:val="0"/>
              </w:rPr>
              <w:t xml:space="preserve"> (Prior)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Neutro (Depende do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Medida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Variância (Simétrica)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Variância (Canônico)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Semivariância, CVaR, LPM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Resultado Típico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Soluções de Canto (Instáveis)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Portfólio Diversificado (Estável)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Proteção de Cauda e Assimetria</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3.7 Limitações e Extensões Modernas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Apesar de sua elegância, o modelo BL clássico de 1992 não é isento de falhas, muitas das quais derivam de suas premissas simplificadoras herdadas da MPT.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3.7.1 A Dependência da Normalidade e do CAPM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modelo assume que os retornos dos ativos seguem uma distribuição Normal Multivariada. Esta suposição é empiricamente rejeitada pela presença observada de "caudas gordas" (leptocurtose) e assimetria (</w:t>
      </w:r>
      <w:r w:rsidDel="00000000" w:rsidR="00000000" w:rsidRPr="00000000">
        <w:rPr>
          <w:rFonts w:ascii="Google Sans Text" w:cs="Google Sans Text" w:eastAsia="Google Sans Text" w:hAnsi="Google Sans Text"/>
          <w:i w:val="1"/>
          <w:iCs w:val="1"/>
          <w:color w:val="1f1f1f"/>
          <w:rtl w:val="0"/>
        </w:rPr>
        <w:t xml:space="preserve">skewness</w:t>
      </w:r>
      <w:r w:rsidDel="00000000" w:rsidR="00000000" w:rsidRPr="00000000">
        <w:rPr>
          <w:rFonts w:ascii="Google Sans Text" w:cs="Google Sans Text" w:eastAsia="Google Sans Text" w:hAnsi="Google Sans Text"/>
          <w:color w:val="1f1f1f"/>
          <w:rtl w:val="0"/>
        </w:rPr>
        <w:t xml:space="preserve">) nos mercados financeiros, especialmente em períodos de crise.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O uso da distribuição normal subestima a probabilidade de eventos extremos, tornando o BL clássico vulnerável a "Cisnes Negros". Adicionalmente, o Prior depende da validade do CAPM. Se o mercado for ineficiente ou se o </w:t>
      </w:r>
      <w:r w:rsidDel="00000000" w:rsidR="00000000" w:rsidRPr="00000000">
        <w:rPr>
          <w:rFonts w:ascii="Google Sans Text" w:cs="Google Sans Text" w:eastAsia="Google Sans Text" w:hAnsi="Google Sans Text"/>
          <w:i w:val="1"/>
          <w:iCs w:val="1"/>
          <w:color w:val="1f1f1f"/>
          <w:rtl w:val="0"/>
        </w:rPr>
        <w:t xml:space="preserve">proxy</w:t>
      </w:r>
      <w:r w:rsidDel="00000000" w:rsidR="00000000" w:rsidRPr="00000000">
        <w:rPr>
          <w:rFonts w:ascii="Google Sans Text" w:cs="Google Sans Text" w:eastAsia="Google Sans Text" w:hAnsi="Google Sans Text"/>
          <w:color w:val="1f1f1f"/>
          <w:rtl w:val="0"/>
        </w:rPr>
        <w:t xml:space="preserve"> do portfólio de mercado for inadequado, o ponto de ancoragem $\Pi$ estará enviesado ("Garbage In"), contaminando toda a alocação subsequente.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3.7.2 Entropy Pooling e Fully Flexible Views (Meucci)</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 superar a restrição da normalidade, Attilio Meucci (2008, 2010) introduziu a generalização conhecida como </w:t>
      </w:r>
      <w:r w:rsidDel="00000000" w:rsidR="00000000" w:rsidRPr="00000000">
        <w:rPr>
          <w:rFonts w:ascii="Google Sans Text" w:cs="Google Sans Text" w:eastAsia="Google Sans Text" w:hAnsi="Google Sans Text"/>
          <w:b w:val="1"/>
          <w:bCs w:val="1"/>
          <w:color w:val="1f1f1f"/>
          <w:rtl w:val="0"/>
        </w:rPr>
        <w:t xml:space="preserve">Entropy Pooling</w:t>
      </w:r>
      <w:r w:rsidDel="00000000" w:rsidR="00000000" w:rsidRPr="00000000">
        <w:rPr>
          <w:rFonts w:ascii="Google Sans Text" w:cs="Google Sans Text" w:eastAsia="Google Sans Text" w:hAnsi="Google Sans Text"/>
          <w:color w:val="1f1f1f"/>
          <w:rtl w:val="0"/>
        </w:rPr>
        <w:t xml:space="preserve"> (Agrupamento de Entropia). Diferente do BL que usa fórmulas fechadas para conjugados gaussianos, o Entropy Pooling utiliza otimização numérica para minimizar a </w:t>
      </w:r>
      <w:r w:rsidDel="00000000" w:rsidR="00000000" w:rsidRPr="00000000">
        <w:rPr>
          <w:rFonts w:ascii="Google Sans Text" w:cs="Google Sans Text" w:eastAsia="Google Sans Text" w:hAnsi="Google Sans Text"/>
          <w:b w:val="1"/>
          <w:bCs w:val="1"/>
          <w:color w:val="1f1f1f"/>
          <w:rtl w:val="0"/>
        </w:rPr>
        <w:t xml:space="preserve">Divergência de Kullback-Leibler</w:t>
      </w:r>
      <w:r w:rsidDel="00000000" w:rsidR="00000000" w:rsidRPr="00000000">
        <w:rPr>
          <w:rFonts w:ascii="Google Sans Text" w:cs="Google Sans Text" w:eastAsia="Google Sans Text" w:hAnsi="Google Sans Text"/>
          <w:color w:val="1f1f1f"/>
          <w:rtl w:val="0"/>
        </w:rPr>
        <w:t xml:space="preserve"> (Entropia Relativa) entre a distribuição Prior e a Posterior.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vantagens desta extensão são profundas:</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Prior Genérico:</w:t>
      </w:r>
      <w:r w:rsidDel="00000000" w:rsidR="00000000" w:rsidRPr="00000000">
        <w:rPr>
          <w:rFonts w:ascii="Google Sans Text" w:cs="Google Sans Text" w:eastAsia="Google Sans Text" w:hAnsi="Google Sans Text"/>
          <w:color w:val="1f1f1f"/>
          <w:rtl w:val="0"/>
        </w:rPr>
        <w:t xml:space="preserve"> O Prior não precisa ser normal ou de equilíbrio. Pode ser uma distribuição empírica histórica, uma distribuição de Monte Carlo com caudas pesadas, ou derivada de Cópulas para modelar dependência não-linear nas caudas.</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Visões Flexíveis:</w:t>
      </w:r>
      <w:r w:rsidDel="00000000" w:rsidR="00000000" w:rsidRPr="00000000">
        <w:rPr>
          <w:rFonts w:ascii="Google Sans Text" w:cs="Google Sans Text" w:eastAsia="Google Sans Text" w:hAnsi="Google Sans Text"/>
          <w:color w:val="1f1f1f"/>
          <w:rtl w:val="0"/>
        </w:rPr>
        <w:t xml:space="preserve"> O gestor não se limita a visões sobre médias ($Q$). É possível inserir visões sobre volatilidade ("A vol vai aumentar"), correlação, ou medidas de cauda como o VaR ("O risco de perda máxima será de 15%").</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Consistência:</w:t>
      </w:r>
      <w:r w:rsidDel="00000000" w:rsidR="00000000" w:rsidRPr="00000000">
        <w:rPr>
          <w:rFonts w:ascii="Google Sans Text" w:cs="Google Sans Text" w:eastAsia="Google Sans Text" w:hAnsi="Google Sans Text"/>
          <w:color w:val="1f1f1f"/>
          <w:rtl w:val="0"/>
        </w:rPr>
        <w:t xml:space="preserve"> O método garante que a distribuição Posterior seja a mais próxima possível do Prior (preservando a estrutura de mercado) enquanto satisfaz as restrições impostas pelas visões complexas.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Essa abordagem representa o estado da arte na alocação de ativos, permitindo a fusão da estabilidade Bayesiana do BL com a consciência de risco de cauda da PMPT em um framework matemático unificado e agnóstico quanto à distribuição subjacente.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Conclusão do Capítulo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Modelo de Black-Litterman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sidDel="00000000" w:rsidR="00000000" w:rsidRPr="00000000">
        <w:rPr>
          <w:rFonts w:ascii="Google Sans Text" w:cs="Google Sans Text" w:eastAsia="Google Sans Text" w:hAnsi="Google Sans Text"/>
          <w:i w:val="1"/>
          <w:iCs w:val="1"/>
          <w:color w:val="1f1f1f"/>
          <w:rtl w:val="0"/>
        </w:rPr>
        <w:t xml:space="preserve">Entropy Pooling</w:t>
      </w:r>
      <w:r w:rsidDel="00000000" w:rsidR="00000000" w:rsidRPr="00000000">
        <w:rPr>
          <w:rFonts w:ascii="Google Sans Text" w:cs="Google Sans Text" w:eastAsia="Google Sans Text" w:hAnsi="Google Sans Text"/>
          <w:color w:val="1f1f1f"/>
          <w:rtl w:val="0"/>
        </w:rPr>
        <w:t xml:space="preserve"> de Meucci, asseguram que o modelo permaneça adaptável a um mundo financeiro cada vez mais complexo e não-normal, servindo como a ponte ideal entre a teoria de eficiência de mercado e a gestão ativa prática.</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Entrega_2_14_11_25_Pedro_Reis_TMP.docx</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on Black-Litterman Model - Medium, acessado em dezembro 2, 2025, </w:t>
      </w:r>
      <w:hyperlink r:id="rId6">
        <w:r w:rsidDel="00000000" w:rsidR="00000000" w:rsidRPr="00000000">
          <w:rPr>
            <w:rFonts w:ascii="Google Sans" w:cs="Google Sans" w:eastAsia="Google Sans" w:hAnsi="Google Sans"/>
            <w:color w:val="0000ee"/>
            <w:sz w:val="24"/>
            <w:szCs w:val="24"/>
            <w:u w:val="single"/>
            <w:rtl w:val="0"/>
          </w:rPr>
          <w:t xml:space="preserve">https://medium.com/@li.ying.explore/reading-on-black-litterman-model-beecfcd0a82c</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Innovative Black-Litterman Global Asset Allocation Model Is Developed at Goldman Sachs, acessado em dezembro 2, 2025, </w:t>
      </w:r>
      <w:hyperlink r:id="rId7">
        <w:r w:rsidDel="00000000" w:rsidR="00000000" w:rsidRPr="00000000">
          <w:rPr>
            <w:rFonts w:ascii="Google Sans" w:cs="Google Sans" w:eastAsia="Google Sans" w:hAnsi="Google Sans"/>
            <w:color w:val="0000ee"/>
            <w:sz w:val="24"/>
            <w:szCs w:val="24"/>
            <w:u w:val="single"/>
            <w:rtl w:val="0"/>
          </w:rPr>
          <w:t xml:space="preserve">https://www.goldmansachs.com/our-firm/history/moments/1990-black-litterman-model</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Portfolio Optimization: The Black-Litterman Model &amp; AI Techniques - MarketXLS, acessado em dezembro 2, 2025, </w:t>
      </w:r>
      <w:hyperlink r:id="rId8">
        <w:r w:rsidDel="00000000" w:rsidR="00000000" w:rsidRPr="00000000">
          <w:rPr>
            <w:rFonts w:ascii="Google Sans" w:cs="Google Sans" w:eastAsia="Google Sans" w:hAnsi="Google Sans"/>
            <w:color w:val="0000ee"/>
            <w:sz w:val="24"/>
            <w:szCs w:val="24"/>
            <w:u w:val="single"/>
            <w:rtl w:val="0"/>
          </w:rPr>
          <w:t xml:space="preserve">https://marketxls.com/blog/advanced-portfolio-optimization-black-litterman-ai</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In Detail, acessado em dezembro 2, 2025, </w:t>
      </w:r>
      <w:hyperlink r:id="rId9">
        <w:r w:rsidDel="00000000" w:rsidR="00000000" w:rsidRPr="00000000">
          <w:rPr>
            <w:rFonts w:ascii="Google Sans" w:cs="Google Sans" w:eastAsia="Google Sans" w:hAnsi="Google Sans"/>
            <w:color w:val="0000ee"/>
            <w:sz w:val="24"/>
            <w:szCs w:val="24"/>
            <w:u w:val="single"/>
            <w:rtl w:val="0"/>
          </w:rPr>
          <w:t xml:space="preserve">https://par.cse.nsysu.edu.tw/resource/paper/2011/110615/The%20Black-Litterman%20Model%20in%20Detail.pdf</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Michaud 1989 | PDF | Modern Portfolio Theory | Mathematical Optimization - Scribd, acessado em dezembro 2, 2025,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https://www.scribd.com/document/673001364/michaud-1989</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Markowitz Optimization Enigma: is 'Optimized' Optimal? | Request PDF - ResearchGate, acessado em dezembro 2,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https://www.researchgate.net/publication/314444182_The_Markowitz_Optimization_Enigma_is_'Optimized'_Optimal</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Markowitz Optimization Enigma - ResearchGate, acessado em dezembro 2,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https://www.researchgate.net/profile/Richard-Michaud-2/publication/247883727_The_Markowitz_Optimization_Enigma_Is_'Optimized'_Optimal/links/5aba6245a6fdcc0e3d9f69a3/The-Markowitz-Optimization-Enigma-Is-Optimized-Optimal.pdf</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Incorporating estimation errors into portfolio selection: Robust portfolio construction, acessado em dezembro 2,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https://www.researchgate.net/publication/228380747_Incorporating_estimation_errors_into_portfolio_selection_Robust_portfolio_construction</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Markowitz mean-variance optimization as "error maximization", acessado em dezembro 2, 2025, </w:t>
      </w:r>
      <w:hyperlink r:id="rId14">
        <w:r w:rsidDel="00000000" w:rsidR="00000000" w:rsidRPr="00000000">
          <w:rPr>
            <w:rFonts w:ascii="Google Sans" w:cs="Google Sans" w:eastAsia="Google Sans" w:hAnsi="Google Sans"/>
            <w:color w:val="0000ee"/>
            <w:sz w:val="24"/>
            <w:szCs w:val="24"/>
            <w:u w:val="single"/>
            <w:rtl w:val="0"/>
          </w:rPr>
          <w:t xml:space="preserve">https://quant.stackexchange.com/questions/4132/markowitz-mean-variance-optimization-as-error-maximization</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Misuses and Abuses “Portfolio Management is very easy … if you don't know what you are doing. L - Lumen Global Investments, acessado em dezembro 2, 2025, </w:t>
      </w:r>
      <w:hyperlink r:id="rId15">
        <w:r w:rsidDel="00000000" w:rsidR="00000000" w:rsidRPr="00000000">
          <w:rPr>
            <w:rFonts w:ascii="Google Sans" w:cs="Google Sans" w:eastAsia="Google Sans" w:hAnsi="Google Sans"/>
            <w:color w:val="0000ee"/>
            <w:sz w:val="24"/>
            <w:szCs w:val="24"/>
            <w:u w:val="single"/>
            <w:rtl w:val="0"/>
          </w:rPr>
          <w:t xml:space="preserve">https://www.lumenglobalinv.com/wp-content/uploads/2021/04/Black_Litterman_misuses_and_abuses_April-2021.pdf</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the Black-Litterman model in a Multi-Factor Framework, acessado em dezembro 2, 2025, </w:t>
      </w:r>
      <w:hyperlink r:id="rId16">
        <w:r w:rsidDel="00000000" w:rsidR="00000000" w:rsidRPr="00000000">
          <w:rPr>
            <w:rFonts w:ascii="Google Sans" w:cs="Google Sans" w:eastAsia="Google Sans" w:hAnsi="Google Sans"/>
            <w:color w:val="0000ee"/>
            <w:sz w:val="24"/>
            <w:szCs w:val="24"/>
            <w:u w:val="single"/>
            <w:rtl w:val="0"/>
          </w:rPr>
          <w:t xml:space="preserve">https://research.cbs.dk/files/60748109/206982_Thesis_final.pdf</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Model - Definition, Example, Formula, Pros n Cons - Financial Edge, acessado em dezembro 2, 2025, </w:t>
      </w:r>
      <w:hyperlink r:id="rId17">
        <w:r w:rsidDel="00000000" w:rsidR="00000000" w:rsidRPr="00000000">
          <w:rPr>
            <w:rFonts w:ascii="Google Sans" w:cs="Google Sans" w:eastAsia="Google Sans" w:hAnsi="Google Sans"/>
            <w:color w:val="0000ee"/>
            <w:sz w:val="24"/>
            <w:szCs w:val="24"/>
            <w:u w:val="single"/>
            <w:rtl w:val="0"/>
          </w:rPr>
          <w:t xml:space="preserve">https://www.fe.training/free-resources/portfolio-management/black-litterman-model/</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Black-Litterman Optimization: A Brief Overview, acessado em dezembro 2, 2025, </w:t>
      </w:r>
      <w:hyperlink r:id="rId18">
        <w:r w:rsidDel="00000000" w:rsidR="00000000" w:rsidRPr="00000000">
          <w:rPr>
            <w:rFonts w:ascii="Google Sans" w:cs="Google Sans" w:eastAsia="Google Sans" w:hAnsi="Google Sans"/>
            <w:color w:val="0000ee"/>
            <w:sz w:val="24"/>
            <w:szCs w:val="24"/>
            <w:u w:val="single"/>
            <w:rtl w:val="0"/>
          </w:rPr>
          <w:t xml:space="preserve">https://newfrontieradvisors.com/insights/all-insights/deconstructing-black-litterman-optimization-a-brief-overview/</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Portfolio Optimisation: Introducing the Black-Litterman Model - Hudson &amp; Thames, acessado em dezembro 2, 2025, </w:t>
      </w:r>
      <w:hyperlink r:id="rId19">
        <w:r w:rsidDel="00000000" w:rsidR="00000000" w:rsidRPr="00000000">
          <w:rPr>
            <w:rFonts w:ascii="Google Sans" w:cs="Google Sans" w:eastAsia="Google Sans" w:hAnsi="Google Sans"/>
            <w:color w:val="0000ee"/>
            <w:sz w:val="24"/>
            <w:szCs w:val="24"/>
            <w:u w:val="single"/>
            <w:rtl w:val="0"/>
          </w:rPr>
          <w:t xml:space="preserve">https://hudsonthames.org/bayesian-portfolio-optimisation-the-black-litterman-model/</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GUIDE TO THE BLACK-LITTERMAN MODEL - Global Risk Guard, acessado em dezembro 2, 2025, </w:t>
      </w:r>
      <w:hyperlink r:id="rId20">
        <w:r w:rsidDel="00000000" w:rsidR="00000000" w:rsidRPr="00000000">
          <w:rPr>
            <w:rFonts w:ascii="Google Sans" w:cs="Google Sans" w:eastAsia="Google Sans" w:hAnsi="Google Sans"/>
            <w:color w:val="0000ee"/>
            <w:sz w:val="24"/>
            <w:szCs w:val="24"/>
            <w:u w:val="single"/>
            <w:rtl w:val="0"/>
          </w:rPr>
          <w:t xml:space="preserve">https://globalriskguard.com/resources/assetman/assetall_0004.pdf</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Portfolio Optimization Using Financial Toolbox - MATLAB &amp; Simulink Example - MathWorks, acessado em dezembro 2, 2025, </w:t>
      </w:r>
      <w:hyperlink r:id="rId21">
        <w:r w:rsidDel="00000000" w:rsidR="00000000" w:rsidRPr="00000000">
          <w:rPr>
            <w:rFonts w:ascii="Google Sans" w:cs="Google Sans" w:eastAsia="Google Sans" w:hAnsi="Google Sans"/>
            <w:color w:val="0000ee"/>
            <w:sz w:val="24"/>
            <w:szCs w:val="24"/>
            <w:u w:val="single"/>
            <w:rtl w:val="0"/>
          </w:rPr>
          <w:t xml:space="preserve">https://www.mathworks.com/help/finance/black-litterman-portfolio-optimization.html</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Allocation — PyPortfolioOpt 1.5.4 documentation, acessado em dezembro 2, 2025, </w:t>
      </w:r>
      <w:hyperlink r:id="rId22">
        <w:r w:rsidDel="00000000" w:rsidR="00000000" w:rsidRPr="00000000">
          <w:rPr>
            <w:rFonts w:ascii="Google Sans" w:cs="Google Sans" w:eastAsia="Google Sans" w:hAnsi="Google Sans"/>
            <w:color w:val="0000ee"/>
            <w:sz w:val="24"/>
            <w:szCs w:val="24"/>
            <w:u w:val="single"/>
            <w:rtl w:val="0"/>
          </w:rPr>
          <w:t xml:space="preserve">https://pyportfolioopt.readthedocs.io/en/latest/BlackLitterman.html</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An Investigation of Confidence - Lund University Publications, acessado em dezembro 2, 2025, </w:t>
      </w:r>
      <w:hyperlink r:id="rId23">
        <w:r w:rsidDel="00000000" w:rsidR="00000000" w:rsidRPr="00000000">
          <w:rPr>
            <w:rFonts w:ascii="Google Sans" w:cs="Google Sans" w:eastAsia="Google Sans" w:hAnsi="Google Sans"/>
            <w:color w:val="0000ee"/>
            <w:sz w:val="24"/>
            <w:szCs w:val="24"/>
            <w:u w:val="single"/>
            <w:rtl w:val="0"/>
          </w:rPr>
          <w:t xml:space="preserve">https://lup.lub.lu.se/student-papers/record/9061456/file/9061457.pdf</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guide to the Black-Litterman model: Incorporating user-specified confidence levels | Request PDF - ResearchGate, acessado em dezembro 2,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https://www.researchgate.net/publication/237282015_A_step-by-step_guide_to_the_Black-Litterman_model_Incorporating_user-specified_confidence_levels</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GUIDE TO THE BLACK-LITTERMAN MODEL Incorporating user-specified confidence levels - Duke People, acessado em dezembro 2, 2025, </w:t>
      </w:r>
      <w:hyperlink r:id="rId25">
        <w:r w:rsidDel="00000000" w:rsidR="00000000" w:rsidRPr="00000000">
          <w:rPr>
            <w:rFonts w:ascii="Google Sans" w:cs="Google Sans" w:eastAsia="Google Sans" w:hAnsi="Google Sans"/>
            <w:color w:val="0000ee"/>
            <w:sz w:val="24"/>
            <w:szCs w:val="24"/>
            <w:u w:val="single"/>
            <w:rtl w:val="0"/>
          </w:rPr>
          <w:t xml:space="preserve">https://people.duke.edu/~charvey/Teaching/BA453_2006/Idzorek_onBL.pdf</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Model, acessado em dezembro 2, 2025, </w:t>
      </w:r>
      <w:hyperlink r:id="rId26">
        <w:r w:rsidDel="00000000" w:rsidR="00000000" w:rsidRPr="00000000">
          <w:rPr>
            <w:rFonts w:ascii="Google Sans" w:cs="Google Sans" w:eastAsia="Google Sans" w:hAnsi="Google Sans"/>
            <w:color w:val="0000ee"/>
            <w:sz w:val="24"/>
            <w:szCs w:val="24"/>
            <w:u w:val="single"/>
            <w:rtl w:val="0"/>
          </w:rPr>
          <w:t xml:space="preserve">https://www.stat.berkeley.edu/~nolan/vigre/reports/Black-Litterman.pdf</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allocation model: Application and comparision with OMX Stockholm Benchmark PI (OMXSBPI), acessado em dezembro 2, 2025, </w:t>
      </w:r>
      <w:hyperlink r:id="rId27">
        <w:r w:rsidDel="00000000" w:rsidR="00000000" w:rsidRPr="00000000">
          <w:rPr>
            <w:rFonts w:ascii="Google Sans" w:cs="Google Sans" w:eastAsia="Google Sans" w:hAnsi="Google Sans"/>
            <w:color w:val="0000ee"/>
            <w:sz w:val="24"/>
            <w:szCs w:val="24"/>
            <w:u w:val="single"/>
            <w:rtl w:val="0"/>
          </w:rPr>
          <w:t xml:space="preserve">https://lup.lub.lu.se/luur/download?func=downloadFile&amp;recordOId=5472145&amp;fileOId=5472158</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Factor Tau in the Black-Litterman Model - ResearchGate, acessado em dezembro 2, 2025,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https://www.researchgate.net/publication/228317768_The_Factor_Tau_in_the_Black-Litterman_Model</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tau parameter in the Black-Litterman model?, acessado em dezembro 2, 2025, </w:t>
      </w:r>
      <w:hyperlink r:id="rId29">
        <w:r w:rsidDel="00000000" w:rsidR="00000000" w:rsidRPr="00000000">
          <w:rPr>
            <w:rFonts w:ascii="Google Sans" w:cs="Google Sans" w:eastAsia="Google Sans" w:hAnsi="Google Sans"/>
            <w:color w:val="0000ee"/>
            <w:sz w:val="24"/>
            <w:szCs w:val="24"/>
            <w:u w:val="single"/>
            <w:rtl w:val="0"/>
          </w:rPr>
          <w:t xml:space="preserve">https://quant.stackexchange.com/questions/12651/what-is-the-tau-parameter-in-the-black-litterman-model</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Portfolio Optimization with Dynamic CAPM via ABC-MCMC - MDPI, acessado em dezembro 2, 2025, </w:t>
      </w:r>
      <w:hyperlink r:id="rId30">
        <w:r w:rsidDel="00000000" w:rsidR="00000000" w:rsidRPr="00000000">
          <w:rPr>
            <w:rFonts w:ascii="Google Sans" w:cs="Google Sans" w:eastAsia="Google Sans" w:hAnsi="Google Sans"/>
            <w:color w:val="0000ee"/>
            <w:sz w:val="24"/>
            <w:szCs w:val="24"/>
            <w:u w:val="single"/>
            <w:rtl w:val="0"/>
          </w:rPr>
          <w:t xml:space="preserve">https://www.mdpi.com/2227-7390/13/20/3265</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for Active Portfolio Management - ResearchGate, acessado em dezembro 2,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https://www.researchgate.net/publication/247906188_The_Black-Litterman_Model_for_Active_Portfolio_Management</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Black-Litterman Portfolio via Hybrid Forecasting Model Combining Multivariate Decomposition and Noise Reduction - arXiv, acessado em dezembro 2, 2025, </w:t>
      </w:r>
      <w:hyperlink r:id="rId32">
        <w:r w:rsidDel="00000000" w:rsidR="00000000" w:rsidRPr="00000000">
          <w:rPr>
            <w:rFonts w:ascii="Google Sans" w:cs="Google Sans" w:eastAsia="Google Sans" w:hAnsi="Google Sans"/>
            <w:color w:val="0000ee"/>
            <w:sz w:val="24"/>
            <w:szCs w:val="24"/>
            <w:u w:val="single"/>
            <w:rtl w:val="0"/>
          </w:rPr>
          <w:t xml:space="preserve">https://arxiv.org/html/2505.01781v2</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Black-Litterman Portfolio via Hybrid Forecasting Model Combining Multivariate Decomposition and Noise Reduction - arXiv, acessado em dezembro 2, 2025, </w:t>
      </w:r>
      <w:hyperlink r:id="rId33">
        <w:r w:rsidDel="00000000" w:rsidR="00000000" w:rsidRPr="00000000">
          <w:rPr>
            <w:rFonts w:ascii="Google Sans" w:cs="Google Sans" w:eastAsia="Google Sans" w:hAnsi="Google Sans"/>
            <w:color w:val="0000ee"/>
            <w:sz w:val="24"/>
            <w:szCs w:val="24"/>
            <w:u w:val="single"/>
            <w:rtl w:val="0"/>
          </w:rPr>
          <w:t xml:space="preserve">https://arxiv.org/html/2505.01781v1</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Pooling vs Black-Litterman - Medium, acessado em dezembro 2, 2025, </w:t>
      </w:r>
      <w:hyperlink r:id="rId34">
        <w:r w:rsidDel="00000000" w:rsidR="00000000" w:rsidRPr="00000000">
          <w:rPr>
            <w:rFonts w:ascii="Google Sans" w:cs="Google Sans" w:eastAsia="Google Sans" w:hAnsi="Google Sans"/>
            <w:color w:val="0000ee"/>
            <w:sz w:val="24"/>
            <w:szCs w:val="24"/>
            <w:u w:val="single"/>
            <w:rtl w:val="0"/>
          </w:rPr>
          <w:t xml:space="preserve">https://medium.com/@ft_anvo/entropy-pooling-vs-black-litterman-abb608b810cd</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flexible extreme views - libra@unine.ch, acessado em dezembro 2, 2025, </w:t>
      </w:r>
      <w:hyperlink r:id="rId35">
        <w:r w:rsidDel="00000000" w:rsidR="00000000" w:rsidRPr="00000000">
          <w:rPr>
            <w:rFonts w:ascii="Google Sans" w:cs="Google Sans" w:eastAsia="Google Sans" w:hAnsi="Google Sans"/>
            <w:color w:val="0000ee"/>
            <w:sz w:val="24"/>
            <w:szCs w:val="24"/>
            <w:u w:val="single"/>
            <w:rtl w:val="0"/>
          </w:rPr>
          <w:t xml:space="preserve">https://libra.unine.ch/bitstreams/b392f092-7a14-4d8c-a443-9b10302d3413/download</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Short Review over Twenty Years on the Black-Litterman Model in Portfolio Optimization, acessado em dezembro 2, 2025, </w:t>
      </w:r>
      <w:hyperlink r:id="rId36">
        <w:r w:rsidDel="00000000" w:rsidR="00000000" w:rsidRPr="00000000">
          <w:rPr>
            <w:rFonts w:ascii="Google Sans" w:cs="Google Sans" w:eastAsia="Google Sans" w:hAnsi="Google Sans"/>
            <w:color w:val="0000ee"/>
            <w:sz w:val="24"/>
            <w:szCs w:val="24"/>
            <w:u w:val="single"/>
            <w:rtl w:val="0"/>
          </w:rPr>
          <w:t xml:space="preserve">http://iemsjl.org/journal/article.php?code=81826</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CoVaR Based on Entropy Pooling - arXiv, acessado em dezembro 2, 2025, </w:t>
      </w:r>
      <w:hyperlink r:id="rId37">
        <w:r w:rsidDel="00000000" w:rsidR="00000000" w:rsidRPr="00000000">
          <w:rPr>
            <w:rFonts w:ascii="Google Sans" w:cs="Google Sans" w:eastAsia="Google Sans" w:hAnsi="Google Sans"/>
            <w:color w:val="0000ee"/>
            <w:sz w:val="24"/>
            <w:szCs w:val="24"/>
            <w:u w:val="single"/>
            <w:rtl w:val="0"/>
          </w:rPr>
          <w:t xml:space="preserve">https://arxiv.org/pdf/2509.21904</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Black-Litterman: Views on Non-Normal Markets | Request PDF - ResearchGate, acessado em dezembro 2, 2025,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https://www.researchgate.net/publication/228205725_Beyond_Black-Litterman_Views_on_Non-Normal_Markets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lobalriskguard.com/resources/assetman/assetall_0004.pdf" TargetMode="External"/><Relationship Id="rId22" Type="http://schemas.openxmlformats.org/officeDocument/2006/relationships/hyperlink" Target="https://pyportfolioopt.readthedocs.io/en/latest/BlackLitterman.html" TargetMode="External"/><Relationship Id="rId21" Type="http://schemas.openxmlformats.org/officeDocument/2006/relationships/hyperlink" Target="https://www.mathworks.com/help/finance/black-litterman-portfolio-optimization.html" TargetMode="External"/><Relationship Id="rId24" Type="http://schemas.openxmlformats.org/officeDocument/2006/relationships/hyperlink" Target="https://www.researchgate.net/publication/237282015_A_step-by-step_guide_to_the_Black-Litterman_model_Incorporating_user-specified_confidence_levels" TargetMode="External"/><Relationship Id="rId23" Type="http://schemas.openxmlformats.org/officeDocument/2006/relationships/hyperlink" Target="https://lup.lub.lu.se/student-papers/record/9061456/file/906145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r.cse.nsysu.edu.tw/resource/paper/2011/110615/The%20Black-Litterman%20Model%20in%20Detail.pdf" TargetMode="External"/><Relationship Id="rId26" Type="http://schemas.openxmlformats.org/officeDocument/2006/relationships/hyperlink" Target="https://www.stat.berkeley.edu/~nolan/vigre/reports/Black-Litterman.pdf" TargetMode="External"/><Relationship Id="rId25" Type="http://schemas.openxmlformats.org/officeDocument/2006/relationships/hyperlink" Target="https://people.duke.edu/~charvey/Teaching/BA453_2006/Idzorek_onBL.pdf" TargetMode="External"/><Relationship Id="rId28" Type="http://schemas.openxmlformats.org/officeDocument/2006/relationships/hyperlink" Target="https://www.researchgate.net/publication/228317768_The_Factor_Tau_in_the_Black-Litterman_Model" TargetMode="External"/><Relationship Id="rId27" Type="http://schemas.openxmlformats.org/officeDocument/2006/relationships/hyperlink" Target="https://lup.lub.lu.se/luur/download?func=downloadFile&amp;recordOId=5472145&amp;fileOId=5472158" TargetMode="External"/><Relationship Id="rId5" Type="http://schemas.openxmlformats.org/officeDocument/2006/relationships/styles" Target="styles.xml"/><Relationship Id="rId6" Type="http://schemas.openxmlformats.org/officeDocument/2006/relationships/hyperlink" Target="https://medium.com/@li.ying.explore/reading-on-black-litterman-model-beecfcd0a82c" TargetMode="External"/><Relationship Id="rId29" Type="http://schemas.openxmlformats.org/officeDocument/2006/relationships/hyperlink" Target="https://quant.stackexchange.com/questions/12651/what-is-the-tau-parameter-in-the-black-litterman-model" TargetMode="External"/><Relationship Id="rId7" Type="http://schemas.openxmlformats.org/officeDocument/2006/relationships/hyperlink" Target="https://www.goldmansachs.com/our-firm/history/moments/1990-black-litterman-model" TargetMode="External"/><Relationship Id="rId8" Type="http://schemas.openxmlformats.org/officeDocument/2006/relationships/hyperlink" Target="https://marketxls.com/blog/advanced-portfolio-optimization-black-litterman-ai" TargetMode="External"/><Relationship Id="rId31" Type="http://schemas.openxmlformats.org/officeDocument/2006/relationships/hyperlink" Target="https://www.researchgate.net/publication/247906188_The_Black-Litterman_Model_for_Active_Portfolio_Management" TargetMode="External"/><Relationship Id="rId30" Type="http://schemas.openxmlformats.org/officeDocument/2006/relationships/hyperlink" Target="https://www.mdpi.com/2227-7390/13/20/3265" TargetMode="External"/><Relationship Id="rId11" Type="http://schemas.openxmlformats.org/officeDocument/2006/relationships/hyperlink" Target="https://www.researchgate.net/publication/314444182_The_Markowitz_Optimization_Enigma_is_'Optimized'_Optimal" TargetMode="External"/><Relationship Id="rId33" Type="http://schemas.openxmlformats.org/officeDocument/2006/relationships/hyperlink" Target="https://arxiv.org/html/2505.01781v1" TargetMode="External"/><Relationship Id="rId10" Type="http://schemas.openxmlformats.org/officeDocument/2006/relationships/hyperlink" Target="https://www.scribd.com/document/673001364/michaud-1989" TargetMode="External"/><Relationship Id="rId32" Type="http://schemas.openxmlformats.org/officeDocument/2006/relationships/hyperlink" Target="https://arxiv.org/html/2505.01781v2" TargetMode="External"/><Relationship Id="rId13" Type="http://schemas.openxmlformats.org/officeDocument/2006/relationships/hyperlink" Target="https://www.researchgate.net/publication/228380747_Incorporating_estimation_errors_into_portfolio_selection_Robust_portfolio_construction" TargetMode="External"/><Relationship Id="rId35" Type="http://schemas.openxmlformats.org/officeDocument/2006/relationships/hyperlink" Target="https://libra.unine.ch/bitstreams/b392f092-7a14-4d8c-a443-9b10302d3413/download" TargetMode="External"/><Relationship Id="rId12" Type="http://schemas.openxmlformats.org/officeDocument/2006/relationships/hyperlink" Target="https://www.researchgate.net/profile/Richard-Michaud-2/publication/247883727_The_Markowitz_Optimization_Enigma_Is_'Optimized'_Optimal/links/5aba6245a6fdcc0e3d9f69a3/The-Markowitz-Optimization-Enigma-Is-Optimized-Optimal.pdf" TargetMode="External"/><Relationship Id="rId34" Type="http://schemas.openxmlformats.org/officeDocument/2006/relationships/hyperlink" Target="https://medium.com/@ft_anvo/entropy-pooling-vs-black-litterman-abb608b810cd" TargetMode="External"/><Relationship Id="rId15" Type="http://schemas.openxmlformats.org/officeDocument/2006/relationships/hyperlink" Target="https://www.lumenglobalinv.com/wp-content/uploads/2021/04/Black_Litterman_misuses_and_abuses_April-2021.pdf" TargetMode="External"/><Relationship Id="rId37" Type="http://schemas.openxmlformats.org/officeDocument/2006/relationships/hyperlink" Target="https://arxiv.org/pdf/2509.21904" TargetMode="External"/><Relationship Id="rId14" Type="http://schemas.openxmlformats.org/officeDocument/2006/relationships/hyperlink" Target="https://quant.stackexchange.com/questions/4132/markowitz-mean-variance-optimization-as-error-maximization" TargetMode="External"/><Relationship Id="rId36" Type="http://schemas.openxmlformats.org/officeDocument/2006/relationships/hyperlink" Target="http://iemsjl.org/journal/article.php?code=81826" TargetMode="External"/><Relationship Id="rId17" Type="http://schemas.openxmlformats.org/officeDocument/2006/relationships/hyperlink" Target="https://www.fe.training/free-resources/portfolio-management/black-litterman-model/" TargetMode="External"/><Relationship Id="rId16" Type="http://schemas.openxmlformats.org/officeDocument/2006/relationships/hyperlink" Target="https://research.cbs.dk/files/60748109/206982_Thesis_final.pdf" TargetMode="External"/><Relationship Id="rId38" Type="http://schemas.openxmlformats.org/officeDocument/2006/relationships/hyperlink" Target="https://www.researchgate.net/publication/228205725_Beyond_Black-Litterman_Views_on_Non-Normal_Markets" TargetMode="External"/><Relationship Id="rId19" Type="http://schemas.openxmlformats.org/officeDocument/2006/relationships/hyperlink" Target="https://hudsonthames.org/bayesian-portfolio-optimisation-the-black-litterman-model/" TargetMode="External"/><Relationship Id="rId18" Type="http://schemas.openxmlformats.org/officeDocument/2006/relationships/hyperlink" Target="https://newfrontieradvisors.com/insights/all-insights/deconstructing-black-litterman-optimization-a-brief-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