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Análise Crítica e Reestruturação Arquitetural do Referencial Teórico para Alocação Dinâmica de Ativos: Uma Integração Bayesiana de Deep Learning e Otimização Robusta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Introdução: O Imperativo da Coerência Arquitetural na Modelagem Financeira Avançada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gestão de investimentos contemporânea transcendeu a simples seleção de ativos baseada em intuição ou análise fundamentalista isolada, evoluindo para um ecossistema complexo que integra teoria econômica, estatística avançada e inteligência computacional. A elaboração de um trabalho acadêmico de excelência (nível "A+") na área de Finanças Quantitativas exige não apenas o domínio isolado desses conceitos, mas a construção de uma narrativa arquitetural coesa que justifique a integração de métodos distintos e sofisticados.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O objetivo central submetido à análise — a construção de um portfólio otimizado via modelo Black-Litterman (BL), alimentado por vetores de visão gerados por redes neurais recorrentes (LSTM) e modelos econométricos de volatilidade condicional (GARCH), e resolvido através de uma função objetivo de Desvio Absoluto Médio (MAD) — situa-se na fronteira do conhecimento financeiro atual. Trata-se de uma proposta ambiciosa que busca remediar as falhas históricas dos modelos tradicionais através da tecnologia de ponta. No entanto, uma dissecação rigorosa da estrutura de tópicos original fornecida no documento estrutura de topicos.docx revela desalinhamentos fundamentais e lacunas teóricas severas quando contrastada com a complexidade do objetivo proposto.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Para que a investigação atinja o rigor necessário, o referencial teórico não pode ser estático ou enciclopédico. Ele deve funcionar como uma engrenagem lógica e causal: a falha empírica da Teoria Moderna do Portfólio (MPT) justifica a necessidade da Teoria Pós-Moderna (PMPT); a instabilidade matemática dos </w:t>
      </w:r>
      <w:r w:rsidDel="00000000" w:rsidR="00000000" w:rsidRPr="00000000">
        <w:rPr>
          <w:rFonts w:ascii="Google Sans Text" w:cs="Google Sans Text" w:eastAsia="Google Sans Text" w:hAnsi="Google Sans Text"/>
          <w:i w:val="1"/>
          <w:iCs w:val="1"/>
          <w:color w:val="1b1c1d"/>
          <w:rtl w:val="0"/>
        </w:rPr>
        <w:t xml:space="preserve">inputs</w:t>
      </w:r>
      <w:r w:rsidDel="00000000" w:rsidR="00000000" w:rsidRPr="00000000">
        <w:rPr>
          <w:rFonts w:ascii="Google Sans Text" w:cs="Google Sans Text" w:eastAsia="Google Sans Text" w:hAnsi="Google Sans Text"/>
          <w:color w:val="1b1c1d"/>
          <w:rtl w:val="0"/>
        </w:rPr>
        <w:t xml:space="preserve"> da MPT justifica a adoção do modelo Black-Litterman; a necessidade de "visões" objetivas e livres de viés humano no BL justifica o uso de LSTM e GARCH; e a não-normalidade das distribuições de retorno justifica o uso do MAD em detrimento da variância quadrática clássica.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relatório técnico propõe-se a auditar a estrutura inicial, identificar as lacunas críticas que impediriam a reprodução científica do modelo proposto e, subsequentemente, fornecer a estrutura hierárquica definitiva, enriquecida com </w:t>
      </w:r>
      <w:r w:rsidDel="00000000" w:rsidR="00000000" w:rsidRPr="00000000">
        <w:rPr>
          <w:rFonts w:ascii="Google Sans Text" w:cs="Google Sans Text" w:eastAsia="Google Sans Text" w:hAnsi="Google Sans Text"/>
          <w:i w:val="1"/>
          <w:iCs w:val="1"/>
          <w:color w:val="1b1c1d"/>
          <w:rtl w:val="0"/>
        </w:rPr>
        <w:t xml:space="preserve">insights</w:t>
      </w:r>
      <w:r w:rsidDel="00000000" w:rsidR="00000000" w:rsidRPr="00000000">
        <w:rPr>
          <w:rFonts w:ascii="Google Sans Text" w:cs="Google Sans Text" w:eastAsia="Google Sans Text" w:hAnsi="Google Sans Text"/>
          <w:color w:val="1b1c1d"/>
          <w:rtl w:val="0"/>
        </w:rPr>
        <w:t xml:space="preserve"> teóricos profundos extraídos da literatura avançada fornecida nos documentos auxiliares.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 análise a seguir não apenas corrige o curso da pesquisa, mas estabelece a fundação epistemológica para uma tese robusta, conectando a história do pensamento financeiro às fronteiras da inteligência artificial.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A Gênese do Risco e a Crise do Paradigma Gaussiano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fundamentar um modelo híbrido de alta complexidade, é imperativo traçar a evolução do conceito de risco. A sofisticação do modelo Black-Litterman/LSTM não surge no vácuo; ela é uma resposta direta às limitações observadas nos paradigmas anteriores.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Do Valor Intrínseco à Revolução da Variância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Antes da formalização matemática, a gestão de risco era uma disciplina qualitativa. A escola de Graham e Dodd, consolidada após o </w:t>
      </w:r>
      <w:r w:rsidDel="00000000" w:rsidR="00000000" w:rsidRPr="00000000">
        <w:rPr>
          <w:rFonts w:ascii="Google Sans Text" w:cs="Google Sans Text" w:eastAsia="Google Sans Text" w:hAnsi="Google Sans Text"/>
          <w:i w:val="1"/>
          <w:iCs w:val="1"/>
          <w:color w:val="1b1c1d"/>
          <w:rtl w:val="0"/>
        </w:rPr>
        <w:t xml:space="preserve">crash</w:t>
      </w:r>
      <w:r w:rsidDel="00000000" w:rsidR="00000000" w:rsidRPr="00000000">
        <w:rPr>
          <w:rFonts w:ascii="Google Sans Text" w:cs="Google Sans Text" w:eastAsia="Google Sans Text" w:hAnsi="Google Sans Text"/>
          <w:color w:val="1b1c1d"/>
          <w:rtl w:val="0"/>
        </w:rPr>
        <w:t xml:space="preserve"> de 1929, definia risco não como volatilidade, mas como a possibilidade de perda permanente de capital. A "Margem de Segurança" era a ferramenta primária de mitigação, baseada na discrepância entre preço e valor intrínseco.</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Este paradigma, embora prudente, falhava em quantificar a interação entre múltiplos ativos.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ruptura epistemológica ocorreu em 1952, com Harry Markowitz. Ao publicar "Portfolio Selection", Markowitz não apenas introduziu a diversificação, mas a formalizou matematicamente. A inovação seminal não foi a ideia de não colocar todos os ovos na mesma cesta, mas a demonstração de que o risco de um portfólio é inferior à média ponderada dos riscos individuais, condicionado à correlação imperfeita entre os ativos.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equação da variância do portfólio ($\sigma_p^2$) revelou o poder da covariância: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$$\sigma_p^2 = \sum_{i}w_i^2\sigma_i^2 + \sum_{i}\sum_{j \neq i}w_iw_j\sigma_i\sigma_j\rho_{ij}$$</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Esta formulação transformou o risco em uma variável estatística tratável: a variância.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No entanto, ao fazer isso, Markowitz introduziu implicitamente a premissa de que os retornos seguem uma distribuição normal e que a variância (que penaliza desvios positivos e negativos igualmente) é uma medida suficiente de risco. Esta simplificação, necessária para a capacidade computacional da década de 1950, tornou-se o "pecado original" que os modelos modernos como o proposto (MAD/PMPT) buscam expiar.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O Modelo de Equilíbrio e a Ilusão da Perfeição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evolução da MPT para o </w:t>
      </w:r>
      <w:r w:rsidDel="00000000" w:rsidR="00000000" w:rsidRPr="00000000">
        <w:rPr>
          <w:rFonts w:ascii="Google Sans Text" w:cs="Google Sans Text" w:eastAsia="Google Sans Text" w:hAnsi="Google Sans Text"/>
          <w:i w:val="1"/>
          <w:iCs w:val="1"/>
          <w:color w:val="1b1c1d"/>
          <w:rtl w:val="0"/>
        </w:rPr>
        <w:t xml:space="preserve">Capital Asset Pricing Model</w:t>
      </w:r>
      <w:r w:rsidDel="00000000" w:rsidR="00000000" w:rsidRPr="00000000">
        <w:rPr>
          <w:rFonts w:ascii="Google Sans Text" w:cs="Google Sans Text" w:eastAsia="Google Sans Text" w:hAnsi="Google Sans Text"/>
          <w:color w:val="1b1c1d"/>
          <w:rtl w:val="0"/>
        </w:rPr>
        <w:t xml:space="preserve"> (CAPM) introduziu a noção de equilíbrio de mercado. Sob as premissas de expectativas homogêneas e mercados sem fricção, Sharpe, Lintner e Mossin derivaram que o único portfólio eficiente para ativos de risco é o Portfólio de Mercado.</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O Teorema da Separação de Tobin reforçou essa visão, sugerindo que a alocação de ativos é uma decisão técnica universal, separada da preferência de risco individual.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CAPM estabeleceu o Beta ($\beta$) como a única medida de risco remunerada, descartando o risco idiossincrático como irrelevante devido à diversificação gratuita.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Contudo, a validade do CAPM e da MPT repousa sobre alicerces frágeis que foram sistematicamente desmantelados nas décadas seguintes, criando a necessidade de modelos como o Black-Litterman.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A Desconstrução Crítica: Por que a MPT Falha na Prática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Um trabalho de nível "A+" deve demonstrar não apenas conhecimento dos modelos, mas domínio de suas falhas estruturais. A literatura analisada aponta três vetores críticos de falha na MPT que justificam a arquitetura proposta pelo usuário: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2.3.1. A Crítica de Roll e a Inobservabilidade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Richard Roll, em 1977, apresentou uma crítica devastadora: o "Portfólio de Mercado" teórico, que deve conter todos os ativos do universo (incluindo capital humano e imobiliário), é inobservável. Testes empíricos usando </w:t>
      </w:r>
      <w:r w:rsidDel="00000000" w:rsidR="00000000" w:rsidRPr="00000000">
        <w:rPr>
          <w:rFonts w:ascii="Google Sans Text" w:cs="Google Sans Text" w:eastAsia="Google Sans Text" w:hAnsi="Google Sans Text"/>
          <w:i w:val="1"/>
          <w:iCs w:val="1"/>
          <w:color w:val="1b1c1d"/>
          <w:rtl w:val="0"/>
        </w:rPr>
        <w:t xml:space="preserve">proxies</w:t>
      </w:r>
      <w:r w:rsidDel="00000000" w:rsidR="00000000" w:rsidRPr="00000000">
        <w:rPr>
          <w:rFonts w:ascii="Google Sans Text" w:cs="Google Sans Text" w:eastAsia="Google Sans Text" w:hAnsi="Google Sans Text"/>
          <w:color w:val="1b1c1d"/>
          <w:rtl w:val="0"/>
        </w:rPr>
        <w:t xml:space="preserve"> (como o S&amp;P 500) sofrem de tautologia matemática. Se o </w:t>
      </w:r>
      <w:r w:rsidDel="00000000" w:rsidR="00000000" w:rsidRPr="00000000">
        <w:rPr>
          <w:rFonts w:ascii="Google Sans Text" w:cs="Google Sans Text" w:eastAsia="Google Sans Text" w:hAnsi="Google Sans Text"/>
          <w:i w:val="1"/>
          <w:iCs w:val="1"/>
          <w:color w:val="1b1c1d"/>
          <w:rtl w:val="0"/>
        </w:rPr>
        <w:t xml:space="preserve">proxy</w:t>
      </w:r>
      <w:r w:rsidDel="00000000" w:rsidR="00000000" w:rsidRPr="00000000">
        <w:rPr>
          <w:rFonts w:ascii="Google Sans Text" w:cs="Google Sans Text" w:eastAsia="Google Sans Text" w:hAnsi="Google Sans Text"/>
          <w:color w:val="1b1c1d"/>
          <w:rtl w:val="0"/>
        </w:rPr>
        <w:t xml:space="preserve"> for eficiente na média-variância, o CAPM parecerá funcionar; se não for, o modelo falha.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Isso sugere que confiar cegamente no equilíbrio de mercado do CAPM como única fonte de verdade é perigoso, validando a necessidade do modelo Black-Litterman, que permite desvios controlados desse equilíbrio através de "visões" ($Q$).</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2.3.2. A Geometria Fractal e as Caudas Gordas (Fat Tails)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Talvez a crítica mais pertinente para a justificativa do uso de LSTM e GARCH venha de Benoit Mandelbrot. A MPT assume normalidade gaussiana. No entanto, a evidência empírica demonstra que os retornos financeiros são "Stable Paretian", caracterizados por leptocurtose (picos altos) e caudas gordas.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Eventos de 5 ou 10 desvios-padrão, que deveriam ocorrer uma vez a cada milênio em um mundo normal, ocorrem com frequência alarmante.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Implicação para o Trabalho:</w:t>
      </w:r>
      <w:r w:rsidDel="00000000" w:rsidR="00000000" w:rsidRPr="00000000">
        <w:rPr>
          <w:rFonts w:ascii="Google Sans Text" w:cs="Google Sans Text" w:eastAsia="Google Sans Text" w:hAnsi="Google Sans Text"/>
          <w:color w:val="1b1c1d"/>
          <w:rtl w:val="0"/>
        </w:rPr>
        <w:t xml:space="preserve"> A presença de caudas gordas e </w:t>
      </w:r>
      <w:r w:rsidDel="00000000" w:rsidR="00000000" w:rsidRPr="00000000">
        <w:rPr>
          <w:rFonts w:ascii="Google Sans Text" w:cs="Google Sans Text" w:eastAsia="Google Sans Text" w:hAnsi="Google Sans Text"/>
          <w:i w:val="1"/>
          <w:iCs w:val="1"/>
          <w:color w:val="1b1c1d"/>
          <w:rtl w:val="0"/>
        </w:rPr>
        <w:t xml:space="preserve">volatility clustering</w:t>
      </w:r>
      <w:r w:rsidDel="00000000" w:rsidR="00000000" w:rsidRPr="00000000">
        <w:rPr>
          <w:rFonts w:ascii="Google Sans Text" w:cs="Google Sans Text" w:eastAsia="Google Sans Text" w:hAnsi="Google Sans Text"/>
          <w:color w:val="1b1c1d"/>
          <w:rtl w:val="0"/>
        </w:rPr>
        <w:t xml:space="preserve"> (agrupamento de volatilidade) invalida o uso de desvio padrão constante. Isso cria a necessidade imperativa de modelos heterocedásticos como o GARCH para modelar a incerteza ($\Omega$) no tempo, e de otimizadores como o MAD, que são mais robustos a </w:t>
      </w:r>
      <w:r w:rsidDel="00000000" w:rsidR="00000000" w:rsidRPr="00000000">
        <w:rPr>
          <w:rFonts w:ascii="Google Sans Text" w:cs="Google Sans Text" w:eastAsia="Google Sans Text" w:hAnsi="Google Sans Text"/>
          <w:i w:val="1"/>
          <w:iCs w:val="1"/>
          <w:color w:val="1b1c1d"/>
          <w:rtl w:val="0"/>
        </w:rPr>
        <w:t xml:space="preserve">outliers</w:t>
      </w:r>
      <w:r w:rsidDel="00000000" w:rsidR="00000000" w:rsidRPr="00000000">
        <w:rPr>
          <w:rFonts w:ascii="Google Sans Text" w:cs="Google Sans Text" w:eastAsia="Google Sans Text" w:hAnsi="Google Sans Text"/>
          <w:color w:val="1b1c1d"/>
          <w:rtl w:val="0"/>
        </w:rPr>
        <w:t xml:space="preserve"> do que a otimização quadrática.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2.3.3. O "Maximizador de Erros"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Michaud (1989) rotulou o otimizador de média-variância como um "maximizador de erros". O algoritmo matemático é cego à incerteza estatística; ele toma as estimativas pontuais de retorno e covariância como verdades absolutas. Consequentemente, ele aloca peso excessivo ( </w:t>
      </w:r>
      <w:r w:rsidDel="00000000" w:rsidR="00000000" w:rsidRPr="00000000">
        <w:rPr>
          <w:rFonts w:ascii="Google Sans Text" w:cs="Google Sans Text" w:eastAsia="Google Sans Text" w:hAnsi="Google Sans Text"/>
          <w:i w:val="1"/>
          <w:iCs w:val="1"/>
          <w:color w:val="1b1c1d"/>
          <w:rtl w:val="0"/>
        </w:rPr>
        <w:t xml:space="preserve">corner solutions</w:t>
      </w:r>
      <w:r w:rsidDel="00000000" w:rsidR="00000000" w:rsidRPr="00000000">
        <w:rPr>
          <w:rFonts w:ascii="Google Sans Text" w:cs="Google Sans Text" w:eastAsia="Google Sans Text" w:hAnsi="Google Sans Text"/>
          <w:color w:val="1b1c1d"/>
          <w:rtl w:val="0"/>
        </w:rPr>
        <w:t xml:space="preserve"> ) em ativos com retornos historicamente superestimados e correlações subestimadas.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Conexão com a Proposta:</w:t>
      </w:r>
      <w:r w:rsidDel="00000000" w:rsidR="00000000" w:rsidRPr="00000000">
        <w:rPr>
          <w:rFonts w:ascii="Google Sans Text" w:cs="Google Sans Text" w:eastAsia="Google Sans Text" w:hAnsi="Google Sans Text"/>
          <w:color w:val="1b1c1d"/>
          <w:rtl w:val="0"/>
        </w:rPr>
        <w:t xml:space="preserve"> Esta instabilidade é a razão de ser do modelo Black-Litterman. O BL não tenta eliminar o erro de estimativa, mas mitigá-lo espalhando-o através de uma abordagem Bayesiana, ancorada no equilíbrio de mercado.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A Mudança de Paradigma: PMPT e Otimização Robusta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estrutura original do usuário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menciona métricas de </w:t>
      </w:r>
      <w:r w:rsidDel="00000000" w:rsidR="00000000" w:rsidRPr="00000000">
        <w:rPr>
          <w:rFonts w:ascii="Google Sans Text" w:cs="Google Sans Text" w:eastAsia="Google Sans Text" w:hAnsi="Google Sans Text"/>
          <w:i w:val="1"/>
          <w:iCs w:val="1"/>
          <w:color w:val="1b1c1d"/>
          <w:rtl w:val="0"/>
        </w:rPr>
        <w:t xml:space="preserve">downside</w:t>
      </w:r>
      <w:r w:rsidDel="00000000" w:rsidR="00000000" w:rsidRPr="00000000">
        <w:rPr>
          <w:rFonts w:ascii="Google Sans Text" w:cs="Google Sans Text" w:eastAsia="Google Sans Text" w:hAnsi="Google Sans Text"/>
          <w:color w:val="1b1c1d"/>
          <w:rtl w:val="0"/>
        </w:rPr>
        <w:t xml:space="preserve">, mas falha em conectá-las organicamente à função objetivo MAD. A revisão bibliográfica deve estabelecer essa conexão.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Assimetria e a Falácia da Variância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variância é uma medida simétrica. Ela penaliza um retorno de +20% (acima da média) com a mesma severidade que penaliza uma queda de -20%. No entanto, a racionalidade humana, conforme explorado pela Teoria da Perspectiva (Kahneman &amp; Tversky), é fundamentalmente assimétrica: investidores têm aversão à perda, não à volatilidade.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Teoria Pós-Moderna de Portfólio (PMPT) corrige isso substituindo a variância pelos Momentos Parciais Inferiores (LPM). O LPM de grau 2 (semivariância) e o LPM de grau 1 (target shortfall) focam exclusivamente na dispersão negativa abaixo de um Retorno Mínimo Aceitável (MAR).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O Índice de Sortino emerge aqui como a métrica superior ao Sharpe, ajustando o retorno pelo risco de </w:t>
      </w:r>
      <w:r w:rsidDel="00000000" w:rsidR="00000000" w:rsidRPr="00000000">
        <w:rPr>
          <w:rFonts w:ascii="Google Sans Text" w:cs="Google Sans Text" w:eastAsia="Google Sans Text" w:hAnsi="Google Sans Text"/>
          <w:i w:val="1"/>
          <w:iCs w:val="1"/>
          <w:color w:val="1b1c1d"/>
          <w:rtl w:val="0"/>
        </w:rPr>
        <w:t xml:space="preserve">downside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Do Quadrático ao Linear: A Superioridade do MAD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objetivo do trabalho menciona a otimização por MAD (Desvio Absoluto Médio). É crucial diferenciar isso da MPT clássica.</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Otimização MPT:</w:t>
      </w:r>
      <w:r w:rsidDel="00000000" w:rsidR="00000000" w:rsidRPr="00000000">
        <w:rPr>
          <w:rFonts w:ascii="Google Sans Text" w:cs="Google Sans Text" w:eastAsia="Google Sans Text" w:hAnsi="Google Sans Text"/>
          <w:color w:val="1b1c1d"/>
          <w:rtl w:val="0"/>
        </w:rPr>
        <w:t xml:space="preserve"> Resolve um problema de Programação Quadrática (QP). É computacionalmente intensiva e extremamente sensível a </w:t>
      </w:r>
      <w:r w:rsidDel="00000000" w:rsidR="00000000" w:rsidRPr="00000000">
        <w:rPr>
          <w:rFonts w:ascii="Google Sans Text" w:cs="Google Sans Text" w:eastAsia="Google Sans Text" w:hAnsi="Google Sans Text"/>
          <w:i w:val="1"/>
          <w:iCs w:val="1"/>
          <w:color w:val="1b1c1d"/>
          <w:rtl w:val="0"/>
        </w:rPr>
        <w:t xml:space="preserve">outliers</w:t>
      </w:r>
      <w:r w:rsidDel="00000000" w:rsidR="00000000" w:rsidRPr="00000000">
        <w:rPr>
          <w:rFonts w:ascii="Google Sans Text" w:cs="Google Sans Text" w:eastAsia="Google Sans Text" w:hAnsi="Google Sans Text"/>
          <w:color w:val="1b1c1d"/>
          <w:rtl w:val="0"/>
        </w:rPr>
        <w:t xml:space="preserve"> (devido ao termo quadrático).</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Otimização MAD:</w:t>
      </w:r>
      <w:r w:rsidDel="00000000" w:rsidR="00000000" w:rsidRPr="00000000">
        <w:rPr>
          <w:rFonts w:ascii="Google Sans Text" w:cs="Google Sans Text" w:eastAsia="Google Sans Text" w:hAnsi="Google Sans Text"/>
          <w:color w:val="1b1c1d"/>
          <w:rtl w:val="0"/>
        </w:rPr>
        <w:t xml:space="preserve"> Konno e Yamazaki (1991) demonstraram que, sob certas condições, minimizar o MAD é equivalente a minimizar a variância, mas com uma vantagem crucial: o problema pode ser transformado em Programação Linear (LP).</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Por que MAD no nível A+?</w:t>
      </w:r>
      <w:r w:rsidDel="00000000" w:rsidR="00000000" w:rsidRPr="00000000">
        <w:rPr>
          <w:rFonts w:ascii="Google Sans Text" w:cs="Google Sans Text" w:eastAsia="Google Sans Text" w:hAnsi="Google Sans Text"/>
          <w:color w:val="1b1c1d"/>
          <w:rtl w:val="0"/>
        </w:rPr>
        <w:t xml:space="preserve"> A otimização linear lida melhor com grandes conjuntos de dados e, crucialmente, não assume a normalidade estrita dos retornos. Em um modelo alimentado por LSTM (que captura não-linearidades), usar um otimizador MAD mantém a consistência teórica de não forçar uma distribuição normal nos dados, alinhando-se com a realidade de "caudas gordas" descrita por Mandelbrot.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O Coração do Sistema: O Modelo Black-Litterman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seção sobre Black-Litterman no esboço original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é descritiva, mas carece da profundidade operacional necessária para implementar a integração com IA. O modelo BL deve ser apresentado como um filtro Bayesiano.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A Lógica Bayesiana: Prior + Likelihood = Posterior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BL não é apenas um modelo de alocação; é uma técnica de estimativa de parâmetros. Ele utiliza a inferência Bayesiana para combinar duas fontes de informação:</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O Prior ($\Pi$):</w:t>
      </w:r>
      <w:r w:rsidDel="00000000" w:rsidR="00000000" w:rsidRPr="00000000">
        <w:rPr>
          <w:rFonts w:ascii="Google Sans Text" w:cs="Google Sans Text" w:eastAsia="Google Sans Text" w:hAnsi="Google Sans Text"/>
          <w:color w:val="1b1c1d"/>
          <w:rtl w:val="0"/>
        </w:rPr>
        <w:t xml:space="preserve"> O equilíbrio de mercado. O BL assume que, na ausência de novas informações, a melhor estimativa de retorno é aquela que justifica os preços atuais de mercado (CAPM reverso).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O Likelihood (Visões $Q$):</w:t>
      </w:r>
      <w:r w:rsidDel="00000000" w:rsidR="00000000" w:rsidRPr="00000000">
        <w:rPr>
          <w:rFonts w:ascii="Google Sans Text" w:cs="Google Sans Text" w:eastAsia="Google Sans Text" w:hAnsi="Google Sans Text"/>
          <w:color w:val="1b1c1d"/>
          <w:rtl w:val="0"/>
        </w:rPr>
        <w:t xml:space="preserve"> As informações novas e subjetivas. Tradicionalmente, estas vinham de analistas humanos. No trabalho proposto, virão do LSTM.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A Matemática da Síntese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"Fórmula Mestra" do BL calcula o novo vetor de retornos esperados ($\mu_{BL}$):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$$\mu_{BL} =^{-1}$$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equação é uma média ponderada complexa. A inovação crítica para o trabalho proposto está nos termos $Q$ e $\Omega$.</w:t>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$Q$ (Vetor de Visões):</w:t>
      </w:r>
      <w:r w:rsidDel="00000000" w:rsidR="00000000" w:rsidRPr="00000000">
        <w:rPr>
          <w:rFonts w:ascii="Google Sans Text" w:cs="Google Sans Text" w:eastAsia="Google Sans Text" w:hAnsi="Google Sans Text"/>
          <w:color w:val="1b1c1d"/>
          <w:rtl w:val="0"/>
        </w:rPr>
        <w:t xml:space="preserve"> No BL clássico, é uma opinião subjetiva ("Acho que a IBM vai subir 5%"). Na proposta "A+", $Q$ é o </w:t>
      </w:r>
      <w:r w:rsidDel="00000000" w:rsidR="00000000" w:rsidRPr="00000000">
        <w:rPr>
          <w:rFonts w:ascii="Google Sans Text" w:cs="Google Sans Text" w:eastAsia="Google Sans Text" w:hAnsi="Google Sans Text"/>
          <w:i w:val="1"/>
          <w:iCs w:val="1"/>
          <w:color w:val="1b1c1d"/>
          <w:rtl w:val="0"/>
        </w:rPr>
        <w:t xml:space="preserve">output</w:t>
      </w:r>
      <w:r w:rsidDel="00000000" w:rsidR="00000000" w:rsidRPr="00000000">
        <w:rPr>
          <w:rFonts w:ascii="Google Sans Text" w:cs="Google Sans Text" w:eastAsia="Google Sans Text" w:hAnsi="Google Sans Text"/>
          <w:color w:val="1b1c1d"/>
          <w:rtl w:val="0"/>
        </w:rPr>
        <w:t xml:space="preserve"> da rede neural LSTM.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$\Omega$ (Matriz de Incerteza):</w:t>
      </w:r>
      <w:r w:rsidDel="00000000" w:rsidR="00000000" w:rsidRPr="00000000">
        <w:rPr>
          <w:rFonts w:ascii="Google Sans Text" w:cs="Google Sans Text" w:eastAsia="Google Sans Text" w:hAnsi="Google Sans Text"/>
          <w:color w:val="1b1c1d"/>
          <w:rtl w:val="0"/>
        </w:rPr>
        <w:t xml:space="preserve"> Representa a confiança na visão. No BL clássico, é difícil de calibrar. Na proposta "A+", a diagonal de $\Omega$ é preenchida pela variância condicional prevista pelo modelo GARCH.</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Isso transforma o BL de um modelo estático em um sistema dinâmico e adaptativo. Se o GARCH prevê alta volatilidade (incerteza), os valores em $\Omega$ sobem, e o termo $P^T\Omega^{-1}P$ diminui, fazendo com que a equação dê mais peso ao equilíbrio de mercado ($\Pi$) e menos peso à previsão do LSTM. O sistema "se protege" automaticamente em tempos de crise.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O Motor Preditivo: Econometria e Deep Learning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é a lacuna mais crítica identificada no arquivo estrutura de topicos.docx. O documento original ignora completamente a mecânica de geração das visões. Para um trabalho de nível A+, é obrigatório detalhar como os </w:t>
      </w:r>
      <w:r w:rsidDel="00000000" w:rsidR="00000000" w:rsidRPr="00000000">
        <w:rPr>
          <w:rFonts w:ascii="Google Sans Text" w:cs="Google Sans Text" w:eastAsia="Google Sans Text" w:hAnsi="Google Sans Text"/>
          <w:i w:val="1"/>
          <w:iCs w:val="1"/>
          <w:color w:val="1b1c1d"/>
          <w:rtl w:val="0"/>
        </w:rPr>
        <w:t xml:space="preserve">inputs</w:t>
      </w:r>
      <w:r w:rsidDel="00000000" w:rsidR="00000000" w:rsidRPr="00000000">
        <w:rPr>
          <w:rFonts w:ascii="Google Sans Text" w:cs="Google Sans Text" w:eastAsia="Google Sans Text" w:hAnsi="Google Sans Text"/>
          <w:color w:val="1b1c1d"/>
          <w:rtl w:val="0"/>
        </w:rPr>
        <w:t xml:space="preserve"> são criados.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Econometria de Séries Temporais: O Papel do GARCH</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Os "Fatos Estilizados" dos mercados financeiros, como o agrupamento de volatilidade (grandes variações seguidas por grandes variações), invalidam modelos de variância constante (homocedasticidade).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Box-Jenkins (ARIMA):</w:t>
      </w:r>
      <w:r w:rsidDel="00000000" w:rsidR="00000000" w:rsidRPr="00000000">
        <w:rPr>
          <w:rFonts w:ascii="Google Sans Text" w:cs="Google Sans Text" w:eastAsia="Google Sans Text" w:hAnsi="Google Sans Text"/>
          <w:color w:val="1b1c1d"/>
          <w:rtl w:val="0"/>
        </w:rPr>
        <w:t xml:space="preserve"> Útil para modelar a média linear, mas insuficiente para capturar a dinâmica do risco.</w:t>
      </w:r>
    </w:p>
    <w:p w:rsidR="00000000" w:rsidDel="00000000" w:rsidP="00000000" w:rsidRDefault="00000000" w:rsidRPr="00000000" w14:paraId="0000005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GARCH (Generalized AutoRegressive Conditional Heteroscedasticity):</w:t>
      </w:r>
      <w:r w:rsidDel="00000000" w:rsidR="00000000" w:rsidRPr="00000000">
        <w:rPr>
          <w:rFonts w:ascii="Google Sans Text" w:cs="Google Sans Text" w:eastAsia="Google Sans Text" w:hAnsi="Google Sans Text"/>
          <w:color w:val="1b1c1d"/>
          <w:rtl w:val="0"/>
        </w:rPr>
        <w:t xml:space="preserve"> Introduzido por Bollerslev (1986), modela a variância atual como função dos erros passados (ARCH) e da variância passada (GARCH). Ele fornece a "memória de volatilidade".</w:t>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Aplicação no Modelo:</w:t>
      </w:r>
      <w:r w:rsidDel="00000000" w:rsidR="00000000" w:rsidRPr="00000000">
        <w:rPr>
          <w:rFonts w:ascii="Google Sans Text" w:cs="Google Sans Text" w:eastAsia="Google Sans Text" w:hAnsi="Google Sans Text"/>
          <w:color w:val="1b1c1d"/>
          <w:rtl w:val="0"/>
        </w:rPr>
        <w:t xml:space="preserve"> O GARCH é essencial para calibrar a matriz $\Omega$ do Black-Litterman de forma objetiva. Sem o GARCH, a matriz de incerteza seria um "chute" subjetivo, comprometendo a integridade científica do modelo.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Deep Learning: A Revolução LSTM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Enquanto o GARCH cuida do risco ($\Omega$), o LSTM cuida do retorno ($Q$). Modelos lineares como o ARIMA falham em capturar padrões complexos e não-lineares. Redes Neurais Artificiais (RNAs) tradicionais (MLP) falham em séries temporais porque não têm memória (são amnésicas).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Redes Neurais Recorrentes (RNNs) introduziram o conceito de memória, mas sofrem do problema do "Gradiente Desaparecido" (</w:t>
      </w:r>
      <w:r w:rsidDel="00000000" w:rsidR="00000000" w:rsidRPr="00000000">
        <w:rPr>
          <w:rFonts w:ascii="Google Sans Text" w:cs="Google Sans Text" w:eastAsia="Google Sans Text" w:hAnsi="Google Sans Text"/>
          <w:i w:val="1"/>
          <w:iCs w:val="1"/>
          <w:color w:val="1b1c1d"/>
          <w:rtl w:val="0"/>
        </w:rPr>
        <w:t xml:space="preserve">Vanishing Gradient</w:t>
      </w:r>
      <w:r w:rsidDel="00000000" w:rsidR="00000000" w:rsidRPr="00000000">
        <w:rPr>
          <w:rFonts w:ascii="Google Sans Text" w:cs="Google Sans Text" w:eastAsia="Google Sans Text" w:hAnsi="Google Sans Text"/>
          <w:color w:val="1b1c1d"/>
          <w:rtl w:val="0"/>
        </w:rPr>
        <w:t xml:space="preserve">), tornando-as incapazes de aprender dependências de longo prazo (ex: uma tendência iniciada há 6 meses).</w:t>
      </w:r>
    </w:p>
    <w:p w:rsidR="00000000" w:rsidDel="00000000" w:rsidP="00000000" w:rsidRDefault="00000000" w:rsidRPr="00000000" w14:paraId="0000006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 Solução LSTM (Long Short-Term Memory):</w:t>
      </w:r>
      <w:r w:rsidDel="00000000" w:rsidR="00000000" w:rsidRPr="00000000">
        <w:rPr>
          <w:rFonts w:ascii="Google Sans Text" w:cs="Google Sans Text" w:eastAsia="Google Sans Text" w:hAnsi="Google Sans Text"/>
          <w:color w:val="1b1c1d"/>
          <w:rtl w:val="0"/>
        </w:rPr>
        <w:t xml:space="preserve"> Desenvolvida por Hochreiter e Schmidhuber, a célula LSTM possui uma estrutura interna com portões (</w:t>
      </w:r>
      <w:r w:rsidDel="00000000" w:rsidR="00000000" w:rsidRPr="00000000">
        <w:rPr>
          <w:rFonts w:ascii="Google Sans Text" w:cs="Google Sans Text" w:eastAsia="Google Sans Text" w:hAnsi="Google Sans Text"/>
          <w:i w:val="1"/>
          <w:iCs w:val="1"/>
          <w:color w:val="1b1c1d"/>
          <w:rtl w:val="0"/>
        </w:rPr>
        <w:t xml:space="preserve">gates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2">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Forget Gate:</w:t>
      </w:r>
      <w:r w:rsidDel="00000000" w:rsidR="00000000" w:rsidRPr="00000000">
        <w:rPr>
          <w:rFonts w:ascii="Google Sans Text" w:cs="Google Sans Text" w:eastAsia="Google Sans Text" w:hAnsi="Google Sans Text"/>
          <w:color w:val="1b1c1d"/>
          <w:rtl w:val="0"/>
        </w:rPr>
        <w:t xml:space="preserve"> Decide o que esquecer (ruído).</w:t>
      </w:r>
    </w:p>
    <w:p w:rsidR="00000000" w:rsidDel="00000000" w:rsidP="00000000" w:rsidRDefault="00000000" w:rsidRPr="00000000" w14:paraId="00000063">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Input Gate:</w:t>
      </w:r>
      <w:r w:rsidDel="00000000" w:rsidR="00000000" w:rsidRPr="00000000">
        <w:rPr>
          <w:rFonts w:ascii="Google Sans Text" w:cs="Google Sans Text" w:eastAsia="Google Sans Text" w:hAnsi="Google Sans Text"/>
          <w:color w:val="1b1c1d"/>
          <w:rtl w:val="0"/>
        </w:rPr>
        <w:t xml:space="preserve"> Decide o que armazenar (sinal).</w:t>
      </w:r>
    </w:p>
    <w:p w:rsidR="00000000" w:rsidDel="00000000" w:rsidP="00000000" w:rsidRDefault="00000000" w:rsidRPr="00000000" w14:paraId="0000006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Output Gate:</w:t>
      </w:r>
      <w:r w:rsidDel="00000000" w:rsidR="00000000" w:rsidRPr="00000000">
        <w:rPr>
          <w:rFonts w:ascii="Google Sans Text" w:cs="Google Sans Text" w:eastAsia="Google Sans Text" w:hAnsi="Google Sans Text"/>
          <w:color w:val="1b1c1d"/>
          <w:rtl w:val="0"/>
        </w:rPr>
        <w:t xml:space="preserve"> Decide a previsão baseada na memória acumulada.</w:t>
      </w:r>
    </w:p>
    <w:p w:rsidR="00000000" w:rsidDel="00000000" w:rsidP="00000000" w:rsidRDefault="00000000" w:rsidRPr="00000000" w14:paraId="0000006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Justificativa:</w:t>
      </w:r>
      <w:r w:rsidDel="00000000" w:rsidR="00000000" w:rsidRPr="00000000">
        <w:rPr>
          <w:rFonts w:ascii="Google Sans Text" w:cs="Google Sans Text" w:eastAsia="Google Sans Text" w:hAnsi="Google Sans Text"/>
          <w:color w:val="1b1c1d"/>
          <w:rtl w:val="0"/>
        </w:rPr>
        <w:t xml:space="preserve"> O uso de LSTM para gerar o vetor $Q$ permite que o modelo Black-Litterman incorpore padrões de mercado sutis e de longo prazo que escapariam tanto a um analista humano quanto a uma regressão linear simples.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Estrutura Hierárquica Corrigida e Otimizada (Revisão Bibliográfica)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 base na análise das lacunas e na integração dos </w:t>
      </w:r>
      <w:r w:rsidDel="00000000" w:rsidR="00000000" w:rsidRPr="00000000">
        <w:rPr>
          <w:rFonts w:ascii="Google Sans Text" w:cs="Google Sans Text" w:eastAsia="Google Sans Text" w:hAnsi="Google Sans Text"/>
          <w:i w:val="1"/>
          <w:iCs w:val="1"/>
          <w:color w:val="1b1c1d"/>
          <w:rtl w:val="0"/>
        </w:rPr>
        <w:t xml:space="preserve">snippets</w:t>
      </w:r>
      <w:r w:rsidDel="00000000" w:rsidR="00000000" w:rsidRPr="00000000">
        <w:rPr>
          <w:rFonts w:ascii="Google Sans Text" w:cs="Google Sans Text" w:eastAsia="Google Sans Text" w:hAnsi="Google Sans Text"/>
          <w:color w:val="1b1c1d"/>
          <w:rtl w:val="0"/>
        </w:rPr>
        <w:t xml:space="preserve"> de pesquisa, apresento a estrutura definitiva para a Revisão Bibliográfica. Esta hierarquia corrige a falta de fluxo lógico do original e garante que todos os componentes técnicos (BL, LSTM, GARCH, MAD) sejam devidamente fundamentados e interligados.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Capítulo 2: Fundamentação Teórica e Evolução da Modelagem de Risco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2.1. A Evolução Histórica da Gestão de Portfólio</w:t>
      </w:r>
    </w:p>
    <w:p w:rsidR="00000000" w:rsidDel="00000000" w:rsidP="00000000" w:rsidRDefault="00000000" w:rsidRPr="00000000" w14:paraId="0000006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2.1.1. O Paradigma Pré-Moderno: Graham &amp; Dodd e o Risco como Perda Permanente.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2.1.2. A Revolução de Markowitz (1952): A formalização da Variância e a descoberta da Covariância.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2.1.3. O Capital Asset Pricing Model (CAPM): O equilíbrio de mercado, a SML e a hegemonia do Beta.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2.2. Limitações Críticas do Paradigma Média-Variância</w:t>
      </w:r>
    </w:p>
    <w:p w:rsidR="00000000" w:rsidDel="00000000" w:rsidP="00000000" w:rsidRDefault="00000000" w:rsidRPr="00000000" w14:paraId="00000072">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2.2.1. A Crítica de Roll (1977): A inobservabilidade da carteira de mercado e problemas de </w:t>
      </w:r>
      <w:r w:rsidDel="00000000" w:rsidR="00000000" w:rsidRPr="00000000">
        <w:rPr>
          <w:rFonts w:ascii="Google Sans Text" w:cs="Google Sans Text" w:eastAsia="Google Sans Text" w:hAnsi="Google Sans Text"/>
          <w:i w:val="1"/>
          <w:iCs w:val="1"/>
          <w:color w:val="1b1c1d"/>
          <w:rtl w:val="0"/>
        </w:rPr>
        <w:t xml:space="preserve">benchmark</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2.2.2. Mandelbrot e a Realidade Fractal: Caudas Gordas (</w:t>
      </w:r>
      <w:r w:rsidDel="00000000" w:rsidR="00000000" w:rsidRPr="00000000">
        <w:rPr>
          <w:rFonts w:ascii="Google Sans Text" w:cs="Google Sans Text" w:eastAsia="Google Sans Text" w:hAnsi="Google Sans Text"/>
          <w:i w:val="1"/>
          <w:iCs w:val="1"/>
          <w:color w:val="1b1c1d"/>
          <w:rtl w:val="0"/>
        </w:rPr>
        <w:t xml:space="preserve">Fat Tails</w:t>
      </w:r>
      <w:r w:rsidDel="00000000" w:rsidR="00000000" w:rsidRPr="00000000">
        <w:rPr>
          <w:rFonts w:ascii="Google Sans Text" w:cs="Google Sans Text" w:eastAsia="Google Sans Text" w:hAnsi="Google Sans Text"/>
          <w:color w:val="1b1c1d"/>
          <w:rtl w:val="0"/>
        </w:rPr>
        <w:t xml:space="preserve">), Leptocurtose e a falácia da distribuição normal.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2.2.3. O Problema do Erro de Estimação: A otimização quadrática como "maximizadora de erros" e a instabilidade das soluções de canto.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5">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2.2.4. Finanças Comportamentais: Vieses cognitivos (ancoragem, excesso de confiança) como limitadores da gestão discricionária humana.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2.3. Teoria Pós-Moderna de Portfólio (PMPT) e Otimização Robusta</w:t>
      </w:r>
    </w:p>
    <w:p w:rsidR="00000000" w:rsidDel="00000000" w:rsidP="00000000" w:rsidRDefault="00000000" w:rsidRPr="00000000" w14:paraId="00000077">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2.3.1. Redefinindo Risco: Assimetria, Risco de </w:t>
      </w:r>
      <w:r w:rsidDel="00000000" w:rsidR="00000000" w:rsidRPr="00000000">
        <w:rPr>
          <w:rFonts w:ascii="Google Sans Text" w:cs="Google Sans Text" w:eastAsia="Google Sans Text" w:hAnsi="Google Sans Text"/>
          <w:i w:val="1"/>
          <w:iCs w:val="1"/>
          <w:color w:val="1b1c1d"/>
          <w:rtl w:val="0"/>
        </w:rPr>
        <w:t xml:space="preserve">Downside</w:t>
      </w:r>
      <w:r w:rsidDel="00000000" w:rsidR="00000000" w:rsidRPr="00000000">
        <w:rPr>
          <w:rFonts w:ascii="Google Sans Text" w:cs="Google Sans Text" w:eastAsia="Google Sans Text" w:hAnsi="Google Sans Text"/>
          <w:color w:val="1b1c1d"/>
          <w:rtl w:val="0"/>
        </w:rPr>
        <w:t xml:space="preserve"> e a inadequação da variância simétrica.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2.3.2. Métricas Avançadas: Momentos Parciais Inferiores (LPM), Índice de Sortino e CVaR.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2.3.3. O Modelo de Desvio Absoluto Médio (MAD):</w:t>
      </w:r>
    </w:p>
    <w:p w:rsidR="00000000" w:rsidDel="00000000" w:rsidP="00000000" w:rsidRDefault="00000000" w:rsidRPr="00000000" w14:paraId="0000007A">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transição da Programação Quadrática para Linear.</w:t>
      </w:r>
    </w:p>
    <w:p w:rsidR="00000000" w:rsidDel="00000000" w:rsidP="00000000" w:rsidRDefault="00000000" w:rsidRPr="00000000" w14:paraId="0000007B">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Robustez contra </w:t>
      </w:r>
      <w:r w:rsidDel="00000000" w:rsidR="00000000" w:rsidRPr="00000000">
        <w:rPr>
          <w:rFonts w:ascii="Google Sans Text" w:cs="Google Sans Text" w:eastAsia="Google Sans Text" w:hAnsi="Google Sans Text"/>
          <w:i w:val="1"/>
          <w:iCs w:val="1"/>
          <w:color w:val="1b1c1d"/>
          <w:rtl w:val="0"/>
        </w:rPr>
        <w:t xml:space="preserve">outliers</w:t>
      </w:r>
      <w:r w:rsidDel="00000000" w:rsidR="00000000" w:rsidRPr="00000000">
        <w:rPr>
          <w:rFonts w:ascii="Google Sans Text" w:cs="Google Sans Text" w:eastAsia="Google Sans Text" w:hAnsi="Google Sans Text"/>
          <w:color w:val="1b1c1d"/>
          <w:rtl w:val="0"/>
        </w:rPr>
        <w:t xml:space="preserve"> e eficiência computacional em cenários não-gaussianos.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Capítulo 3: O Framework Integrador: O Modelo Black-Litterman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3.1. A Abordagem Bayesiana na Alocação de Ativos</w:t>
      </w:r>
    </w:p>
    <w:p w:rsidR="00000000" w:rsidDel="00000000" w:rsidP="00000000" w:rsidRDefault="00000000" w:rsidRPr="00000000" w14:paraId="00000080">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3.1.1. Inferência Bayesiana: Combinando </w:t>
      </w:r>
      <w:r w:rsidDel="00000000" w:rsidR="00000000" w:rsidRPr="00000000">
        <w:rPr>
          <w:rFonts w:ascii="Google Sans Text" w:cs="Google Sans Text" w:eastAsia="Google Sans Text" w:hAnsi="Google Sans Text"/>
          <w:i w:val="1"/>
          <w:iCs w:val="1"/>
          <w:color w:val="1b1c1d"/>
          <w:rtl w:val="0"/>
        </w:rPr>
        <w:t xml:space="preserve">Priors</w:t>
      </w:r>
      <w:r w:rsidDel="00000000" w:rsidR="00000000" w:rsidRPr="00000000">
        <w:rPr>
          <w:rFonts w:ascii="Google Sans Text" w:cs="Google Sans Text" w:eastAsia="Google Sans Text" w:hAnsi="Google Sans Text"/>
          <w:color w:val="1b1c1d"/>
          <w:rtl w:val="0"/>
        </w:rPr>
        <w:t xml:space="preserve"> (Crenças Iniciais) e </w:t>
      </w:r>
      <w:r w:rsidDel="00000000" w:rsidR="00000000" w:rsidRPr="00000000">
        <w:rPr>
          <w:rFonts w:ascii="Google Sans Text" w:cs="Google Sans Text" w:eastAsia="Google Sans Text" w:hAnsi="Google Sans Text"/>
          <w:i w:val="1"/>
          <w:iCs w:val="1"/>
          <w:color w:val="1b1c1d"/>
          <w:rtl w:val="0"/>
        </w:rPr>
        <w:t xml:space="preserve">Likelihood</w:t>
      </w:r>
      <w:r w:rsidDel="00000000" w:rsidR="00000000" w:rsidRPr="00000000">
        <w:rPr>
          <w:rFonts w:ascii="Google Sans Text" w:cs="Google Sans Text" w:eastAsia="Google Sans Text" w:hAnsi="Google Sans Text"/>
          <w:color w:val="1b1c1d"/>
          <w:rtl w:val="0"/>
        </w:rPr>
        <w:t xml:space="preserve"> (Evidências) para gerar </w:t>
      </w:r>
      <w:r w:rsidDel="00000000" w:rsidR="00000000" w:rsidRPr="00000000">
        <w:rPr>
          <w:rFonts w:ascii="Google Sans Text" w:cs="Google Sans Text" w:eastAsia="Google Sans Text" w:hAnsi="Google Sans Text"/>
          <w:i w:val="1"/>
          <w:iCs w:val="1"/>
          <w:color w:val="1b1c1d"/>
          <w:rtl w:val="0"/>
        </w:rPr>
        <w:t xml:space="preserve">Posteriors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1">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3.1.2. A superação da dicotomia entre gestão passiva (equilíbrio) e ativa (visões).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3.2. Derivação Matemática e Componentes do Modelo</w:t>
      </w:r>
    </w:p>
    <w:p w:rsidR="00000000" w:rsidDel="00000000" w:rsidP="00000000" w:rsidRDefault="00000000" w:rsidRPr="00000000" w14:paraId="00000083">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3.2.1. O Prior de Equilíbrio ($\Pi$): Engenharia Reversa a partir dos pesos de capitalização de mercado (CAPM Reverso).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3.2.2. O Vetor de Visões ($Q$): A incorporação de expectativas absolutas e relativas.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3.2.3. A Matriz de Incerteza ($\Omega$): O papel crítico da confiança e os desafios de calibração.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6">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3.2.4. A Solução Analítica: O cálculo do vetor de retornos esperados combinados ($\mu_{BL}$).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3.3. A Inovação </w:t>
      </w:r>
      <w:r w:rsidDel="00000000" w:rsidR="00000000" w:rsidRPr="00000000">
        <w:rPr>
          <w:rFonts w:ascii="Google Sans Text" w:cs="Google Sans Text" w:eastAsia="Google Sans Text" w:hAnsi="Google Sans Text"/>
          <w:b w:val="1"/>
          <w:bCs w:val="1"/>
          <w:i w:val="1"/>
          <w:iCs w:val="1"/>
          <w:color w:val="1b1c1d"/>
          <w:rtl w:val="0"/>
        </w:rPr>
        <w:t xml:space="preserve">Data-Driven</w:t>
      </w:r>
      <w:r w:rsidDel="00000000" w:rsidR="00000000" w:rsidRPr="00000000">
        <w:rPr>
          <w:rFonts w:ascii="Google Sans Text" w:cs="Google Sans Text" w:eastAsia="Google Sans Text" w:hAnsi="Google Sans Text"/>
          <w:b w:val="1"/>
          <w:bCs w:val="1"/>
          <w:color w:val="1b1c1d"/>
          <w:rtl w:val="0"/>
        </w:rPr>
        <w:t xml:space="preserve">: Black-Litterman Dinâmico</w:t>
      </w:r>
    </w:p>
    <w:p w:rsidR="00000000" w:rsidDel="00000000" w:rsidP="00000000" w:rsidRDefault="00000000" w:rsidRPr="00000000" w14:paraId="00000088">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3.3.1. Substituição da subjetividade humana por sinais algorítmicos.</w:t>
      </w:r>
    </w:p>
    <w:p w:rsidR="00000000" w:rsidDel="00000000" w:rsidP="00000000" w:rsidRDefault="00000000" w:rsidRPr="00000000" w14:paraId="00000089">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3.3.2. A necessidade de estimadores robustos para $Q$ e $\Omega$ (ponte para o próximo capítulo).</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Capítulo 4: Modelagem Preditiva: Econometria e Deep Learning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4.1. Econometria de Séries Temporais e Volatilidade</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4.1.1. Estacionariedade e limitações dos modelos lineares (ARIMA).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4.1.2. Fatos Estilizados: Agrupamento de Volatilidade e Heterocedasticidade.</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4.1.3. Modelos GARCH (Generalized AutoRegressive Conditional Heteroscedasticity):</w:t>
      </w:r>
    </w:p>
    <w:p w:rsidR="00000000" w:rsidDel="00000000" w:rsidP="00000000" w:rsidRDefault="00000000" w:rsidRPr="00000000" w14:paraId="0000009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Modelagem da variância condicional.</w:t>
      </w:r>
    </w:p>
    <w:p w:rsidR="00000000" w:rsidDel="00000000" w:rsidP="00000000" w:rsidRDefault="00000000" w:rsidRPr="00000000" w14:paraId="00000092">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Aplicação: Geração dinâmica da Matriz de Incerteza ($\Omega$) no Black-Litterman.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4.2. Redes Neurais Artificiais e Deep Learning Financeiro</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4.2.1. A insuficiência das Redes </w:t>
      </w:r>
      <w:r w:rsidDel="00000000" w:rsidR="00000000" w:rsidRPr="00000000">
        <w:rPr>
          <w:rFonts w:ascii="Google Sans Text" w:cs="Google Sans Text" w:eastAsia="Google Sans Text" w:hAnsi="Google Sans Text"/>
          <w:i w:val="1"/>
          <w:iCs w:val="1"/>
          <w:color w:val="1b1c1d"/>
          <w:rtl w:val="0"/>
        </w:rPr>
        <w:t xml:space="preserve">Feedforward</w:t>
      </w:r>
      <w:r w:rsidDel="00000000" w:rsidR="00000000" w:rsidRPr="00000000">
        <w:rPr>
          <w:rFonts w:ascii="Google Sans Text" w:cs="Google Sans Text" w:eastAsia="Google Sans Text" w:hAnsi="Google Sans Text"/>
          <w:color w:val="1b1c1d"/>
          <w:rtl w:val="0"/>
        </w:rPr>
        <w:t xml:space="preserve"> (MLP) para dados sequenciais.</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4.2.2. Redes Neurais Recorrentes (RNNs) e o problema do Gradiente Desaparecido (</w:t>
      </w:r>
      <w:r w:rsidDel="00000000" w:rsidR="00000000" w:rsidRPr="00000000">
        <w:rPr>
          <w:rFonts w:ascii="Google Sans Text" w:cs="Google Sans Text" w:eastAsia="Google Sans Text" w:hAnsi="Google Sans Text"/>
          <w:i w:val="1"/>
          <w:iCs w:val="1"/>
          <w:color w:val="1b1c1d"/>
          <w:rtl w:val="0"/>
        </w:rPr>
        <w:t xml:space="preserve">Vanishing Gradient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4.2.3. Long Short-Term Memory (LSTM):</w:t>
      </w:r>
    </w:p>
    <w:p w:rsidR="00000000" w:rsidDel="00000000" w:rsidP="00000000" w:rsidRDefault="00000000" w:rsidRPr="00000000" w14:paraId="00000097">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Arquitetura de Células e Portões (</w:t>
      </w:r>
      <w:r w:rsidDel="00000000" w:rsidR="00000000" w:rsidRPr="00000000">
        <w:rPr>
          <w:rFonts w:ascii="Google Sans Text" w:cs="Google Sans Text" w:eastAsia="Google Sans Text" w:hAnsi="Google Sans Text"/>
          <w:i w:val="1"/>
          <w:iCs w:val="1"/>
          <w:color w:val="1b1c1d"/>
          <w:rtl w:val="0"/>
        </w:rPr>
        <w:t xml:space="preserve">Forget, Input, Output Gates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Captura de dependências de longo prazo e não-linearidades.</w:t>
      </w:r>
    </w:p>
    <w:p w:rsidR="00000000" w:rsidDel="00000000" w:rsidP="00000000" w:rsidRDefault="00000000" w:rsidRPr="00000000" w14:paraId="00000099">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Aplicação: Geração do Vetor de Visões ($Q$) com "memória de mercado".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Análise Comparativa e Síntese Metodológica</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tabela a seguir sintetiza a evolução entre a abordagem inicialmente esboçada no arquivo do usuário e a abordagem corrigida nível "A+", demonstrando as integrações realizadas com base nos </w:t>
      </w:r>
      <w:r w:rsidDel="00000000" w:rsidR="00000000" w:rsidRPr="00000000">
        <w:rPr>
          <w:rFonts w:ascii="Google Sans Text" w:cs="Google Sans Text" w:eastAsia="Google Sans Text" w:hAnsi="Google Sans Text"/>
          <w:i w:val="1"/>
          <w:iCs w:val="1"/>
          <w:color w:val="1b1c1d"/>
          <w:rtl w:val="0"/>
        </w:rPr>
        <w:t xml:space="preserve">research snippets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Componente Estrutural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Abordagem Original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Abordagem Corrigida e Expandida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Justificativa da Integração e Fonte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Definição de Risco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Foco excessivo em Variância e Desvio Padrão (Simétrico).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Integração de </w:t>
            </w:r>
            <w:r w:rsidDel="00000000" w:rsidR="00000000" w:rsidRPr="00000000">
              <w:rPr>
                <w:rFonts w:ascii="Google Sans Text" w:cs="Google Sans Text" w:eastAsia="Google Sans Text" w:hAnsi="Google Sans Text"/>
                <w:b w:val="1"/>
                <w:bCs w:val="1"/>
                <w:color w:val="1b1c1d"/>
                <w:shd w:fill="auto" w:val="clear"/>
                <w:rtl w:val="0"/>
              </w:rPr>
              <w:t xml:space="preserve">LPM e MAD</w:t>
            </w:r>
            <w:r w:rsidDel="00000000" w:rsidR="00000000" w:rsidRPr="00000000">
              <w:rPr>
                <w:rFonts w:ascii="Google Sans Text" w:cs="Google Sans Text" w:eastAsia="Google Sans Text" w:hAnsi="Google Sans Text"/>
                <w:color w:val="1b1c1d"/>
                <w:shd w:fill="auto" w:val="clear"/>
                <w:rtl w:val="0"/>
              </w:rPr>
              <w:t xml:space="preserve"> (Assimétrico).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Corrige a falha da variância em penalizar o </w:t>
            </w:r>
            <w:r w:rsidDel="00000000" w:rsidR="00000000" w:rsidRPr="00000000">
              <w:rPr>
                <w:rFonts w:ascii="Google Sans Text" w:cs="Google Sans Text" w:eastAsia="Google Sans Text" w:hAnsi="Google Sans Text"/>
                <w:i w:val="1"/>
                <w:iCs w:val="1"/>
                <w:color w:val="1b1c1d"/>
                <w:shd w:fill="auto" w:val="clear"/>
                <w:rtl w:val="0"/>
              </w:rPr>
              <w:t xml:space="preserve">upside</w:t>
            </w:r>
            <w:r w:rsidDel="00000000" w:rsidR="00000000" w:rsidRPr="00000000">
              <w:rPr>
                <w:rFonts w:ascii="Google Sans Text" w:cs="Google Sans Text" w:eastAsia="Google Sans Text" w:hAnsi="Google Sans Text"/>
                <w:color w:val="1b1c1d"/>
                <w:shd w:fill="auto" w:val="clear"/>
                <w:rtl w:val="0"/>
              </w:rPr>
              <w:t xml:space="preserve">, alinhando-se à PMPT e à realidade de "caudas gordas" (Mandelbrot).</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Inputs de Retorno ($Q$)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Implícito como "Visão Subjetiva" ou Média Histórica.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Deep Learning (LSTM)</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Substitui a intuição humana falha (Viés de Ancoragem) por previsões não-lineares com memória de longo prazo, superando a "amnésia" das MLPs.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Inputs de Confiança ($\Omega$)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Subjetivo ou não mencionado.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Econometria (GARCH)</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Utiliza a variância condicional para calibrar a incerteza dinamicamente, capturando o </w:t>
            </w:r>
            <w:r w:rsidDel="00000000" w:rsidR="00000000" w:rsidRPr="00000000">
              <w:rPr>
                <w:rFonts w:ascii="Google Sans Text" w:cs="Google Sans Text" w:eastAsia="Google Sans Text" w:hAnsi="Google Sans Text"/>
                <w:i w:val="1"/>
                <w:iCs w:val="1"/>
                <w:color w:val="1b1c1d"/>
                <w:shd w:fill="auto" w:val="clear"/>
                <w:rtl w:val="0"/>
              </w:rPr>
              <w:t xml:space="preserve">volatility clustering</w:t>
            </w:r>
            <w:r w:rsidDel="00000000" w:rsidR="00000000" w:rsidRPr="00000000">
              <w:rPr>
                <w:rFonts w:ascii="Google Sans Text" w:cs="Google Sans Text" w:eastAsia="Google Sans Text" w:hAnsi="Google Sans Text"/>
                <w:color w:val="1b1c1d"/>
                <w:shd w:fill="auto" w:val="clear"/>
                <w:rtl w:val="0"/>
              </w:rPr>
              <w:t xml:space="preserve"> ignorado pelo modelo estático.</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Mecanismo de Síntese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Descrição genérica do Black-Litterman.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Framework Bayesiano Rigoroso</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Detalha matematicamente como o BL funciona como um "misturador" que pondera o equilíbrio de mercado contra a IA baseando-se na incerteza ($\Omega$).</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Otimizador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Programação Quadrática (Markowitz).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Programação Linear (MAD)</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Aumenta a robustez contra </w:t>
            </w:r>
            <w:r w:rsidDel="00000000" w:rsidR="00000000" w:rsidRPr="00000000">
              <w:rPr>
                <w:rFonts w:ascii="Google Sans Text" w:cs="Google Sans Text" w:eastAsia="Google Sans Text" w:hAnsi="Google Sans Text"/>
                <w:i w:val="1"/>
                <w:iCs w:val="1"/>
                <w:color w:val="1b1c1d"/>
                <w:shd w:fill="auto" w:val="clear"/>
                <w:rtl w:val="0"/>
              </w:rPr>
              <w:t xml:space="preserve">outliers</w:t>
            </w:r>
            <w:r w:rsidDel="00000000" w:rsidR="00000000" w:rsidRPr="00000000">
              <w:rPr>
                <w:rFonts w:ascii="Google Sans Text" w:cs="Google Sans Text" w:eastAsia="Google Sans Text" w:hAnsi="Google Sans Text"/>
                <w:color w:val="1b1c1d"/>
                <w:shd w:fill="auto" w:val="clear"/>
                <w:rtl w:val="0"/>
              </w:rPr>
              <w:t xml:space="preserve"> e erros de estimação, além de ser computacionalmente mais eficiente para rebalanceamentos frequentes.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Conclusão da Reestruturação</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análise detalhada dos documentos fornecidos revela que a estrutura original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sofria de um "vácuo metodológico": ela definia o </w:t>
      </w:r>
      <w:r w:rsidDel="00000000" w:rsidR="00000000" w:rsidRPr="00000000">
        <w:rPr>
          <w:rFonts w:ascii="Google Sans Text" w:cs="Google Sans Text" w:eastAsia="Google Sans Text" w:hAnsi="Google Sans Text"/>
          <w:i w:val="1"/>
          <w:iCs w:val="1"/>
          <w:color w:val="1b1c1d"/>
          <w:rtl w:val="0"/>
        </w:rPr>
        <w:t xml:space="preserve">que</w:t>
      </w:r>
      <w:r w:rsidDel="00000000" w:rsidR="00000000" w:rsidRPr="00000000">
        <w:rPr>
          <w:rFonts w:ascii="Google Sans Text" w:cs="Google Sans Text" w:eastAsia="Google Sans Text" w:hAnsi="Google Sans Text"/>
          <w:color w:val="1b1c1d"/>
          <w:rtl w:val="0"/>
        </w:rPr>
        <w:t xml:space="preserve"> fazer (Black-Litterman), mas não explicava o </w:t>
      </w:r>
      <w:r w:rsidDel="00000000" w:rsidR="00000000" w:rsidRPr="00000000">
        <w:rPr>
          <w:rFonts w:ascii="Google Sans Text" w:cs="Google Sans Text" w:eastAsia="Google Sans Text" w:hAnsi="Google Sans Text"/>
          <w:i w:val="1"/>
          <w:iCs w:val="1"/>
          <w:color w:val="1b1c1d"/>
          <w:rtl w:val="0"/>
        </w:rPr>
        <w:t xml:space="preserve">como</w:t>
      </w:r>
      <w:r w:rsidDel="00000000" w:rsidR="00000000" w:rsidRPr="00000000">
        <w:rPr>
          <w:rFonts w:ascii="Google Sans Text" w:cs="Google Sans Text" w:eastAsia="Google Sans Text" w:hAnsi="Google Sans Text"/>
          <w:color w:val="1b1c1d"/>
          <w:rtl w:val="0"/>
        </w:rPr>
        <w:t xml:space="preserve"> gerar os insumos necessários para que o modelo funcionasse em nível de excelência.</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nova estrutura preenche essas lacunas ao:</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Fundamentar o Problema:</w:t>
      </w:r>
      <w:r w:rsidDel="00000000" w:rsidR="00000000" w:rsidRPr="00000000">
        <w:rPr>
          <w:rFonts w:ascii="Google Sans Text" w:cs="Google Sans Text" w:eastAsia="Google Sans Text" w:hAnsi="Google Sans Text"/>
          <w:color w:val="1b1c1d"/>
          <w:rtl w:val="0"/>
        </w:rPr>
        <w:t xml:space="preserve"> Usa Mandelbrot e Roll para provar que a MPT simples não funciona no mundo real.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Modernizar a Solução:</w:t>
      </w:r>
      <w:r w:rsidDel="00000000" w:rsidR="00000000" w:rsidRPr="00000000">
        <w:rPr>
          <w:rFonts w:ascii="Google Sans Text" w:cs="Google Sans Text" w:eastAsia="Google Sans Text" w:hAnsi="Google Sans Text"/>
          <w:color w:val="1b1c1d"/>
          <w:rtl w:val="0"/>
        </w:rPr>
        <w:t xml:space="preserve"> Introduz o LSTM não como um adorno tecnológico, mas como a única solução viável para o problema da não-linearidade dos retornos.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Garantir Robustez:</w:t>
      </w:r>
      <w:r w:rsidDel="00000000" w:rsidR="00000000" w:rsidRPr="00000000">
        <w:rPr>
          <w:rFonts w:ascii="Google Sans Text" w:cs="Google Sans Text" w:eastAsia="Google Sans Text" w:hAnsi="Google Sans Text"/>
          <w:color w:val="1b1c1d"/>
          <w:rtl w:val="0"/>
        </w:rPr>
        <w:t xml:space="preserve"> Introduz o GARCH para garantir que o modelo "saiba quando não sabe" (calibração de incerteza $\Omega$).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Otimizar a Execução:</w:t>
      </w:r>
      <w:r w:rsidDel="00000000" w:rsidR="00000000" w:rsidRPr="00000000">
        <w:rPr>
          <w:rFonts w:ascii="Google Sans Text" w:cs="Google Sans Text" w:eastAsia="Google Sans Text" w:hAnsi="Google Sans Text"/>
          <w:color w:val="1b1c1d"/>
          <w:rtl w:val="0"/>
        </w:rPr>
        <w:t xml:space="preserve"> Propõe o MAD para garantir que a solução matemática seja estável e coerente com a aversão à perda dos investidores.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hierarquia transformou um esboço desconexo em um plano de tese coeso, onde cada capítulo constrói a necessidade lógica do próximo, culminando em um modelo híbrido robusto, teoricamente sólido e tecnologicamente avançado.</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estrutura de topicos.docx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